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14B3" w14:textId="77777777" w:rsidR="0053292A" w:rsidRPr="00030A24" w:rsidRDefault="0053292A" w:rsidP="00030A24">
      <w:pPr>
        <w:spacing w:after="0" w:line="240" w:lineRule="auto"/>
        <w:jc w:val="center"/>
        <w:rPr>
          <w:rFonts w:ascii="Cambria" w:hAnsi="Cambria"/>
          <w:b/>
          <w:color w:val="000000"/>
          <w:lang w:val="es-CO"/>
        </w:rPr>
      </w:pPr>
    </w:p>
    <w:p w14:paraId="2DA603D3"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 xml:space="preserve">FICHA TÉCNICA INFORMATIVA </w:t>
      </w:r>
    </w:p>
    <w:p w14:paraId="54ED859A"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 xml:space="preserve">CASO 12.188 JOFFRE JOSÉ VALENCIA MERO, PRISCILA FIERRO, ZOREIDA VALENCIA SÁNCHEZ, ROCÍO VALENCIA SÁNCHEZ </w:t>
      </w:r>
    </w:p>
    <w:p w14:paraId="372B3784"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INFORME DE SOLUCIÓN AMISTOSA Nº 64/03</w:t>
      </w:r>
    </w:p>
    <w:p w14:paraId="0FFDA33D"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ARCHIVO</w:t>
      </w:r>
    </w:p>
    <w:p w14:paraId="106C1E4D" w14:textId="6A938935"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(ECUADOR)</w:t>
      </w:r>
    </w:p>
    <w:p w14:paraId="1ED319DC" w14:textId="77777777" w:rsidR="0053292A" w:rsidRPr="00030A24" w:rsidRDefault="0053292A" w:rsidP="00030A24">
      <w:pPr>
        <w:spacing w:after="0" w:line="240" w:lineRule="auto"/>
        <w:jc w:val="center"/>
        <w:rPr>
          <w:rFonts w:ascii="Cambria" w:hAnsi="Cambria"/>
          <w:b/>
          <w:color w:val="000000"/>
          <w:lang w:val="es-CO"/>
        </w:rPr>
      </w:pPr>
    </w:p>
    <w:p w14:paraId="2393D501" w14:textId="77777777" w:rsidR="0053292A" w:rsidRPr="00030A24" w:rsidRDefault="0053292A" w:rsidP="00030A24">
      <w:pPr>
        <w:numPr>
          <w:ilvl w:val="0"/>
          <w:numId w:val="60"/>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795F5729" w14:textId="77777777" w:rsidR="0053292A" w:rsidRPr="00030A24" w:rsidRDefault="0053292A" w:rsidP="00030A24">
      <w:pPr>
        <w:spacing w:after="0" w:line="240" w:lineRule="auto"/>
        <w:ind w:left="720"/>
        <w:rPr>
          <w:rFonts w:ascii="Cambria" w:hAnsi="Cambria"/>
          <w:b/>
          <w:color w:val="000000"/>
          <w:lang w:val="es-CO"/>
        </w:rPr>
      </w:pPr>
    </w:p>
    <w:tbl>
      <w:tblPr>
        <w:tblW w:w="0" w:type="auto"/>
        <w:jc w:val="center"/>
        <w:shd w:val="clear" w:color="auto" w:fill="F2F2F2"/>
        <w:tblCellMar>
          <w:left w:w="0" w:type="dxa"/>
          <w:right w:w="0" w:type="dxa"/>
        </w:tblCellMar>
        <w:tblLook w:val="04A0" w:firstRow="1" w:lastRow="0" w:firstColumn="1" w:lastColumn="0" w:noHBand="0" w:noVBand="1"/>
      </w:tblPr>
      <w:tblGrid>
        <w:gridCol w:w="9340"/>
      </w:tblGrid>
      <w:tr w:rsidR="0053292A" w:rsidRPr="006F1D5A" w14:paraId="31471D0D" w14:textId="77777777" w:rsidTr="00550EB8">
        <w:trPr>
          <w:jc w:val="center"/>
        </w:trPr>
        <w:tc>
          <w:tcPr>
            <w:tcW w:w="948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99FAAE4"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Joffre José Valencia Mero, Priscila Fierro, Zoreida Valencia Sánchez, Rocío Valencia Sánchez</w:t>
            </w:r>
          </w:p>
          <w:p w14:paraId="5D6BD55A"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0CE4C673"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3F9DDAB5"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Fecha de Firma de ASA:</w:t>
            </w:r>
            <w:r w:rsidRPr="00030A24">
              <w:rPr>
                <w:rFonts w:ascii="Cambria" w:hAnsi="Cambria"/>
                <w:color w:val="000000"/>
                <w:lang w:val="es-CO"/>
              </w:rPr>
              <w:t xml:space="preserve"> 12 de noviembre de 2002</w:t>
            </w:r>
          </w:p>
          <w:p w14:paraId="25DC1CAF"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Fonts w:ascii="Cambria" w:hAnsi="Cambria"/>
                  <w:b/>
                  <w:color w:val="000000"/>
                  <w:u w:val="single"/>
                  <w:lang w:val="es-CO"/>
                </w:rPr>
                <w:t>64/03</w:t>
              </w:r>
            </w:hyperlink>
            <w:r w:rsidRPr="00030A24">
              <w:rPr>
                <w:rFonts w:ascii="Cambria" w:hAnsi="Cambria"/>
                <w:color w:val="000000"/>
                <w:lang w:val="es-CO"/>
              </w:rPr>
              <w:t>, publicado el 10 de octubre de 2003</w:t>
            </w:r>
          </w:p>
          <w:p w14:paraId="084531A1"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 Mujeres</w:t>
            </w:r>
          </w:p>
          <w:p w14:paraId="618DAEF9" w14:textId="71CE0B1C"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 Centros de detención/ Derecho de las mujeres / Derecho a la integridad personal/ Condiciones de detención/ Comisarías/ Cuidado y Custodia/ Investigación/ Sistema Penitenciario/ Garantías judiciales/ Derecho a la honra y la dignidad/ Derecho a igual protección de la ley/ Derecho a la protección judicial</w:t>
            </w:r>
          </w:p>
          <w:p w14:paraId="137E7D39" w14:textId="77777777" w:rsidR="0053292A" w:rsidRPr="00030A24" w:rsidRDefault="0053292A" w:rsidP="00030A24">
            <w:pPr>
              <w:spacing w:after="0" w:line="240" w:lineRule="auto"/>
              <w:jc w:val="both"/>
              <w:rPr>
                <w:rFonts w:ascii="Cambria" w:hAnsi="Cambria"/>
                <w:color w:val="000000"/>
                <w:lang w:val="es-CO"/>
              </w:rPr>
            </w:pPr>
          </w:p>
          <w:p w14:paraId="7696A35C" w14:textId="74B19FF2"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La CIDH recibió una petición el día 19 de mayo de 1993, mediante la cual los peticionarios alegaron que </w:t>
            </w:r>
            <w:r w:rsidR="00030A24">
              <w:rPr>
                <w:rFonts w:ascii="Cambria" w:hAnsi="Cambria"/>
                <w:color w:val="000000"/>
                <w:lang w:val="es-CO"/>
              </w:rPr>
              <w:t xml:space="preserve">el </w:t>
            </w:r>
            <w:r w:rsidRPr="00030A24">
              <w:rPr>
                <w:rFonts w:ascii="Cambria" w:hAnsi="Cambria"/>
                <w:color w:val="000000"/>
                <w:lang w:val="es-CO"/>
              </w:rPr>
              <w:t>día 19 de mayo de 1993, el señor Joffre José Valencia Mero y sus hijas Ivonne Rocío Valencia Sánchez y Priscila Zobeida Valencia Sánchez fueron detenidos en Guayaquil a las 15:00 h. por policías en la casa de Rosendo Torres, esposo de otra hija del señor Valencia.  Los policías ingresaron en forma violenta y fuertemente armados en busca de Rosendo Torres, sin orden de allanamiento o boleta de detención. Les acusaron de ser traficantes de drogas y los trasladaron al Cuartel Modelo donde permanecieron incomunicados por 12 días; durante este lapso fueron objeto de agresiones verbales y físicas, tuvieron que dormir en el suelo y muchas veces parados, recibieron amenazas de muerte si no se declaraban culpables del delito de narcotráfico.  Los primeros días permanecieron con los ojos vendados sin comer ni bañarse.  El 1</w:t>
            </w:r>
            <w:r w:rsidRPr="00030A24">
              <w:rPr>
                <w:rFonts w:ascii="Cambria" w:hAnsi="Cambria"/>
                <w:color w:val="000000"/>
                <w:vertAlign w:val="superscript"/>
                <w:lang w:val="es-CO"/>
              </w:rPr>
              <w:t>o</w:t>
            </w:r>
            <w:r w:rsidRPr="00030A24">
              <w:rPr>
                <w:rFonts w:ascii="Cambria" w:hAnsi="Cambria"/>
                <w:color w:val="000000"/>
                <w:lang w:val="es-CO"/>
              </w:rPr>
              <w:t xml:space="preserve"> de junio de 1993 ingresó el señor Valencia al Centro de Rehabilitación Social de Varones de Quito y sus hijas ingresaron a la cárcel de Mujeres de Quito.</w:t>
            </w:r>
          </w:p>
          <w:p w14:paraId="0C05EE58" w14:textId="77777777" w:rsidR="0053292A" w:rsidRPr="00030A24" w:rsidRDefault="0053292A" w:rsidP="00030A24">
            <w:pPr>
              <w:spacing w:after="0" w:line="240" w:lineRule="auto"/>
              <w:jc w:val="both"/>
              <w:rPr>
                <w:rFonts w:ascii="Cambria" w:hAnsi="Cambria"/>
                <w:color w:val="000000"/>
                <w:lang w:val="es-CO"/>
              </w:rPr>
            </w:pPr>
          </w:p>
          <w:p w14:paraId="5A956B6D"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 los artículos 5 (derecho al derecho a la integridad personal), 7 (derecho a la libertad personal), 8 (garantías judiciales), 11 (derecho a la honra y la dignidad) y 25 (protección judicial), en contravención de las obligaciones que figuran en el artículo 1(1) en perjuicio del señor Joffre José Valencia Mero y sus hijas Ivonne Rocío Valencia Sánchez y Priscila Zobeida Valencia Sánchez</w:t>
            </w:r>
          </w:p>
        </w:tc>
      </w:tr>
    </w:tbl>
    <w:p w14:paraId="10323725" w14:textId="77777777" w:rsidR="0053292A" w:rsidRPr="00030A24" w:rsidRDefault="0053292A" w:rsidP="00030A24">
      <w:pPr>
        <w:spacing w:after="0" w:line="240" w:lineRule="auto"/>
        <w:contextualSpacing/>
        <w:jc w:val="both"/>
        <w:rPr>
          <w:rFonts w:ascii="Cambria" w:hAnsi="Cambria"/>
          <w:b/>
          <w:color w:val="000000"/>
          <w:lang w:val="es-CO"/>
        </w:rPr>
      </w:pPr>
    </w:p>
    <w:p w14:paraId="717A3B7D" w14:textId="77777777" w:rsidR="0053292A" w:rsidRPr="00030A24" w:rsidRDefault="0053292A" w:rsidP="00030A24">
      <w:pPr>
        <w:pStyle w:val="Listavistosa-nfasis11"/>
        <w:numPr>
          <w:ilvl w:val="0"/>
          <w:numId w:val="63"/>
        </w:numPr>
        <w:spacing w:after="0" w:line="240" w:lineRule="auto"/>
        <w:ind w:left="0" w:firstLine="706"/>
        <w:jc w:val="both"/>
        <w:rPr>
          <w:rFonts w:ascii="Cambria" w:hAnsi="Cambria"/>
          <w:b/>
          <w:color w:val="000000"/>
          <w:lang w:val="es-CO"/>
        </w:rPr>
      </w:pPr>
      <w:r w:rsidRPr="00030A24">
        <w:rPr>
          <w:rFonts w:ascii="Cambria" w:hAnsi="Cambria"/>
          <w:b/>
          <w:color w:val="000000"/>
          <w:lang w:val="es-CO"/>
        </w:rPr>
        <w:t>ACTIVIDAD PROCESAL</w:t>
      </w:r>
    </w:p>
    <w:p w14:paraId="79491B53" w14:textId="77777777" w:rsidR="0053292A" w:rsidRPr="00030A24" w:rsidRDefault="0053292A" w:rsidP="00030A24">
      <w:pPr>
        <w:pStyle w:val="Listavistosa-nfasis11"/>
        <w:spacing w:after="0" w:line="240" w:lineRule="auto"/>
        <w:ind w:left="0" w:firstLine="706"/>
        <w:jc w:val="both"/>
        <w:rPr>
          <w:rFonts w:ascii="Cambria" w:hAnsi="Cambria"/>
          <w:b/>
          <w:color w:val="000000"/>
          <w:lang w:val="es-CO"/>
        </w:rPr>
      </w:pPr>
    </w:p>
    <w:p w14:paraId="04AA352B" w14:textId="7CAD216C" w:rsidR="0053292A" w:rsidRPr="00030A24" w:rsidRDefault="00214961" w:rsidP="00030A24">
      <w:pPr>
        <w:numPr>
          <w:ilvl w:val="0"/>
          <w:numId w:val="62"/>
        </w:numPr>
        <w:spacing w:after="0" w:line="240" w:lineRule="auto"/>
        <w:ind w:left="0" w:firstLine="706"/>
        <w:jc w:val="both"/>
        <w:rPr>
          <w:rFonts w:ascii="Cambria" w:hAnsi="Cambria"/>
          <w:color w:val="000000"/>
          <w:lang w:val="es-CO"/>
        </w:rPr>
      </w:pPr>
      <w:r w:rsidRPr="00030A24">
        <w:rPr>
          <w:rFonts w:ascii="Cambria" w:hAnsi="Cambria"/>
          <w:color w:val="000000"/>
          <w:lang w:val="es-CO"/>
        </w:rPr>
        <w:t xml:space="preserve"> </w:t>
      </w:r>
      <w:r w:rsidR="0053292A" w:rsidRPr="00030A24">
        <w:rPr>
          <w:rFonts w:ascii="Cambria" w:hAnsi="Cambria"/>
          <w:color w:val="000000"/>
          <w:lang w:val="es-CO"/>
        </w:rPr>
        <w:t>El 12 de noviembre de 2002</w:t>
      </w:r>
      <w:r w:rsidR="006C420B" w:rsidRPr="00030A24">
        <w:rPr>
          <w:rFonts w:ascii="Cambria" w:hAnsi="Cambria"/>
          <w:color w:val="000000"/>
          <w:lang w:val="es-CO"/>
        </w:rPr>
        <w:t>,</w:t>
      </w:r>
      <w:r w:rsidR="0053292A" w:rsidRPr="00030A24">
        <w:rPr>
          <w:rFonts w:ascii="Cambria" w:hAnsi="Cambria"/>
          <w:color w:val="000000"/>
          <w:lang w:val="es-CO"/>
        </w:rPr>
        <w:t xml:space="preserve"> las partes firmaron un acuerdo de solución amistosa.</w:t>
      </w:r>
    </w:p>
    <w:p w14:paraId="10C66966" w14:textId="77777777" w:rsidR="0053292A" w:rsidRPr="00030A24" w:rsidRDefault="0053292A" w:rsidP="00030A24">
      <w:pPr>
        <w:spacing w:after="0" w:line="240" w:lineRule="auto"/>
        <w:ind w:firstLine="706"/>
        <w:jc w:val="both"/>
        <w:rPr>
          <w:rFonts w:ascii="Cambria" w:hAnsi="Cambria" w:cs="Calibri Light"/>
          <w:color w:val="000000"/>
          <w:lang w:val="es-CO"/>
        </w:rPr>
      </w:pPr>
    </w:p>
    <w:p w14:paraId="26C61911" w14:textId="77777777" w:rsidR="0053292A" w:rsidRPr="00030A24" w:rsidRDefault="0053292A" w:rsidP="00030A24">
      <w:pPr>
        <w:numPr>
          <w:ilvl w:val="0"/>
          <w:numId w:val="62"/>
        </w:numPr>
        <w:spacing w:after="0" w:line="240" w:lineRule="auto"/>
        <w:ind w:left="0" w:firstLine="706"/>
        <w:jc w:val="both"/>
        <w:rPr>
          <w:rFonts w:ascii="Cambria" w:hAnsi="Cambria"/>
          <w:color w:val="000000"/>
          <w:lang w:val="es-CO"/>
        </w:rPr>
      </w:pPr>
      <w:r w:rsidRPr="00030A24">
        <w:rPr>
          <w:rFonts w:ascii="Cambria" w:hAnsi="Cambria"/>
          <w:color w:val="000000"/>
          <w:lang w:val="es-CO"/>
        </w:rPr>
        <w:t>El 10 de octubre de 2003, la Comisión aprobó el acuerdo de solución amistosa, mediante informe No. 64/03.</w:t>
      </w:r>
    </w:p>
    <w:p w14:paraId="18BC5EB2" w14:textId="77777777" w:rsidR="0053292A" w:rsidRPr="00030A24" w:rsidRDefault="0053292A" w:rsidP="00030A24">
      <w:pPr>
        <w:spacing w:after="0" w:line="240" w:lineRule="auto"/>
        <w:ind w:left="1440"/>
        <w:jc w:val="both"/>
        <w:rPr>
          <w:rFonts w:ascii="Cambria" w:hAnsi="Cambria"/>
          <w:color w:val="000000"/>
          <w:lang w:val="es-CO"/>
        </w:rPr>
      </w:pPr>
    </w:p>
    <w:p w14:paraId="0D898B03" w14:textId="3903B050" w:rsidR="0053292A" w:rsidRPr="00030A24" w:rsidRDefault="0053292A" w:rsidP="00030A24">
      <w:pPr>
        <w:numPr>
          <w:ilvl w:val="0"/>
          <w:numId w:val="6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70A6BC57" w14:textId="77777777" w:rsidR="0053292A" w:rsidRPr="00030A24" w:rsidRDefault="0053292A" w:rsidP="00030A24">
      <w:pPr>
        <w:spacing w:after="0" w:line="240" w:lineRule="auto"/>
        <w:ind w:left="1080"/>
        <w:contextualSpacing/>
        <w:jc w:val="both"/>
        <w:rPr>
          <w:rFonts w:ascii="Cambria" w:hAnsi="Cambria"/>
          <w:b/>
          <w:color w:val="000000"/>
          <w:lang w:val="es-CO"/>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5"/>
        <w:gridCol w:w="1665"/>
      </w:tblGrid>
      <w:tr w:rsidR="00035E03" w:rsidRPr="00030A24" w14:paraId="1AA85F18" w14:textId="77777777" w:rsidTr="00C80C60">
        <w:trPr>
          <w:jc w:val="center"/>
        </w:trPr>
        <w:tc>
          <w:tcPr>
            <w:tcW w:w="81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6FEAA3"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Cláusulas del Acuerdo</w:t>
            </w:r>
          </w:p>
        </w:tc>
        <w:tc>
          <w:tcPr>
            <w:tcW w:w="1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892DA2"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7D37B4" w:rsidRPr="00030A24" w14:paraId="48EB0499" w14:textId="77777777" w:rsidTr="00035E03">
        <w:trPr>
          <w:jc w:val="center"/>
        </w:trPr>
        <w:tc>
          <w:tcPr>
            <w:tcW w:w="8145" w:type="dxa"/>
            <w:tcBorders>
              <w:top w:val="single" w:sz="4" w:space="0" w:color="auto"/>
              <w:left w:val="single" w:sz="4" w:space="0" w:color="auto"/>
              <w:bottom w:val="single" w:sz="4" w:space="0" w:color="auto"/>
              <w:right w:val="single" w:sz="4" w:space="0" w:color="auto"/>
            </w:tcBorders>
            <w:vAlign w:val="center"/>
          </w:tcPr>
          <w:p w14:paraId="02FB9BE3" w14:textId="77777777" w:rsidR="007D37B4" w:rsidRPr="00030A24" w:rsidRDefault="007D37B4" w:rsidP="00030A24">
            <w:pPr>
              <w:spacing w:after="0" w:line="240" w:lineRule="auto"/>
              <w:jc w:val="both"/>
              <w:rPr>
                <w:rFonts w:ascii="Cambria" w:hAnsi="Cambria"/>
                <w:b/>
                <w:color w:val="000000"/>
                <w:lang w:val="es-CO"/>
              </w:rPr>
            </w:pPr>
            <w:r w:rsidRPr="00030A24">
              <w:rPr>
                <w:rFonts w:ascii="Cambria" w:hAnsi="Cambria"/>
                <w:b/>
                <w:color w:val="000000"/>
                <w:lang w:val="es-CO"/>
              </w:rPr>
              <w:t>III. RESPONSABILIDAD DEL ESTADO Y ALLANAMIENTO</w:t>
            </w:r>
          </w:p>
          <w:p w14:paraId="0997F303" w14:textId="77777777" w:rsidR="007D37B4" w:rsidRPr="00030A24" w:rsidRDefault="007D37B4"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del señor Joffre José Valencia Mero [de la señorita Ivonne Rocío Valencia Sánchez] [de la señorita Priscila Zobeida Valencia Sánchez] reconocidos en los Artículos 8 (Garantías Judiciales), Artículo 7 (Derecho a la Libertad Personal) y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Estado y ha generado la responsabilidad de éste frente a la sociedad.</w:t>
            </w:r>
          </w:p>
          <w:p w14:paraId="25527FA1" w14:textId="77777777" w:rsidR="007D37B4" w:rsidRPr="00030A24" w:rsidRDefault="007D37B4" w:rsidP="00030A24">
            <w:pPr>
              <w:spacing w:after="0" w:line="240" w:lineRule="auto"/>
              <w:jc w:val="both"/>
              <w:rPr>
                <w:rFonts w:ascii="Cambria" w:hAnsi="Cambria"/>
                <w:bCs/>
                <w:color w:val="000000"/>
                <w:lang w:val="es-CO"/>
              </w:rPr>
            </w:pPr>
          </w:p>
          <w:p w14:paraId="578DF8EE" w14:textId="0D9E5CE0" w:rsidR="007D37B4" w:rsidRPr="00030A24" w:rsidRDefault="007D37B4"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No. 12.188 que se encuentra en trámite ante la Comisión Interamericana de Derechos Humanos y se obliga a asumir las medidas reparadoras necesarias a fin de resarcir los perjuicios ocasionados a las víctimas de tales violaciones o en su defecto a sus causahabientes.</w:t>
            </w:r>
          </w:p>
        </w:tc>
        <w:tc>
          <w:tcPr>
            <w:tcW w:w="1665" w:type="dxa"/>
            <w:tcBorders>
              <w:top w:val="single" w:sz="4" w:space="0" w:color="auto"/>
              <w:left w:val="single" w:sz="4" w:space="0" w:color="auto"/>
              <w:bottom w:val="single" w:sz="4" w:space="0" w:color="auto"/>
              <w:right w:val="single" w:sz="4" w:space="0" w:color="auto"/>
            </w:tcBorders>
            <w:vAlign w:val="center"/>
          </w:tcPr>
          <w:p w14:paraId="7C93B09A" w14:textId="084EAA50" w:rsidR="007D37B4" w:rsidRPr="00030A24" w:rsidRDefault="007D37B4"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399D5FBD" w14:textId="77777777" w:rsidTr="00035E03">
        <w:trPr>
          <w:jc w:val="center"/>
        </w:trPr>
        <w:tc>
          <w:tcPr>
            <w:tcW w:w="8145" w:type="dxa"/>
            <w:tcBorders>
              <w:top w:val="single" w:sz="4" w:space="0" w:color="auto"/>
              <w:left w:val="single" w:sz="4" w:space="0" w:color="auto"/>
              <w:bottom w:val="single" w:sz="4" w:space="0" w:color="auto"/>
              <w:right w:val="single" w:sz="4" w:space="0" w:color="auto"/>
            </w:tcBorders>
            <w:vAlign w:val="center"/>
            <w:hideMark/>
          </w:tcPr>
          <w:p w14:paraId="732B6508"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IV.    INDEMNIZACIÓN</w:t>
            </w:r>
          </w:p>
          <w:p w14:paraId="62CFCC34"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al señor Joffre José Valencia Mero, con cédula de ciudadanía número 120027574-9 [entrega a la señorita Ivonne Rocío Valencia Sánchez], con cédula de ciudadanía número 091197036-6] [entrega a la señorita Priscila Zobeida Valencia Sánchez, con cédula de ciudadanía número 091492945-0], una indemnización compensatoria por una sola vez, de veinticinco mil dólares de los Estados Unidos de Norteamérica (US $25,000.00), con cargo al Presupuesto General del Estado.. […]</w:t>
            </w:r>
          </w:p>
        </w:tc>
        <w:tc>
          <w:tcPr>
            <w:tcW w:w="1665" w:type="dxa"/>
            <w:tcBorders>
              <w:top w:val="single" w:sz="4" w:space="0" w:color="auto"/>
              <w:left w:val="single" w:sz="4" w:space="0" w:color="auto"/>
              <w:bottom w:val="single" w:sz="4" w:space="0" w:color="auto"/>
              <w:right w:val="single" w:sz="4" w:space="0" w:color="auto"/>
            </w:tcBorders>
            <w:vAlign w:val="center"/>
            <w:hideMark/>
          </w:tcPr>
          <w:p w14:paraId="58D9E119"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Fonts w:ascii="Cambria" w:hAnsi="Cambria"/>
                <w:b/>
                <w:color w:val="000000"/>
                <w:vertAlign w:val="superscript"/>
                <w:lang w:val="es-CO"/>
              </w:rPr>
              <w:footnoteReference w:id="2"/>
            </w:r>
          </w:p>
        </w:tc>
      </w:tr>
      <w:tr w:rsidR="00035E03" w:rsidRPr="00030A24" w14:paraId="067242E6" w14:textId="77777777" w:rsidTr="00035E03">
        <w:trPr>
          <w:trHeight w:val="350"/>
          <w:jc w:val="center"/>
        </w:trPr>
        <w:tc>
          <w:tcPr>
            <w:tcW w:w="8145" w:type="dxa"/>
            <w:tcBorders>
              <w:top w:val="single" w:sz="4" w:space="0" w:color="auto"/>
              <w:left w:val="single" w:sz="4" w:space="0" w:color="auto"/>
              <w:bottom w:val="single" w:sz="4" w:space="0" w:color="auto"/>
              <w:right w:val="single" w:sz="4" w:space="0" w:color="auto"/>
            </w:tcBorders>
            <w:hideMark/>
          </w:tcPr>
          <w:p w14:paraId="51DB17DC"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5D2F3274" w14:textId="2F9AFADA"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El Estado Ecuatoriano, se compromete, en la medida de sus posibilidades, al enjuiciamiento tanto civil como penal y a la búsqueda de las sanciones administrativas de las personas </w:t>
            </w:r>
            <w:r w:rsidR="00030A24" w:rsidRPr="00030A24">
              <w:rPr>
                <w:rFonts w:ascii="Cambria" w:hAnsi="Cambria"/>
                <w:color w:val="000000"/>
                <w:lang w:val="es-CO"/>
              </w:rPr>
              <w:t>que, en</w:t>
            </w:r>
            <w:r w:rsidRPr="00030A24">
              <w:rPr>
                <w:rFonts w:ascii="Cambria" w:hAnsi="Cambria"/>
                <w:color w:val="000000"/>
                <w:lang w:val="es-CO"/>
              </w:rPr>
              <w:t xml:space="preserve"> cumplimiento de funciones estatales o prevalidos del poder público, se presume que tuvieron participación en la violación alegada.</w:t>
            </w:r>
          </w:p>
          <w:p w14:paraId="76AF7CAE"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1665" w:type="dxa"/>
            <w:tcBorders>
              <w:top w:val="single" w:sz="4" w:space="0" w:color="auto"/>
              <w:left w:val="single" w:sz="4" w:space="0" w:color="auto"/>
              <w:bottom w:val="single" w:sz="4" w:space="0" w:color="auto"/>
              <w:right w:val="single" w:sz="4" w:space="0" w:color="auto"/>
            </w:tcBorders>
            <w:vAlign w:val="center"/>
            <w:hideMark/>
          </w:tcPr>
          <w:p w14:paraId="454F18AB" w14:textId="4C91333B"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bl>
    <w:p w14:paraId="51404044" w14:textId="77777777" w:rsidR="0053292A" w:rsidRPr="00030A24" w:rsidRDefault="0053292A" w:rsidP="00030A24">
      <w:pPr>
        <w:autoSpaceDE w:val="0"/>
        <w:autoSpaceDN w:val="0"/>
        <w:spacing w:after="0" w:line="240" w:lineRule="auto"/>
        <w:ind w:firstLine="720"/>
        <w:jc w:val="both"/>
        <w:rPr>
          <w:rFonts w:ascii="Cambria" w:hAnsi="Cambria"/>
          <w:color w:val="000000"/>
          <w:lang w:val="es-CO"/>
        </w:rPr>
      </w:pPr>
    </w:p>
    <w:p w14:paraId="28EE5E7A" w14:textId="77777777" w:rsidR="0053292A" w:rsidRPr="00030A24" w:rsidRDefault="0053292A" w:rsidP="00030A24">
      <w:pPr>
        <w:numPr>
          <w:ilvl w:val="0"/>
          <w:numId w:val="63"/>
        </w:numPr>
        <w:autoSpaceDE w:val="0"/>
        <w:autoSpaceDN w:val="0"/>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NIVEL DE CUMPLIMIENTO DEL CASO </w:t>
      </w:r>
    </w:p>
    <w:p w14:paraId="5BAB25C4" w14:textId="77777777" w:rsidR="0053292A" w:rsidRPr="00030A24" w:rsidRDefault="0053292A" w:rsidP="00030A24">
      <w:pPr>
        <w:autoSpaceDE w:val="0"/>
        <w:autoSpaceDN w:val="0"/>
        <w:spacing w:after="0" w:line="240" w:lineRule="auto"/>
        <w:ind w:firstLine="720"/>
        <w:jc w:val="both"/>
        <w:rPr>
          <w:rFonts w:ascii="Cambria" w:hAnsi="Cambria"/>
          <w:color w:val="000000"/>
          <w:lang w:val="es-CO"/>
        </w:rPr>
      </w:pPr>
    </w:p>
    <w:p w14:paraId="4FD4B9ED" w14:textId="073FEE9B" w:rsidR="0053292A" w:rsidRPr="00030A24" w:rsidRDefault="0053292A" w:rsidP="00030A24">
      <w:pPr>
        <w:numPr>
          <w:ilvl w:val="0"/>
          <w:numId w:val="62"/>
        </w:numPr>
        <w:autoSpaceDE w:val="0"/>
        <w:autoSpaceDN w:val="0"/>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La Comisión valoró la solicitud de la parte peticionaria de 3 de diciembre de 2015, en la cual solicitaron el cese de la supervisión del acuerdo y el archivo del caso dado la prescripción de la acción penal y la perdida de contacto con las </w:t>
      </w:r>
      <w:r w:rsidRPr="00030A24">
        <w:rPr>
          <w:rFonts w:ascii="Cambria" w:eastAsia="MS Mincho" w:hAnsi="Cambria"/>
          <w:color w:val="000000"/>
          <w:lang w:val="es-CO"/>
        </w:rPr>
        <w:t>víctimas</w:t>
      </w:r>
      <w:r w:rsidRPr="00030A24">
        <w:rPr>
          <w:rFonts w:ascii="Cambria" w:hAnsi="Cambria"/>
          <w:color w:val="000000"/>
          <w:lang w:val="es-CO"/>
        </w:rPr>
        <w:t xml:space="preserve"> del caso. Tomando en consideración que el presente caso no se refiere a graves violaciones de derechos humanos</w:t>
      </w:r>
      <w:r w:rsidRPr="00030A24">
        <w:rPr>
          <w:rFonts w:ascii="Cambria" w:eastAsia="MS Mincho" w:hAnsi="Cambria"/>
          <w:color w:val="000000"/>
          <w:lang w:val="es-CO"/>
        </w:rPr>
        <w:t>,</w:t>
      </w:r>
      <w:r w:rsidRPr="00030A24">
        <w:rPr>
          <w:rFonts w:ascii="Cambria" w:hAnsi="Cambria"/>
          <w:color w:val="000000"/>
          <w:lang w:val="es-CO"/>
        </w:rPr>
        <w:t xml:space="preserve"> que serían imprescriptibles de acuerdo a la jurisprudencia constante de la Comisión y la Corte Interamericana de Derechos Humanos, la Comisión </w:t>
      </w:r>
      <w:r w:rsidRPr="00030A24">
        <w:rPr>
          <w:rFonts w:ascii="Cambria" w:eastAsia="MS Mincho" w:hAnsi="Cambria"/>
          <w:color w:val="000000"/>
          <w:lang w:val="es-CO"/>
        </w:rPr>
        <w:t>decidió</w:t>
      </w:r>
      <w:r w:rsidRPr="00030A24">
        <w:rPr>
          <w:rFonts w:ascii="Cambria" w:hAnsi="Cambria"/>
          <w:color w:val="000000"/>
          <w:lang w:val="es-CO"/>
        </w:rPr>
        <w:t xml:space="preserve"> dejar constancia de que la medida de justicia fue incumplida por el Estado ecuatoriano y que el nivel de cumplimiento del acuerdo es parcial. En consecuencia</w:t>
      </w:r>
      <w:r w:rsidRPr="00030A24">
        <w:rPr>
          <w:rFonts w:ascii="Cambria" w:eastAsia="MS Mincho" w:hAnsi="Cambria"/>
          <w:color w:val="000000"/>
          <w:lang w:val="es-CO"/>
        </w:rPr>
        <w:t>,</w:t>
      </w:r>
      <w:r w:rsidRPr="00030A24">
        <w:rPr>
          <w:rFonts w:ascii="Cambria" w:hAnsi="Cambria"/>
          <w:color w:val="000000"/>
          <w:lang w:val="es-CO"/>
        </w:rPr>
        <w:t xml:space="preserve"> a lo anteriormente indicado, la Comisión decidió cesar la supervisión del acuerdo de solución amistosa suscrito y cerrar el caso. </w:t>
      </w:r>
    </w:p>
    <w:p w14:paraId="2EED9E41" w14:textId="77777777" w:rsidR="0053292A" w:rsidRPr="00030A24" w:rsidRDefault="0053292A" w:rsidP="00030A24">
      <w:pPr>
        <w:autoSpaceDE w:val="0"/>
        <w:autoSpaceDN w:val="0"/>
        <w:spacing w:after="0" w:line="240" w:lineRule="auto"/>
        <w:jc w:val="both"/>
        <w:rPr>
          <w:rFonts w:ascii="Cambria" w:hAnsi="Cambria"/>
          <w:color w:val="000000"/>
          <w:lang w:val="es-CO"/>
        </w:rPr>
      </w:pPr>
    </w:p>
    <w:p w14:paraId="6CDCDF54" w14:textId="77777777" w:rsidR="0053292A" w:rsidRPr="00030A24" w:rsidRDefault="0053292A" w:rsidP="00030A24">
      <w:pPr>
        <w:numPr>
          <w:ilvl w:val="0"/>
          <w:numId w:val="6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707090CD"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296FE8E8" w14:textId="3AB16C2D" w:rsidR="0053292A" w:rsidRPr="00030A24" w:rsidRDefault="0053292A" w:rsidP="00030A24">
      <w:pPr>
        <w:numPr>
          <w:ilvl w:val="0"/>
          <w:numId w:val="61"/>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4546DD6E" w14:textId="77777777" w:rsidR="0053292A" w:rsidRPr="00030A24" w:rsidRDefault="0053292A" w:rsidP="00030A24">
      <w:pPr>
        <w:spacing w:after="0" w:line="240" w:lineRule="auto"/>
        <w:ind w:left="720"/>
        <w:contextualSpacing/>
        <w:jc w:val="both"/>
        <w:rPr>
          <w:rFonts w:ascii="Cambria" w:hAnsi="Cambria"/>
          <w:b/>
          <w:color w:val="000000"/>
          <w:lang w:val="es-CO"/>
        </w:rPr>
      </w:pPr>
    </w:p>
    <w:p w14:paraId="721D76B2" w14:textId="12BA192B" w:rsidR="00977EF7" w:rsidRPr="006F1D5A" w:rsidRDefault="0053292A" w:rsidP="006F1D5A">
      <w:pPr>
        <w:numPr>
          <w:ilvl w:val="0"/>
          <w:numId w:val="24"/>
        </w:numPr>
        <w:spacing w:after="0" w:line="240" w:lineRule="auto"/>
        <w:ind w:left="0" w:right="-270" w:firstLine="0"/>
        <w:contextualSpacing/>
        <w:jc w:val="center"/>
        <w:rPr>
          <w:lang w:val="es-MX"/>
        </w:rPr>
      </w:pPr>
      <w:r w:rsidRPr="006F1D5A">
        <w:rPr>
          <w:rFonts w:ascii="Cambria" w:hAnsi="Cambria"/>
          <w:color w:val="000000"/>
          <w:lang w:val="es-CO"/>
        </w:rPr>
        <w:t xml:space="preserve">El Estado realizó la reparación económica, según lo establecido en el acuerdo. </w:t>
      </w:r>
    </w:p>
    <w:sectPr w:rsidR="00977EF7" w:rsidRPr="006F1D5A"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975C" w14:textId="77777777" w:rsidR="003E19BD" w:rsidRDefault="003E19BD" w:rsidP="00A343FF">
      <w:pPr>
        <w:spacing w:after="0" w:line="240" w:lineRule="auto"/>
      </w:pPr>
      <w:r>
        <w:separator/>
      </w:r>
    </w:p>
  </w:endnote>
  <w:endnote w:type="continuationSeparator" w:id="0">
    <w:p w14:paraId="05B7FF90" w14:textId="77777777" w:rsidR="003E19BD" w:rsidRDefault="003E19BD" w:rsidP="00A343FF">
      <w:pPr>
        <w:spacing w:after="0" w:line="240" w:lineRule="auto"/>
      </w:pPr>
      <w:r>
        <w:continuationSeparator/>
      </w:r>
    </w:p>
  </w:endnote>
  <w:endnote w:type="continuationNotice" w:id="1">
    <w:p w14:paraId="230E371E" w14:textId="77777777" w:rsidR="003E19BD" w:rsidRDefault="003E1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293A26"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DC10" w14:textId="77777777" w:rsidR="003E19BD" w:rsidRDefault="003E19BD" w:rsidP="00A343FF">
      <w:pPr>
        <w:spacing w:after="0" w:line="240" w:lineRule="auto"/>
      </w:pPr>
      <w:r>
        <w:separator/>
      </w:r>
    </w:p>
  </w:footnote>
  <w:footnote w:type="continuationSeparator" w:id="0">
    <w:p w14:paraId="3D9CEA5A" w14:textId="77777777" w:rsidR="003E19BD" w:rsidRDefault="003E19BD" w:rsidP="00A343FF">
      <w:pPr>
        <w:spacing w:after="0" w:line="240" w:lineRule="auto"/>
      </w:pPr>
      <w:r>
        <w:continuationSeparator/>
      </w:r>
    </w:p>
  </w:footnote>
  <w:footnote w:type="continuationNotice" w:id="1">
    <w:p w14:paraId="2A27800F" w14:textId="77777777" w:rsidR="003E19BD" w:rsidRDefault="003E19BD">
      <w:pPr>
        <w:spacing w:after="0" w:line="240" w:lineRule="auto"/>
      </w:pPr>
    </w:p>
  </w:footnote>
  <w:footnote w:id="2">
    <w:p w14:paraId="39249EFD" w14:textId="77777777" w:rsidR="0053292A" w:rsidRPr="00BE72E8" w:rsidRDefault="0053292A" w:rsidP="0053292A">
      <w:pPr>
        <w:pStyle w:val="FootnoteText"/>
        <w:ind w:firstLine="709"/>
        <w:jc w:val="both"/>
        <w:rPr>
          <w:rFonts w:ascii="Cambria" w:hAnsi="Cambria"/>
          <w:color w:val="000000"/>
          <w:sz w:val="16"/>
          <w:szCs w:val="16"/>
          <w:lang w:val="es-VE"/>
        </w:rPr>
      </w:pPr>
      <w:r w:rsidRPr="00BE72E8">
        <w:rPr>
          <w:rStyle w:val="FootnoteReference"/>
          <w:rFonts w:ascii="Cambria" w:hAnsi="Cambria"/>
          <w:color w:val="000000"/>
          <w:sz w:val="16"/>
          <w:szCs w:val="16"/>
        </w:rPr>
        <w:footnoteRef/>
      </w:r>
      <w:r w:rsidRPr="00BE72E8">
        <w:rPr>
          <w:rFonts w:ascii="Cambria" w:hAnsi="Cambria"/>
          <w:color w:val="000000"/>
          <w:sz w:val="16"/>
          <w:szCs w:val="16"/>
          <w:lang w:val="es-VE"/>
        </w:rPr>
        <w:t xml:space="preserve"> </w:t>
      </w:r>
      <w:r w:rsidRPr="00BE72E8">
        <w:rPr>
          <w:rFonts w:ascii="Cambria" w:hAnsi="Cambria"/>
          <w:color w:val="000000"/>
          <w:sz w:val="16"/>
          <w:szCs w:val="16"/>
          <w:lang w:val="es-ES_tradnl"/>
        </w:rPr>
        <w:t>Informe No. 64/03, Caso 12.188, Joffre José Valencia Mero, Priscila Zoreida Valencia Sánchez, Rocío Valencia Sánchez, 10 de octubre de 2003, disponible en http://www.cidh.oas.org/annualrep/2003sp/Ecuador.12188.htm</w:t>
      </w:r>
    </w:p>
  </w:footnote>
  <w:footnote w:id="3">
    <w:p w14:paraId="687D1ECF" w14:textId="77777777" w:rsidR="00035E03" w:rsidRPr="00BE72E8" w:rsidRDefault="00035E03" w:rsidP="0053292A">
      <w:pPr>
        <w:pStyle w:val="FootnoteText"/>
        <w:ind w:firstLine="709"/>
        <w:jc w:val="both"/>
        <w:rPr>
          <w:lang w:val="es-ES"/>
        </w:rPr>
      </w:pPr>
      <w:r w:rsidRPr="00BE72E8">
        <w:rPr>
          <w:rStyle w:val="FootnoteReference"/>
          <w:sz w:val="16"/>
          <w:szCs w:val="16"/>
        </w:rPr>
        <w:footnoteRef/>
      </w:r>
      <w:r w:rsidRPr="00BE72E8">
        <w:rPr>
          <w:sz w:val="16"/>
          <w:szCs w:val="16"/>
          <w:lang w:val="es-AR"/>
        </w:rPr>
        <w:t xml:space="preserve"> </w:t>
      </w:r>
      <w:r w:rsidRPr="00BE72E8">
        <w:rPr>
          <w:rFonts w:ascii="Cambria" w:hAnsi="Cambria"/>
          <w:sz w:val="16"/>
          <w:szCs w:val="16"/>
          <w:lang w:val="es-AR"/>
        </w:rPr>
        <w:t xml:space="preserve">Ver CIDH, Informe Anual 2018, Capítulo II, Sección G. Estado del cumplimiento de las recomendaciones de la CIDH emitidas en informes de fondo y de los acuerdos de solución amistosa homologados por la CIDH. Disponible en: </w:t>
      </w:r>
      <w:hyperlink r:id="rId1" w:history="1">
        <w:r w:rsidRPr="00BE72E8">
          <w:rPr>
            <w:rStyle w:val="Hyperlink"/>
            <w:rFonts w:ascii="Cambria" w:hAnsi="Cambria"/>
            <w:sz w:val="16"/>
            <w:szCs w:val="16"/>
            <w:lang w:val="es-AR"/>
          </w:rPr>
          <w:t>http://www.oas.org/es/cidh/docs/anual/2018/docs/IA2018cap.2-es.pdf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293A26">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293A26"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3A26"/>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19BD"/>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1D5A"/>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3sp/Ecuador.12188.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2023-03-03T22:06:00Z</dcterms:created>
  <dcterms:modified xsi:type="dcterms:W3CDTF">2023-03-03T22:06:00Z</dcterms:modified>
</cp:coreProperties>
</file>