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0D5C3" w14:textId="77777777" w:rsidR="00E737AE" w:rsidRPr="007175E2" w:rsidRDefault="00E737AE" w:rsidP="00112395">
      <w:pPr>
        <w:spacing w:after="0" w:line="240" w:lineRule="auto"/>
        <w:ind w:right="4"/>
        <w:rPr>
          <w:rFonts w:ascii="Cambria" w:hAnsi="Cambria"/>
        </w:rPr>
      </w:pPr>
    </w:p>
    <w:p w14:paraId="6695581A" w14:textId="77777777" w:rsidR="00470C7B" w:rsidRPr="007175E2" w:rsidRDefault="00470C7B" w:rsidP="00112395">
      <w:pPr>
        <w:spacing w:after="0" w:line="240" w:lineRule="auto"/>
        <w:ind w:right="4"/>
        <w:jc w:val="center"/>
        <w:rPr>
          <w:rFonts w:ascii="Cambria" w:eastAsia="Batang" w:hAnsi="Cambria"/>
          <w:b/>
          <w:color w:val="000000"/>
        </w:rPr>
      </w:pPr>
      <w:r w:rsidRPr="007175E2">
        <w:rPr>
          <w:rFonts w:ascii="Cambria" w:eastAsia="Batang" w:hAnsi="Cambria"/>
          <w:b/>
          <w:color w:val="000000"/>
        </w:rPr>
        <w:t>TECHNICAL INFORMATION SHEET</w:t>
      </w:r>
    </w:p>
    <w:p w14:paraId="0A61DB7A" w14:textId="023E9A77" w:rsidR="00470C7B" w:rsidRPr="007175E2" w:rsidRDefault="00470C7B" w:rsidP="00112395">
      <w:pPr>
        <w:spacing w:after="0" w:line="240" w:lineRule="auto"/>
        <w:ind w:right="4"/>
        <w:jc w:val="center"/>
        <w:rPr>
          <w:rFonts w:ascii="Cambria" w:eastAsia="Batang" w:hAnsi="Cambria"/>
          <w:b/>
          <w:color w:val="000000"/>
        </w:rPr>
      </w:pPr>
      <w:r w:rsidRPr="007175E2">
        <w:rPr>
          <w:rFonts w:ascii="Cambria" w:hAnsi="Cambria"/>
          <w:b/>
          <w:color w:val="000000"/>
        </w:rPr>
        <w:t xml:space="preserve">CASE </w:t>
      </w:r>
      <w:r w:rsidRPr="007175E2">
        <w:rPr>
          <w:rFonts w:ascii="Cambria" w:eastAsia="Batang" w:hAnsi="Cambria"/>
          <w:b/>
          <w:color w:val="000000"/>
        </w:rPr>
        <w:t>12.961</w:t>
      </w:r>
      <w:r w:rsidR="00127F17" w:rsidRPr="007175E2">
        <w:rPr>
          <w:rFonts w:ascii="Cambria" w:eastAsia="Batang" w:hAnsi="Cambria"/>
          <w:b/>
          <w:color w:val="000000"/>
        </w:rPr>
        <w:t xml:space="preserve"> </w:t>
      </w:r>
      <w:r w:rsidRPr="007175E2">
        <w:rPr>
          <w:rFonts w:ascii="Cambria" w:eastAsia="Batang" w:hAnsi="Cambria"/>
          <w:b/>
          <w:color w:val="000000"/>
        </w:rPr>
        <w:t>E ECAR FERNANDO ZAVALA VALLADARES</w:t>
      </w:r>
    </w:p>
    <w:p w14:paraId="672D9EBA" w14:textId="55AC91A6" w:rsidR="00470C7B" w:rsidRPr="007175E2" w:rsidRDefault="00470C7B" w:rsidP="00112395">
      <w:pPr>
        <w:spacing w:after="0" w:line="240" w:lineRule="auto"/>
        <w:ind w:right="4"/>
        <w:jc w:val="center"/>
        <w:rPr>
          <w:rFonts w:ascii="Cambria" w:eastAsia="Batang" w:hAnsi="Cambria"/>
          <w:b/>
          <w:color w:val="000000"/>
          <w:lang w:val="es-CO"/>
        </w:rPr>
      </w:pPr>
      <w:r w:rsidRPr="007175E2">
        <w:rPr>
          <w:rFonts w:ascii="Cambria" w:eastAsia="Batang" w:hAnsi="Cambria"/>
          <w:b/>
          <w:color w:val="000000"/>
        </w:rPr>
        <w:t>FRIENDLY SETTLEMENT REPORT No</w:t>
      </w:r>
      <w:r w:rsidRPr="007175E2">
        <w:rPr>
          <w:rFonts w:ascii="Cambria" w:eastAsia="Batang" w:hAnsi="Cambria"/>
          <w:b/>
          <w:color w:val="000000" w:themeColor="text1"/>
        </w:rPr>
        <w:t>.</w:t>
      </w:r>
      <w:r w:rsidR="00A678C3" w:rsidRPr="007175E2">
        <w:rPr>
          <w:rFonts w:ascii="Cambria" w:eastAsia="Batang" w:hAnsi="Cambria"/>
          <w:b/>
          <w:color w:val="000000" w:themeColor="text1"/>
        </w:rPr>
        <w:t xml:space="preserve"> </w:t>
      </w:r>
      <w:hyperlink r:id="rId11" w:history="1">
        <w:r w:rsidRPr="007175E2">
          <w:rPr>
            <w:rStyle w:val="Hyperlink"/>
            <w:rFonts w:ascii="Cambria" w:eastAsia="Batang" w:hAnsi="Cambria"/>
            <w:b/>
            <w:bCs/>
            <w:color w:val="000000" w:themeColor="text1"/>
            <w:u w:val="none"/>
          </w:rPr>
          <w:t>42/21</w:t>
        </w:r>
      </w:hyperlink>
    </w:p>
    <w:p w14:paraId="5C2F2361" w14:textId="77777777" w:rsidR="00470C7B" w:rsidRPr="007175E2" w:rsidRDefault="00470C7B" w:rsidP="00112395">
      <w:pPr>
        <w:spacing w:after="0" w:line="240" w:lineRule="auto"/>
        <w:ind w:right="4"/>
        <w:jc w:val="center"/>
        <w:rPr>
          <w:rFonts w:ascii="Cambria" w:eastAsia="Batang" w:hAnsi="Cambria"/>
          <w:b/>
          <w:color w:val="000000"/>
        </w:rPr>
      </w:pPr>
      <w:r w:rsidRPr="007175E2">
        <w:rPr>
          <w:rFonts w:ascii="Cambria" w:eastAsia="Batang" w:hAnsi="Cambria"/>
          <w:b/>
          <w:color w:val="000000"/>
        </w:rPr>
        <w:t>TOTAL COMPLIANCE</w:t>
      </w:r>
    </w:p>
    <w:p w14:paraId="176D29F7" w14:textId="77777777" w:rsidR="00470C7B" w:rsidRPr="007175E2" w:rsidRDefault="00470C7B" w:rsidP="00112395">
      <w:pPr>
        <w:spacing w:after="0" w:line="240" w:lineRule="auto"/>
        <w:ind w:right="4"/>
        <w:jc w:val="center"/>
        <w:rPr>
          <w:rFonts w:ascii="Cambria" w:eastAsia="Batang" w:hAnsi="Cambria"/>
          <w:b/>
          <w:color w:val="000000"/>
          <w:lang w:val="es-ES"/>
        </w:rPr>
      </w:pPr>
      <w:r w:rsidRPr="007175E2">
        <w:rPr>
          <w:rFonts w:ascii="Cambria" w:eastAsia="Batang" w:hAnsi="Cambria"/>
          <w:b/>
          <w:color w:val="000000"/>
          <w:lang w:val="es-ES"/>
        </w:rPr>
        <w:t>(HONDURAS)</w:t>
      </w:r>
    </w:p>
    <w:p w14:paraId="51EFA785" w14:textId="77777777" w:rsidR="00470C7B" w:rsidRPr="007175E2" w:rsidRDefault="00470C7B" w:rsidP="00470C7B">
      <w:pPr>
        <w:spacing w:after="0" w:line="240" w:lineRule="auto"/>
        <w:ind w:right="-270"/>
        <w:jc w:val="center"/>
        <w:rPr>
          <w:rFonts w:ascii="Cambria" w:eastAsia="Batang" w:hAnsi="Cambria"/>
          <w:b/>
          <w:color w:val="000000"/>
          <w:lang w:val="es-ES"/>
        </w:rPr>
      </w:pPr>
    </w:p>
    <w:p w14:paraId="71FA7B65" w14:textId="77777777" w:rsidR="00470C7B" w:rsidRPr="007175E2" w:rsidRDefault="00470C7B" w:rsidP="00470C7B">
      <w:pPr>
        <w:numPr>
          <w:ilvl w:val="0"/>
          <w:numId w:val="1"/>
        </w:numPr>
        <w:spacing w:after="0" w:line="240" w:lineRule="auto"/>
        <w:ind w:left="0" w:firstLine="720"/>
        <w:rPr>
          <w:rFonts w:ascii="Cambria" w:eastAsia="Batang" w:hAnsi="Cambria" w:cs="Calibri Light"/>
          <w:b/>
          <w:color w:val="000000"/>
        </w:rPr>
      </w:pPr>
      <w:r w:rsidRPr="007175E2">
        <w:rPr>
          <w:rFonts w:ascii="Cambria" w:eastAsia="Batang" w:hAnsi="Cambria" w:cs="Calibri Light"/>
          <w:b/>
          <w:color w:val="000000"/>
        </w:rPr>
        <w:t>SUMMARY OF THE CASE</w:t>
      </w:r>
    </w:p>
    <w:p w14:paraId="315CC8FA" w14:textId="77777777" w:rsidR="00470C7B" w:rsidRPr="007175E2" w:rsidRDefault="00470C7B" w:rsidP="00470C7B">
      <w:pPr>
        <w:spacing w:after="0" w:line="240" w:lineRule="auto"/>
        <w:rPr>
          <w:rFonts w:ascii="Cambria" w:eastAsia="Batang" w:hAnsi="Cambria" w:cs="Calibri Light"/>
          <w:b/>
          <w:color w:val="000000"/>
        </w:rPr>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287"/>
      </w:tblGrid>
      <w:tr w:rsidR="00E737AE" w:rsidRPr="007175E2" w14:paraId="1DE6A4EA" w14:textId="77777777" w:rsidTr="00E737AE">
        <w:trPr>
          <w:trHeight w:val="6805"/>
          <w:jc w:val="center"/>
        </w:trPr>
        <w:tc>
          <w:tcPr>
            <w:tcW w:w="9287" w:type="dxa"/>
            <w:shd w:val="clear" w:color="auto" w:fill="F2F2F2"/>
          </w:tcPr>
          <w:p w14:paraId="4F96FF41" w14:textId="77777777" w:rsidR="00470C7B" w:rsidRPr="007175E2" w:rsidRDefault="00470C7B" w:rsidP="00F024F0">
            <w:pPr>
              <w:tabs>
                <w:tab w:val="left" w:pos="9270"/>
              </w:tabs>
              <w:spacing w:after="0" w:line="240" w:lineRule="auto"/>
              <w:jc w:val="both"/>
              <w:rPr>
                <w:rFonts w:ascii="Cambria" w:eastAsia="Batang" w:hAnsi="Cambria"/>
                <w:b/>
                <w:color w:val="000000"/>
                <w:lang w:val="es-CO"/>
              </w:rPr>
            </w:pPr>
            <w:r w:rsidRPr="007175E2">
              <w:rPr>
                <w:rFonts w:ascii="Cambria" w:eastAsia="Batang" w:hAnsi="Cambria"/>
                <w:b/>
                <w:color w:val="000000"/>
                <w:lang w:val="es-CO"/>
              </w:rPr>
              <w:t xml:space="preserve">Victim(s): </w:t>
            </w:r>
            <w:r w:rsidRPr="007175E2">
              <w:rPr>
                <w:rFonts w:ascii="Cambria" w:eastAsia="Batang" w:hAnsi="Cambria"/>
                <w:color w:val="000000"/>
                <w:lang w:val="es-CO"/>
              </w:rPr>
              <w:t>Ecar Fernando Zavala Valladares et. al</w:t>
            </w:r>
          </w:p>
          <w:p w14:paraId="6ECB31AF" w14:textId="77777777" w:rsidR="00470C7B" w:rsidRPr="007175E2" w:rsidRDefault="00470C7B" w:rsidP="00F024F0">
            <w:pPr>
              <w:tabs>
                <w:tab w:val="left" w:pos="9270"/>
              </w:tabs>
              <w:spacing w:after="0" w:line="240" w:lineRule="auto"/>
              <w:jc w:val="both"/>
              <w:rPr>
                <w:rFonts w:ascii="Cambria" w:eastAsia="Batang" w:hAnsi="Cambria"/>
                <w:b/>
                <w:bCs/>
                <w:color w:val="000000"/>
                <w:lang w:val="es-CO"/>
              </w:rPr>
            </w:pPr>
            <w:r w:rsidRPr="007175E2">
              <w:rPr>
                <w:rFonts w:ascii="Cambria" w:eastAsia="Batang" w:hAnsi="Cambria"/>
                <w:b/>
                <w:color w:val="000000"/>
                <w:lang w:val="es-CO"/>
              </w:rPr>
              <w:t xml:space="preserve">Petitioner(s): </w:t>
            </w:r>
            <w:r w:rsidRPr="007175E2">
              <w:rPr>
                <w:rFonts w:ascii="Cambria" w:eastAsia="Batang" w:hAnsi="Cambria"/>
                <w:color w:val="000000"/>
                <w:lang w:val="es-CO"/>
              </w:rPr>
              <w:t>Hugo Ramón Maldonado, Leonel Casco Gutiérrez, Fredy Omar Madrid, and Gladys Ondina Matamoros</w:t>
            </w:r>
          </w:p>
          <w:p w14:paraId="043DF4F3" w14:textId="77777777" w:rsidR="00470C7B" w:rsidRPr="007175E2" w:rsidRDefault="00470C7B" w:rsidP="00F024F0">
            <w:pPr>
              <w:tabs>
                <w:tab w:val="left" w:pos="9270"/>
              </w:tabs>
              <w:spacing w:after="0" w:line="240" w:lineRule="auto"/>
              <w:jc w:val="both"/>
              <w:rPr>
                <w:rFonts w:ascii="Cambria" w:eastAsia="Batang" w:hAnsi="Cambria"/>
                <w:b/>
                <w:color w:val="000000"/>
              </w:rPr>
            </w:pPr>
            <w:r w:rsidRPr="007175E2">
              <w:rPr>
                <w:rFonts w:ascii="Cambria" w:eastAsia="Batang" w:hAnsi="Cambria"/>
                <w:b/>
                <w:color w:val="000000"/>
              </w:rPr>
              <w:t xml:space="preserve">State: </w:t>
            </w:r>
            <w:r w:rsidRPr="007175E2">
              <w:rPr>
                <w:rFonts w:ascii="Cambria" w:eastAsia="Batang" w:hAnsi="Cambria"/>
                <w:bCs/>
                <w:color w:val="000000"/>
              </w:rPr>
              <w:t>Honduras</w:t>
            </w:r>
          </w:p>
          <w:p w14:paraId="57EAB0D1" w14:textId="693D10A4" w:rsidR="00470C7B" w:rsidRPr="007175E2" w:rsidRDefault="00470C7B" w:rsidP="00F024F0">
            <w:pPr>
              <w:tabs>
                <w:tab w:val="left" w:pos="9270"/>
              </w:tabs>
              <w:spacing w:after="0" w:line="240" w:lineRule="auto"/>
              <w:jc w:val="both"/>
              <w:rPr>
                <w:rFonts w:ascii="Cambria" w:eastAsia="Batang" w:hAnsi="Cambria"/>
                <w:b/>
                <w:bCs/>
                <w:color w:val="000000"/>
              </w:rPr>
            </w:pPr>
            <w:r w:rsidRPr="007175E2">
              <w:rPr>
                <w:rFonts w:ascii="Cambria" w:eastAsia="Batang" w:hAnsi="Cambria"/>
                <w:b/>
                <w:bCs/>
                <w:color w:val="000000"/>
              </w:rPr>
              <w:t xml:space="preserve">Beginning of the negotiation date: </w:t>
            </w:r>
            <w:r w:rsidR="0067152B" w:rsidRPr="007175E2">
              <w:rPr>
                <w:rFonts w:ascii="Cambria" w:eastAsia="Batang" w:hAnsi="Cambria"/>
                <w:color w:val="000000"/>
              </w:rPr>
              <w:t>November</w:t>
            </w:r>
            <w:r w:rsidRPr="007175E2">
              <w:rPr>
                <w:rFonts w:ascii="Cambria" w:eastAsia="Batang" w:hAnsi="Cambria"/>
                <w:color w:val="000000"/>
              </w:rPr>
              <w:t xml:space="preserve"> 2014</w:t>
            </w:r>
          </w:p>
          <w:p w14:paraId="618E3803" w14:textId="77777777" w:rsidR="00470C7B" w:rsidRPr="007175E2" w:rsidRDefault="00470C7B" w:rsidP="00F024F0">
            <w:pPr>
              <w:tabs>
                <w:tab w:val="left" w:pos="9270"/>
              </w:tabs>
              <w:spacing w:after="0" w:line="240" w:lineRule="auto"/>
              <w:jc w:val="both"/>
              <w:rPr>
                <w:rFonts w:ascii="Cambria" w:eastAsia="Batang" w:hAnsi="Cambria"/>
                <w:b/>
                <w:color w:val="000000"/>
              </w:rPr>
            </w:pPr>
            <w:r w:rsidRPr="007175E2">
              <w:rPr>
                <w:rFonts w:ascii="Cambria" w:eastAsia="Batang" w:hAnsi="Cambria"/>
                <w:b/>
                <w:bCs/>
                <w:color w:val="000000"/>
              </w:rPr>
              <w:t>FSA signature date:</w:t>
            </w:r>
            <w:r w:rsidRPr="007175E2">
              <w:rPr>
                <w:rFonts w:ascii="Cambria" w:eastAsia="Batang" w:hAnsi="Cambria"/>
                <w:b/>
                <w:color w:val="000000"/>
              </w:rPr>
              <w:t xml:space="preserve"> </w:t>
            </w:r>
            <w:r w:rsidRPr="007175E2">
              <w:rPr>
                <w:rFonts w:ascii="Cambria" w:eastAsia="Batang" w:hAnsi="Cambria"/>
                <w:bCs/>
                <w:color w:val="000000"/>
              </w:rPr>
              <w:t>June 12, 2019</w:t>
            </w:r>
          </w:p>
          <w:p w14:paraId="2807AF1F" w14:textId="77777777" w:rsidR="00470C7B" w:rsidRPr="007175E2" w:rsidRDefault="00470C7B" w:rsidP="00F024F0">
            <w:pPr>
              <w:tabs>
                <w:tab w:val="left" w:pos="9270"/>
              </w:tabs>
              <w:spacing w:after="0" w:line="240" w:lineRule="auto"/>
              <w:jc w:val="both"/>
              <w:rPr>
                <w:rFonts w:ascii="Cambria" w:eastAsia="Batang" w:hAnsi="Cambria"/>
                <w:b/>
                <w:color w:val="000000" w:themeColor="text1"/>
              </w:rPr>
            </w:pPr>
            <w:r w:rsidRPr="007175E2">
              <w:rPr>
                <w:rFonts w:ascii="Cambria" w:eastAsia="Batang" w:hAnsi="Cambria"/>
                <w:b/>
                <w:color w:val="000000"/>
              </w:rPr>
              <w:t>Admissibility Report Nº:</w:t>
            </w:r>
            <w:r w:rsidRPr="007175E2">
              <w:rPr>
                <w:rFonts w:ascii="Cambria" w:eastAsia="Batang" w:hAnsi="Cambria"/>
                <w:b/>
                <w:bCs/>
                <w:color w:val="000000"/>
              </w:rPr>
              <w:t xml:space="preserve"> </w:t>
            </w:r>
            <w:hyperlink r:id="rId12" w:history="1">
              <w:r w:rsidRPr="007175E2">
                <w:rPr>
                  <w:rStyle w:val="Hyperlink"/>
                  <w:rFonts w:ascii="Cambria" w:eastAsia="Batang" w:hAnsi="Cambria"/>
                  <w:b/>
                  <w:bCs/>
                  <w:color w:val="000000" w:themeColor="text1"/>
                </w:rPr>
                <w:t>57/14</w:t>
              </w:r>
            </w:hyperlink>
            <w:r w:rsidRPr="007175E2">
              <w:rPr>
                <w:rFonts w:ascii="Cambria" w:eastAsia="Batang" w:hAnsi="Cambria"/>
                <w:bCs/>
                <w:color w:val="000000" w:themeColor="text1"/>
                <w:u w:val="single"/>
              </w:rPr>
              <w:t>,</w:t>
            </w:r>
            <w:r w:rsidRPr="007175E2">
              <w:rPr>
                <w:rFonts w:ascii="Cambria" w:eastAsia="Batang" w:hAnsi="Cambria"/>
                <w:bCs/>
                <w:color w:val="000000" w:themeColor="text1"/>
              </w:rPr>
              <w:t xml:space="preserve"> approved on June 21, 2014</w:t>
            </w:r>
          </w:p>
          <w:p w14:paraId="49D5FE8B" w14:textId="77777777" w:rsidR="00470C7B" w:rsidRPr="007175E2" w:rsidRDefault="00470C7B" w:rsidP="00F024F0">
            <w:pPr>
              <w:tabs>
                <w:tab w:val="left" w:pos="9270"/>
              </w:tabs>
              <w:spacing w:after="0" w:line="240" w:lineRule="auto"/>
              <w:jc w:val="both"/>
              <w:rPr>
                <w:rFonts w:ascii="Cambria" w:eastAsia="Batang" w:hAnsi="Cambria"/>
                <w:b/>
                <w:color w:val="000000"/>
              </w:rPr>
            </w:pPr>
            <w:r w:rsidRPr="007175E2">
              <w:rPr>
                <w:rFonts w:ascii="Cambria" w:eastAsia="Batang" w:hAnsi="Cambria"/>
                <w:b/>
                <w:color w:val="000000" w:themeColor="text1"/>
              </w:rPr>
              <w:t>Friendly Settlement Agreement Report Nº:</w:t>
            </w:r>
            <w:r w:rsidRPr="007175E2">
              <w:rPr>
                <w:rFonts w:ascii="Cambria" w:eastAsia="Batang" w:hAnsi="Cambria"/>
                <w:b/>
                <w:bCs/>
                <w:color w:val="000000" w:themeColor="text1"/>
              </w:rPr>
              <w:t xml:space="preserve"> </w:t>
            </w:r>
            <w:hyperlink r:id="rId13" w:history="1">
              <w:r w:rsidRPr="007175E2">
                <w:rPr>
                  <w:rStyle w:val="Hyperlink"/>
                  <w:rFonts w:ascii="Cambria" w:eastAsia="Batang" w:hAnsi="Cambria"/>
                  <w:b/>
                  <w:bCs/>
                  <w:color w:val="000000" w:themeColor="text1"/>
                </w:rPr>
                <w:t>42/21</w:t>
              </w:r>
            </w:hyperlink>
            <w:r w:rsidRPr="007175E2">
              <w:rPr>
                <w:rFonts w:ascii="Cambria" w:eastAsia="Batang" w:hAnsi="Cambria"/>
                <w:b/>
                <w:bCs/>
                <w:color w:val="000000" w:themeColor="text1"/>
              </w:rPr>
              <w:t>,</w:t>
            </w:r>
            <w:r w:rsidRPr="007175E2">
              <w:rPr>
                <w:rFonts w:ascii="Cambria" w:eastAsia="Batang" w:hAnsi="Cambria"/>
                <w:bCs/>
                <w:color w:val="000000"/>
              </w:rPr>
              <w:t>published on March 20, 2021</w:t>
            </w:r>
          </w:p>
          <w:p w14:paraId="319302DF" w14:textId="77777777" w:rsidR="00470C7B" w:rsidRPr="007175E2" w:rsidRDefault="00470C7B" w:rsidP="00F024F0">
            <w:pPr>
              <w:tabs>
                <w:tab w:val="left" w:pos="9270"/>
              </w:tabs>
              <w:spacing w:after="0" w:line="240" w:lineRule="auto"/>
              <w:jc w:val="both"/>
              <w:rPr>
                <w:rFonts w:ascii="Cambria" w:eastAsia="Batang" w:hAnsi="Cambria"/>
                <w:b/>
                <w:bCs/>
                <w:color w:val="000000"/>
              </w:rPr>
            </w:pPr>
            <w:r w:rsidRPr="007175E2">
              <w:rPr>
                <w:rFonts w:ascii="Cambria" w:eastAsia="Batang" w:hAnsi="Cambria"/>
                <w:b/>
                <w:bCs/>
                <w:color w:val="000000"/>
              </w:rPr>
              <w:t>Estimated length of the negotiation phase:</w:t>
            </w:r>
            <w:r w:rsidRPr="007175E2">
              <w:rPr>
                <w:rFonts w:ascii="Cambria" w:eastAsia="Batang" w:hAnsi="Cambria"/>
                <w:color w:val="000000"/>
              </w:rPr>
              <w:t xml:space="preserve"> 6 years, 4 months</w:t>
            </w:r>
          </w:p>
          <w:p w14:paraId="6FE1FFD2" w14:textId="77777777" w:rsidR="00470C7B" w:rsidRPr="007175E2" w:rsidRDefault="00470C7B" w:rsidP="00F024F0">
            <w:pPr>
              <w:tabs>
                <w:tab w:val="left" w:pos="9270"/>
              </w:tabs>
              <w:spacing w:after="0" w:line="240" w:lineRule="auto"/>
              <w:jc w:val="both"/>
              <w:rPr>
                <w:rFonts w:ascii="Cambria" w:eastAsia="Batang" w:hAnsi="Cambria"/>
                <w:b/>
                <w:color w:val="000000"/>
              </w:rPr>
            </w:pPr>
            <w:r w:rsidRPr="007175E2">
              <w:rPr>
                <w:rFonts w:ascii="Cambria" w:eastAsia="Batang" w:hAnsi="Cambria"/>
                <w:b/>
                <w:color w:val="000000"/>
              </w:rPr>
              <w:t xml:space="preserve">Rapporteurship: </w:t>
            </w:r>
            <w:r w:rsidRPr="007175E2">
              <w:rPr>
                <w:rFonts w:ascii="Cambria" w:eastAsia="Batang" w:hAnsi="Cambria"/>
                <w:bCs/>
                <w:color w:val="000000"/>
              </w:rPr>
              <w:t>N/A</w:t>
            </w:r>
          </w:p>
          <w:p w14:paraId="4C20212F" w14:textId="77777777" w:rsidR="00470C7B" w:rsidRPr="007175E2" w:rsidRDefault="00470C7B" w:rsidP="00F024F0">
            <w:pPr>
              <w:tabs>
                <w:tab w:val="left" w:pos="9270"/>
              </w:tabs>
              <w:spacing w:after="0" w:line="240" w:lineRule="auto"/>
              <w:jc w:val="both"/>
              <w:rPr>
                <w:rFonts w:ascii="Cambria" w:eastAsia="Batang" w:hAnsi="Cambria"/>
                <w:bCs/>
                <w:color w:val="000000"/>
              </w:rPr>
            </w:pPr>
            <w:r w:rsidRPr="007175E2">
              <w:rPr>
                <w:rFonts w:ascii="Cambria" w:eastAsia="Batang" w:hAnsi="Cambria"/>
                <w:b/>
                <w:color w:val="000000"/>
              </w:rPr>
              <w:t xml:space="preserve">Topics: </w:t>
            </w:r>
            <w:r w:rsidRPr="007175E2">
              <w:rPr>
                <w:rFonts w:ascii="Cambria" w:eastAsia="Batang" w:hAnsi="Cambria"/>
                <w:bCs/>
                <w:color w:val="000000"/>
              </w:rPr>
              <w:t>Judicial guarantees / Judicial protection</w:t>
            </w:r>
          </w:p>
          <w:p w14:paraId="07A5F8B2" w14:textId="77777777" w:rsidR="00470C7B" w:rsidRPr="007175E2" w:rsidRDefault="00470C7B" w:rsidP="00F024F0">
            <w:pPr>
              <w:tabs>
                <w:tab w:val="left" w:pos="9270"/>
              </w:tabs>
              <w:spacing w:after="0" w:line="240" w:lineRule="auto"/>
              <w:jc w:val="both"/>
              <w:rPr>
                <w:rFonts w:ascii="Cambria" w:eastAsia="Batang" w:hAnsi="Cambria"/>
                <w:b/>
                <w:color w:val="000000"/>
              </w:rPr>
            </w:pPr>
          </w:p>
          <w:p w14:paraId="0542785E" w14:textId="77777777" w:rsidR="00470C7B" w:rsidRPr="007175E2" w:rsidRDefault="00470C7B" w:rsidP="00F024F0">
            <w:pPr>
              <w:tabs>
                <w:tab w:val="left" w:pos="9270"/>
              </w:tabs>
              <w:spacing w:after="0" w:line="240" w:lineRule="auto"/>
              <w:jc w:val="both"/>
              <w:rPr>
                <w:rFonts w:ascii="Cambria" w:eastAsia="Batang" w:hAnsi="Cambria"/>
                <w:b/>
                <w:bCs/>
                <w:color w:val="000000"/>
              </w:rPr>
            </w:pPr>
            <w:r w:rsidRPr="007175E2">
              <w:rPr>
                <w:rFonts w:ascii="Cambria" w:eastAsia="Batang" w:hAnsi="Cambria"/>
                <w:b/>
                <w:color w:val="000000"/>
              </w:rPr>
              <w:t xml:space="preserve">Facts: </w:t>
            </w:r>
            <w:r w:rsidRPr="007175E2">
              <w:rPr>
                <w:rFonts w:ascii="Cambria" w:eastAsia="Batang" w:hAnsi="Cambria"/>
                <w:color w:val="000000"/>
              </w:rPr>
              <w:t>The petitioners claimed that the State had violated the right to due process protected under Articles 8 and 25 of the American Convention, in</w:t>
            </w:r>
            <w:r w:rsidR="00472E04" w:rsidRPr="007175E2">
              <w:rPr>
                <w:rFonts w:ascii="Cambria" w:eastAsia="Batang" w:hAnsi="Cambria"/>
                <w:color w:val="000000"/>
              </w:rPr>
              <w:t xml:space="preserve"> </w:t>
            </w:r>
            <w:r w:rsidRPr="007175E2">
              <w:rPr>
                <w:rFonts w:ascii="Cambria" w:eastAsia="Batang" w:hAnsi="Cambria"/>
                <w:color w:val="000000"/>
              </w:rPr>
              <w:t>as</w:t>
            </w:r>
            <w:r w:rsidR="00472E04" w:rsidRPr="007175E2">
              <w:rPr>
                <w:rFonts w:ascii="Cambria" w:eastAsia="Batang" w:hAnsi="Cambria"/>
                <w:color w:val="000000"/>
              </w:rPr>
              <w:t xml:space="preserve"> </w:t>
            </w:r>
            <w:r w:rsidRPr="007175E2">
              <w:rPr>
                <w:rFonts w:ascii="Cambria" w:eastAsia="Batang" w:hAnsi="Cambria"/>
                <w:color w:val="000000"/>
              </w:rPr>
              <w:t>much</w:t>
            </w:r>
            <w:r w:rsidR="00385F0C" w:rsidRPr="007175E2">
              <w:rPr>
                <w:rFonts w:ascii="Cambria" w:eastAsia="Batang" w:hAnsi="Cambria"/>
                <w:color w:val="000000"/>
              </w:rPr>
              <w:t xml:space="preserve"> </w:t>
            </w:r>
            <w:r w:rsidRPr="007175E2">
              <w:rPr>
                <w:rFonts w:ascii="Cambria" w:eastAsia="Batang" w:hAnsi="Cambria"/>
                <w:color w:val="000000"/>
              </w:rPr>
              <w:t>as the alleged victims had been unjustifiably dismissed based on Decree 58-2001. According to the petitioners, this decree authorized the Honduran Congress to “</w:t>
            </w:r>
            <w:r w:rsidRPr="007175E2">
              <w:rPr>
                <w:rFonts w:ascii="Cambria" w:eastAsia="Batang" w:hAnsi="Cambria"/>
                <w:i/>
                <w:iCs/>
                <w:color w:val="000000"/>
              </w:rPr>
              <w:t>dismiss police personnel without considerations of any kind</w:t>
            </w:r>
            <w:r w:rsidRPr="007175E2">
              <w:rPr>
                <w:rFonts w:ascii="Cambria" w:eastAsia="Batang" w:hAnsi="Cambria"/>
                <w:color w:val="000000"/>
              </w:rPr>
              <w:t>.” In this regard, the petitioners stated that even though the ongoing purge of the National Police was necessary to improve its operation, the legal procedure established to that end should have been followed. Accordingly, they indicated that a regular administrative process, with all the guarantees of any criminal process, should have preceded the dismissal.</w:t>
            </w:r>
          </w:p>
          <w:p w14:paraId="62106E5C" w14:textId="77777777" w:rsidR="00470C7B" w:rsidRPr="007175E2" w:rsidRDefault="00470C7B" w:rsidP="00F024F0">
            <w:pPr>
              <w:tabs>
                <w:tab w:val="left" w:pos="9270"/>
              </w:tabs>
              <w:spacing w:after="0" w:line="240" w:lineRule="auto"/>
              <w:jc w:val="both"/>
              <w:rPr>
                <w:rFonts w:ascii="Cambria" w:eastAsia="Batang" w:hAnsi="Cambria"/>
                <w:b/>
                <w:color w:val="000000"/>
              </w:rPr>
            </w:pPr>
          </w:p>
          <w:p w14:paraId="2B66B2D0" w14:textId="77777777" w:rsidR="00470C7B" w:rsidRPr="007175E2" w:rsidRDefault="00470C7B" w:rsidP="00F024F0">
            <w:pPr>
              <w:tabs>
                <w:tab w:val="left" w:pos="9270"/>
              </w:tabs>
              <w:spacing w:after="0" w:line="240" w:lineRule="auto"/>
              <w:jc w:val="both"/>
              <w:rPr>
                <w:rFonts w:ascii="Cambria" w:eastAsia="Batang" w:hAnsi="Cambria"/>
                <w:color w:val="000000"/>
              </w:rPr>
            </w:pPr>
            <w:r w:rsidRPr="007175E2">
              <w:rPr>
                <w:rFonts w:ascii="Cambria" w:eastAsia="Batang" w:hAnsi="Cambria"/>
                <w:b/>
                <w:color w:val="000000"/>
              </w:rPr>
              <w:t xml:space="preserve">Rights declared admissible: </w:t>
            </w:r>
            <w:r w:rsidRPr="007175E2">
              <w:rPr>
                <w:rFonts w:ascii="Cambria" w:eastAsia="Batang" w:hAnsi="Cambria"/>
                <w:bCs/>
                <w:color w:val="000000"/>
              </w:rPr>
              <w:t>On July 21, 2014, the IACHR issued the Admissibility Report No. 57/14 on Case 12.961 Juan Gonzalez and others, related to the different petitions that were accumulated in said case. In its report, the IACHR concluded that it was competent to examine the alleged violation of articles 8 (judicial guarantees) and 25 (judicial protection) of the American Convention on Human Rights in connection with articles 1.1 and 2 of said instrument.</w:t>
            </w:r>
          </w:p>
        </w:tc>
      </w:tr>
    </w:tbl>
    <w:p w14:paraId="34516632" w14:textId="77777777" w:rsidR="00470C7B" w:rsidRPr="007175E2" w:rsidRDefault="00470C7B" w:rsidP="00470C7B">
      <w:pPr>
        <w:spacing w:after="0" w:line="240" w:lineRule="auto"/>
        <w:contextualSpacing/>
        <w:jc w:val="both"/>
        <w:rPr>
          <w:rFonts w:ascii="Cambria" w:eastAsia="Batang" w:hAnsi="Cambria" w:cs="Calibri Light"/>
          <w:b/>
          <w:color w:val="000000"/>
        </w:rPr>
      </w:pPr>
    </w:p>
    <w:p w14:paraId="31CA670E" w14:textId="77777777" w:rsidR="00470C7B" w:rsidRPr="007175E2" w:rsidRDefault="00470C7B" w:rsidP="00470C7B">
      <w:pPr>
        <w:numPr>
          <w:ilvl w:val="0"/>
          <w:numId w:val="1"/>
        </w:numPr>
        <w:spacing w:after="0" w:line="240" w:lineRule="auto"/>
        <w:ind w:left="0" w:firstLine="720"/>
        <w:contextualSpacing/>
        <w:jc w:val="both"/>
        <w:rPr>
          <w:rFonts w:ascii="Cambria" w:eastAsia="Batang" w:hAnsi="Cambria" w:cs="Calibri Light"/>
          <w:b/>
          <w:color w:val="000000"/>
        </w:rPr>
      </w:pPr>
      <w:r w:rsidRPr="007175E2">
        <w:rPr>
          <w:rFonts w:ascii="Cambria" w:eastAsia="Batang" w:hAnsi="Cambria"/>
          <w:b/>
          <w:color w:val="000000"/>
        </w:rPr>
        <w:t>PROCEDURAL ACTIVITY</w:t>
      </w:r>
    </w:p>
    <w:p w14:paraId="3CE0443A" w14:textId="77777777" w:rsidR="00470C7B" w:rsidRPr="007175E2" w:rsidRDefault="00470C7B" w:rsidP="00470C7B">
      <w:pPr>
        <w:spacing w:after="0" w:line="240" w:lineRule="auto"/>
        <w:ind w:firstLine="720"/>
        <w:contextualSpacing/>
        <w:jc w:val="both"/>
        <w:rPr>
          <w:rFonts w:ascii="Cambria" w:eastAsia="Batang" w:hAnsi="Cambria" w:cs="Calibri Light"/>
          <w:b/>
          <w:color w:val="000000"/>
        </w:rPr>
      </w:pPr>
    </w:p>
    <w:p w14:paraId="02A62B22" w14:textId="216B54AE" w:rsidR="00470C7B" w:rsidRDefault="00470C7B" w:rsidP="00470C7B">
      <w:pPr>
        <w:numPr>
          <w:ilvl w:val="0"/>
          <w:numId w:val="4"/>
        </w:numPr>
        <w:spacing w:after="0" w:line="240" w:lineRule="auto"/>
        <w:ind w:left="0" w:firstLine="720"/>
        <w:jc w:val="both"/>
        <w:rPr>
          <w:rFonts w:ascii="Cambria" w:eastAsia="Batang" w:hAnsi="Cambria" w:cs="Calibri Light"/>
          <w:color w:val="000000"/>
        </w:rPr>
      </w:pPr>
      <w:r w:rsidRPr="007175E2">
        <w:rPr>
          <w:rFonts w:ascii="Cambria" w:eastAsia="Batang" w:hAnsi="Cambria" w:cs="Calibri Light"/>
          <w:color w:val="000000"/>
        </w:rPr>
        <w:t>The IACHR published the report approving the friendly settlement agreement on March 20, 2021, accounting for the full compliance of the friendly settlement agreement and consequently decided to cease its supervision and closed the case.</w:t>
      </w:r>
    </w:p>
    <w:p w14:paraId="2D9C655D" w14:textId="63E96591" w:rsidR="00066DEC" w:rsidRDefault="00066DEC" w:rsidP="00066DEC">
      <w:pPr>
        <w:spacing w:after="0" w:line="240" w:lineRule="auto"/>
        <w:jc w:val="both"/>
        <w:rPr>
          <w:rFonts w:ascii="Cambria" w:eastAsia="Batang" w:hAnsi="Cambria" w:cs="Calibri Light"/>
          <w:color w:val="000000"/>
        </w:rPr>
      </w:pPr>
    </w:p>
    <w:p w14:paraId="6B07C3AE" w14:textId="77777777" w:rsidR="00470C7B" w:rsidRPr="007175E2" w:rsidRDefault="00470C7B" w:rsidP="00470C7B">
      <w:pPr>
        <w:numPr>
          <w:ilvl w:val="0"/>
          <w:numId w:val="1"/>
        </w:numPr>
        <w:spacing w:after="0" w:line="240" w:lineRule="auto"/>
        <w:ind w:left="0" w:firstLine="720"/>
        <w:contextualSpacing/>
        <w:jc w:val="both"/>
        <w:rPr>
          <w:rFonts w:ascii="Cambria" w:eastAsia="Batang" w:hAnsi="Cambria" w:cs="Calibri Light"/>
          <w:b/>
          <w:color w:val="000000"/>
        </w:rPr>
      </w:pPr>
      <w:r w:rsidRPr="007175E2">
        <w:rPr>
          <w:rFonts w:ascii="Cambria" w:eastAsia="Batang" w:hAnsi="Cambria" w:cs="Calibri Light"/>
          <w:b/>
          <w:color w:val="000000"/>
        </w:rPr>
        <w:t xml:space="preserve">ANALYSIS OF COMPLIANCE WITH THE CLAUSES OF THE FRIENDLY SETTLEMENT AGREEMENT </w:t>
      </w:r>
    </w:p>
    <w:p w14:paraId="23EADFA0" w14:textId="77777777" w:rsidR="00470C7B" w:rsidRPr="007175E2" w:rsidRDefault="00470C7B" w:rsidP="00470C7B">
      <w:pPr>
        <w:spacing w:after="0" w:line="240" w:lineRule="auto"/>
        <w:rPr>
          <w:rFonts w:ascii="Cambria" w:eastAsia="Batang" w:hAnsi="Cambria"/>
          <w:color w:val="000000"/>
        </w:rPr>
      </w:pPr>
    </w:p>
    <w:tbl>
      <w:tblPr>
        <w:tblW w:w="9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8"/>
        <w:gridCol w:w="1985"/>
      </w:tblGrid>
      <w:tr w:rsidR="00112395" w:rsidRPr="007175E2" w14:paraId="519DEC5D" w14:textId="77777777" w:rsidTr="00893661">
        <w:tc>
          <w:tcPr>
            <w:tcW w:w="72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91C8E2" w14:textId="77777777" w:rsidR="00470C7B" w:rsidRPr="007175E2" w:rsidRDefault="00470C7B" w:rsidP="00F024F0">
            <w:pPr>
              <w:tabs>
                <w:tab w:val="center" w:pos="2049"/>
              </w:tabs>
              <w:spacing w:after="0" w:line="240" w:lineRule="auto"/>
              <w:jc w:val="center"/>
              <w:rPr>
                <w:rFonts w:ascii="Cambria" w:eastAsia="Batang" w:hAnsi="Cambria"/>
                <w:b/>
                <w:color w:val="000000"/>
              </w:rPr>
            </w:pPr>
            <w:r w:rsidRPr="007175E2">
              <w:rPr>
                <w:rFonts w:ascii="Cambria" w:eastAsia="Batang" w:hAnsi="Cambria"/>
                <w:b/>
                <w:color w:val="000000"/>
              </w:rPr>
              <w:t xml:space="preserve">Clause of the Agreement </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D42BB7" w14:textId="77777777" w:rsidR="00470C7B" w:rsidRPr="007175E2" w:rsidRDefault="00470C7B" w:rsidP="00F024F0">
            <w:pPr>
              <w:spacing w:after="0" w:line="240" w:lineRule="auto"/>
              <w:jc w:val="center"/>
              <w:rPr>
                <w:rFonts w:ascii="Cambria" w:eastAsia="Batang" w:hAnsi="Cambria"/>
                <w:b/>
                <w:color w:val="000000"/>
              </w:rPr>
            </w:pPr>
            <w:r w:rsidRPr="007175E2">
              <w:rPr>
                <w:rFonts w:ascii="Cambria" w:eastAsia="Batang" w:hAnsi="Cambria"/>
                <w:b/>
                <w:color w:val="000000"/>
              </w:rPr>
              <w:t xml:space="preserve">Status of Implementation </w:t>
            </w:r>
          </w:p>
        </w:tc>
      </w:tr>
      <w:tr w:rsidR="00112395" w:rsidRPr="007175E2" w14:paraId="2D2405FB" w14:textId="77777777" w:rsidTr="00893661">
        <w:tc>
          <w:tcPr>
            <w:tcW w:w="9243" w:type="dxa"/>
            <w:gridSpan w:val="2"/>
            <w:tcBorders>
              <w:top w:val="single" w:sz="4" w:space="0" w:color="auto"/>
              <w:left w:val="single" w:sz="4" w:space="0" w:color="auto"/>
              <w:bottom w:val="single" w:sz="4" w:space="0" w:color="auto"/>
              <w:right w:val="single" w:sz="4" w:space="0" w:color="auto"/>
            </w:tcBorders>
            <w:vAlign w:val="center"/>
          </w:tcPr>
          <w:p w14:paraId="3281804E" w14:textId="77777777" w:rsidR="00470C7B" w:rsidRPr="007175E2" w:rsidRDefault="00470C7B" w:rsidP="00F024F0">
            <w:pPr>
              <w:spacing w:after="0" w:line="240" w:lineRule="auto"/>
              <w:rPr>
                <w:rFonts w:ascii="Cambria" w:eastAsia="Batang" w:hAnsi="Cambria"/>
                <w:b/>
                <w:color w:val="000000"/>
              </w:rPr>
            </w:pPr>
            <w:r w:rsidRPr="007175E2">
              <w:rPr>
                <w:rFonts w:ascii="Cambria" w:eastAsia="Batang" w:hAnsi="Cambria"/>
                <w:b/>
                <w:bCs/>
                <w:color w:val="000000"/>
              </w:rPr>
              <w:lastRenderedPageBreak/>
              <w:t>SIXTH: SATISFACTION OF THE PETITIONERS</w:t>
            </w:r>
          </w:p>
        </w:tc>
      </w:tr>
      <w:tr w:rsidR="00112395" w:rsidRPr="007175E2" w14:paraId="3890B5F3" w14:textId="77777777" w:rsidTr="00893661">
        <w:trPr>
          <w:trHeight w:val="2015"/>
        </w:trPr>
        <w:tc>
          <w:tcPr>
            <w:tcW w:w="7258" w:type="dxa"/>
            <w:tcBorders>
              <w:top w:val="single" w:sz="4" w:space="0" w:color="auto"/>
              <w:left w:val="single" w:sz="4" w:space="0" w:color="auto"/>
              <w:bottom w:val="single" w:sz="4" w:space="0" w:color="auto"/>
              <w:right w:val="single" w:sz="4" w:space="0" w:color="auto"/>
            </w:tcBorders>
            <w:vAlign w:val="center"/>
          </w:tcPr>
          <w:p w14:paraId="5A063943" w14:textId="77777777" w:rsidR="00470C7B" w:rsidRPr="007175E2" w:rsidRDefault="00470C7B" w:rsidP="00F024F0">
            <w:pPr>
              <w:spacing w:after="0" w:line="240" w:lineRule="auto"/>
              <w:jc w:val="both"/>
              <w:rPr>
                <w:rFonts w:ascii="Cambria" w:eastAsia="Batang" w:hAnsi="Cambria" w:cs="Calibri Light"/>
                <w:color w:val="000000"/>
              </w:rPr>
            </w:pPr>
            <w:r w:rsidRPr="007175E2">
              <w:rPr>
                <w:rFonts w:ascii="Cambria" w:eastAsia="Batang" w:hAnsi="Cambria" w:cs="Calibri Light"/>
                <w:color w:val="000000"/>
              </w:rPr>
              <w:t>The Petitioner considers that compliance with the economic commitments undertaken through this friendly settlement agreement implies satisfaction of its claims in the case of Juan González et al (IACHR Case No. 12.961).</w:t>
            </w:r>
          </w:p>
          <w:p w14:paraId="3BCF9954" w14:textId="77777777" w:rsidR="00470C7B" w:rsidRPr="007175E2" w:rsidRDefault="00470C7B" w:rsidP="00F024F0">
            <w:pPr>
              <w:spacing w:after="0" w:line="240" w:lineRule="auto"/>
              <w:jc w:val="both"/>
              <w:rPr>
                <w:rFonts w:ascii="Cambria" w:eastAsia="Batang" w:hAnsi="Cambria" w:cs="Calibri Light"/>
                <w:color w:val="000000"/>
              </w:rPr>
            </w:pPr>
            <w:r w:rsidRPr="007175E2">
              <w:rPr>
                <w:rFonts w:ascii="Cambria" w:eastAsia="Batang" w:hAnsi="Cambria" w:cs="Calibri Light"/>
                <w:color w:val="000000"/>
              </w:rPr>
              <w:t xml:space="preserve">The State of Honduras and the petitioners, through their legal representatives, taking as a reference the scale to which the dismissed personnel belonged at the time Decree 58- 2001 was issued, recognize and accept as the amount to be compensated the individual sum detailed below, in favor of the petitioners: </w:t>
            </w:r>
          </w:p>
          <w:p w14:paraId="263A0B20" w14:textId="77777777" w:rsidR="00470C7B" w:rsidRPr="007175E2" w:rsidRDefault="00470C7B" w:rsidP="00F024F0">
            <w:pPr>
              <w:spacing w:after="0" w:line="240" w:lineRule="auto"/>
              <w:jc w:val="both"/>
              <w:rPr>
                <w:rFonts w:ascii="Cambria" w:eastAsia="Batang" w:hAnsi="Cambria" w:cs="Calibri Light"/>
                <w:color w:val="000000"/>
              </w:rPr>
            </w:pPr>
          </w:p>
          <w:p w14:paraId="1BC99BC6" w14:textId="77777777" w:rsidR="00470C7B" w:rsidRPr="007175E2" w:rsidRDefault="00470C7B" w:rsidP="00F024F0">
            <w:pPr>
              <w:spacing w:after="0" w:line="240" w:lineRule="auto"/>
              <w:ind w:left="720"/>
              <w:jc w:val="both"/>
              <w:rPr>
                <w:rFonts w:ascii="Cambria" w:eastAsia="Batang" w:hAnsi="Cambria" w:cs="Calibri Light"/>
                <w:color w:val="000000"/>
              </w:rPr>
            </w:pPr>
            <w:r w:rsidRPr="007175E2">
              <w:rPr>
                <w:rFonts w:ascii="Cambria" w:eastAsia="Batang" w:hAnsi="Cambria" w:cs="Calibri Light"/>
                <w:color w:val="000000"/>
              </w:rPr>
              <w:t xml:space="preserve">Police and Administrative: L. 320,000.00 </w:t>
            </w:r>
          </w:p>
          <w:p w14:paraId="2069C9E8" w14:textId="77777777" w:rsidR="00470C7B" w:rsidRPr="007175E2" w:rsidRDefault="00470C7B" w:rsidP="00F024F0">
            <w:pPr>
              <w:spacing w:after="0" w:line="240" w:lineRule="auto"/>
              <w:ind w:left="720"/>
              <w:jc w:val="both"/>
              <w:rPr>
                <w:rFonts w:ascii="Cambria" w:eastAsia="Batang" w:hAnsi="Cambria" w:cs="Calibri Light"/>
                <w:color w:val="000000"/>
              </w:rPr>
            </w:pPr>
            <w:r w:rsidRPr="007175E2">
              <w:rPr>
                <w:rFonts w:ascii="Cambria" w:eastAsia="Batang" w:hAnsi="Cambria" w:cs="Calibri Light"/>
                <w:color w:val="000000"/>
              </w:rPr>
              <w:t xml:space="preserve">Classes: L. 400,000.00 </w:t>
            </w:r>
          </w:p>
          <w:p w14:paraId="15738DFE" w14:textId="77777777" w:rsidR="00470C7B" w:rsidRPr="007175E2" w:rsidRDefault="00470C7B" w:rsidP="00F024F0">
            <w:pPr>
              <w:spacing w:after="0" w:line="240" w:lineRule="auto"/>
              <w:ind w:left="720"/>
              <w:jc w:val="both"/>
              <w:rPr>
                <w:rFonts w:ascii="Cambria" w:eastAsia="Batang" w:hAnsi="Cambria" w:cs="Calibri Light"/>
                <w:color w:val="000000"/>
              </w:rPr>
            </w:pPr>
            <w:r w:rsidRPr="007175E2">
              <w:rPr>
                <w:rFonts w:ascii="Cambria" w:eastAsia="Batang" w:hAnsi="Cambria" w:cs="Calibri Light"/>
                <w:color w:val="000000"/>
              </w:rPr>
              <w:t xml:space="preserve">Officers: L. 700.000.00 </w:t>
            </w:r>
          </w:p>
          <w:p w14:paraId="0D1B1268" w14:textId="77777777" w:rsidR="00470C7B" w:rsidRPr="007175E2" w:rsidRDefault="00470C7B" w:rsidP="00F024F0">
            <w:pPr>
              <w:spacing w:after="0" w:line="240" w:lineRule="auto"/>
              <w:ind w:left="720"/>
              <w:jc w:val="both"/>
              <w:rPr>
                <w:rFonts w:ascii="Cambria" w:eastAsia="Batang" w:hAnsi="Cambria" w:cs="Calibri Light"/>
                <w:color w:val="000000"/>
              </w:rPr>
            </w:pPr>
          </w:p>
          <w:p w14:paraId="629DDE0B" w14:textId="77777777" w:rsidR="00470C7B" w:rsidRPr="007175E2" w:rsidRDefault="00470C7B" w:rsidP="00F024F0">
            <w:pPr>
              <w:spacing w:after="0" w:line="240" w:lineRule="auto"/>
              <w:ind w:right="72"/>
              <w:jc w:val="both"/>
              <w:rPr>
                <w:rFonts w:ascii="Cambria" w:hAnsi="Cambria"/>
                <w:bCs/>
                <w:color w:val="000000"/>
                <w:kern w:val="36"/>
              </w:rPr>
            </w:pPr>
            <w:r w:rsidRPr="007175E2">
              <w:rPr>
                <w:rFonts w:ascii="Cambria" w:eastAsia="Batang" w:hAnsi="Cambria" w:cs="Calibri Light"/>
                <w:color w:val="000000"/>
              </w:rPr>
              <w:t>The amount set forth above shall be made in a single payment to the petitioners who have elected to avail themselves of this agreement. As for the percentage of professional fees, these shall be borne by the petitioners based on the agreement they have reached with their attorney.</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D5C4A06" w14:textId="77777777" w:rsidR="00470C7B" w:rsidRPr="007175E2" w:rsidRDefault="00470C7B" w:rsidP="00F024F0">
            <w:pPr>
              <w:spacing w:after="0" w:line="240" w:lineRule="auto"/>
              <w:jc w:val="center"/>
              <w:rPr>
                <w:rFonts w:ascii="Cambria" w:eastAsia="Batang" w:hAnsi="Cambria"/>
                <w:b/>
                <w:bCs/>
                <w:color w:val="000000"/>
              </w:rPr>
            </w:pPr>
            <w:r w:rsidRPr="007175E2">
              <w:rPr>
                <w:rFonts w:ascii="Cambria" w:eastAsia="Batang" w:hAnsi="Cambria"/>
                <w:b/>
                <w:color w:val="000000"/>
                <w:lang w:val="es-CO"/>
              </w:rPr>
              <w:t>Total</w:t>
            </w:r>
            <w:r w:rsidRPr="007175E2">
              <w:rPr>
                <w:rFonts w:ascii="Cambria" w:eastAsia="Batang" w:hAnsi="Cambria"/>
                <w:b/>
                <w:color w:val="000000"/>
                <w:vertAlign w:val="superscript"/>
                <w:lang w:val="es-CO"/>
              </w:rPr>
              <w:footnoteReference w:id="1"/>
            </w:r>
          </w:p>
        </w:tc>
      </w:tr>
      <w:tr w:rsidR="00112395" w:rsidRPr="007175E2" w14:paraId="16E67AB8" w14:textId="77777777" w:rsidTr="00893661">
        <w:trPr>
          <w:trHeight w:val="296"/>
        </w:trPr>
        <w:tc>
          <w:tcPr>
            <w:tcW w:w="9243" w:type="dxa"/>
            <w:gridSpan w:val="2"/>
            <w:tcBorders>
              <w:top w:val="single" w:sz="4" w:space="0" w:color="auto"/>
              <w:left w:val="single" w:sz="4" w:space="0" w:color="auto"/>
              <w:bottom w:val="single" w:sz="4" w:space="0" w:color="auto"/>
              <w:right w:val="single" w:sz="4" w:space="0" w:color="auto"/>
            </w:tcBorders>
            <w:vAlign w:val="center"/>
          </w:tcPr>
          <w:p w14:paraId="22A10917" w14:textId="77777777" w:rsidR="00470C7B" w:rsidRPr="007175E2" w:rsidRDefault="00470C7B" w:rsidP="00F024F0">
            <w:pPr>
              <w:spacing w:after="0" w:line="240" w:lineRule="auto"/>
              <w:jc w:val="both"/>
              <w:rPr>
                <w:rFonts w:ascii="Cambria" w:eastAsia="Batang" w:hAnsi="Cambria"/>
                <w:b/>
                <w:color w:val="000000"/>
              </w:rPr>
            </w:pPr>
            <w:r w:rsidRPr="007175E2">
              <w:rPr>
                <w:rFonts w:ascii="Cambria" w:hAnsi="Cambria"/>
                <w:b/>
                <w:bCs/>
              </w:rPr>
              <w:t>SEVENTH: METHOD OF PAYMENT OF FINANCIAL REPARATION</w:t>
            </w:r>
          </w:p>
        </w:tc>
      </w:tr>
      <w:tr w:rsidR="00112395" w:rsidRPr="007175E2" w14:paraId="10E524C0" w14:textId="77777777" w:rsidTr="00893661">
        <w:trPr>
          <w:trHeight w:val="260"/>
        </w:trPr>
        <w:tc>
          <w:tcPr>
            <w:tcW w:w="7258" w:type="dxa"/>
            <w:tcBorders>
              <w:top w:val="single" w:sz="4" w:space="0" w:color="auto"/>
              <w:left w:val="single" w:sz="4" w:space="0" w:color="auto"/>
              <w:bottom w:val="single" w:sz="4" w:space="0" w:color="auto"/>
              <w:right w:val="single" w:sz="4" w:space="0" w:color="auto"/>
            </w:tcBorders>
            <w:vAlign w:val="center"/>
          </w:tcPr>
          <w:p w14:paraId="22FEA3A3" w14:textId="77777777" w:rsidR="00470C7B" w:rsidRPr="007175E2" w:rsidRDefault="00470C7B" w:rsidP="00F024F0">
            <w:pPr>
              <w:spacing w:after="0" w:line="240" w:lineRule="auto"/>
              <w:ind w:right="72"/>
              <w:jc w:val="both"/>
              <w:rPr>
                <w:rFonts w:ascii="Cambria" w:hAnsi="Cambria"/>
                <w:bCs/>
                <w:color w:val="000000"/>
                <w:kern w:val="36"/>
              </w:rPr>
            </w:pPr>
            <w:r w:rsidRPr="007175E2">
              <w:rPr>
                <w:rFonts w:ascii="Cambria" w:eastAsia="Batang" w:hAnsi="Cambria" w:cs="Calibri Light"/>
                <w:color w:val="000000"/>
              </w:rPr>
              <w:t>Following the petitioner’s request that the amount offered to be paid in a single payment, the State undertakes to pay the aforementioned amount through the Secretariat of State in the Office of Security in a single payment no later than August 30, 2021, which includes the amount of the financial compensation agreed upon and, therefore, with the payment thereof, the State of Honduras is completely released from any compensation for the alleged facts and any subsequent claim. […]</w:t>
            </w:r>
          </w:p>
        </w:tc>
        <w:tc>
          <w:tcPr>
            <w:tcW w:w="1985" w:type="dxa"/>
            <w:tcBorders>
              <w:top w:val="single" w:sz="4" w:space="0" w:color="auto"/>
              <w:left w:val="single" w:sz="4" w:space="0" w:color="auto"/>
              <w:bottom w:val="single" w:sz="4" w:space="0" w:color="auto"/>
              <w:right w:val="single" w:sz="4" w:space="0" w:color="auto"/>
            </w:tcBorders>
            <w:vAlign w:val="center"/>
          </w:tcPr>
          <w:p w14:paraId="1DD85FEF" w14:textId="77777777" w:rsidR="00470C7B" w:rsidRPr="007175E2" w:rsidRDefault="00470C7B" w:rsidP="00F024F0">
            <w:pPr>
              <w:spacing w:after="0" w:line="240" w:lineRule="auto"/>
              <w:jc w:val="center"/>
              <w:rPr>
                <w:rFonts w:ascii="Cambria" w:eastAsia="Batang" w:hAnsi="Cambria"/>
                <w:b/>
                <w:color w:val="000000"/>
              </w:rPr>
            </w:pPr>
            <w:r w:rsidRPr="007175E2">
              <w:rPr>
                <w:rFonts w:ascii="Cambria" w:eastAsia="Batang" w:hAnsi="Cambria"/>
                <w:b/>
                <w:color w:val="000000"/>
                <w:lang w:val="es-CO"/>
              </w:rPr>
              <w:t>Total</w:t>
            </w:r>
            <w:r w:rsidRPr="007175E2">
              <w:rPr>
                <w:rFonts w:ascii="Cambria" w:eastAsia="Batang" w:hAnsi="Cambria"/>
                <w:b/>
                <w:color w:val="000000"/>
                <w:vertAlign w:val="superscript"/>
                <w:lang w:val="es-CO"/>
              </w:rPr>
              <w:footnoteReference w:id="2"/>
            </w:r>
          </w:p>
        </w:tc>
      </w:tr>
    </w:tbl>
    <w:p w14:paraId="41BF93D2" w14:textId="77777777" w:rsidR="00470C7B" w:rsidRPr="007175E2" w:rsidRDefault="00470C7B" w:rsidP="00470C7B">
      <w:pPr>
        <w:autoSpaceDE w:val="0"/>
        <w:autoSpaceDN w:val="0"/>
        <w:adjustRightInd w:val="0"/>
        <w:spacing w:after="0" w:line="240" w:lineRule="auto"/>
        <w:jc w:val="both"/>
        <w:rPr>
          <w:rFonts w:ascii="Cambria" w:eastAsia="Batang" w:hAnsi="Cambria"/>
          <w:color w:val="000000"/>
        </w:rPr>
      </w:pPr>
    </w:p>
    <w:p w14:paraId="6D96B05C" w14:textId="77777777" w:rsidR="00470C7B" w:rsidRPr="007175E2" w:rsidRDefault="00470C7B" w:rsidP="00470C7B">
      <w:pPr>
        <w:numPr>
          <w:ilvl w:val="0"/>
          <w:numId w:val="1"/>
        </w:numPr>
        <w:tabs>
          <w:tab w:val="left" w:pos="720"/>
        </w:tabs>
        <w:autoSpaceDE w:val="0"/>
        <w:autoSpaceDN w:val="0"/>
        <w:adjustRightInd w:val="0"/>
        <w:spacing w:after="0" w:line="240" w:lineRule="auto"/>
        <w:ind w:left="0" w:firstLine="720"/>
        <w:jc w:val="both"/>
        <w:rPr>
          <w:rFonts w:ascii="Cambria" w:eastAsia="Batang" w:hAnsi="Cambria"/>
          <w:color w:val="000000"/>
        </w:rPr>
      </w:pPr>
      <w:r w:rsidRPr="007175E2">
        <w:rPr>
          <w:rFonts w:ascii="Cambria" w:eastAsia="Batang" w:hAnsi="Cambria" w:cs="Calibri Light"/>
          <w:b/>
          <w:color w:val="000000"/>
        </w:rPr>
        <w:t xml:space="preserve">LEVEL OF COMPLIANCE OF THE CASE </w:t>
      </w:r>
    </w:p>
    <w:p w14:paraId="48F8A7CB" w14:textId="77777777" w:rsidR="00470C7B" w:rsidRPr="007175E2" w:rsidRDefault="00470C7B" w:rsidP="00470C7B">
      <w:pPr>
        <w:tabs>
          <w:tab w:val="left" w:pos="720"/>
        </w:tabs>
        <w:autoSpaceDE w:val="0"/>
        <w:autoSpaceDN w:val="0"/>
        <w:adjustRightInd w:val="0"/>
        <w:spacing w:after="0" w:line="240" w:lineRule="auto"/>
        <w:ind w:firstLine="720"/>
        <w:jc w:val="both"/>
        <w:rPr>
          <w:rFonts w:ascii="Cambria" w:eastAsia="Batang" w:hAnsi="Cambria"/>
          <w:color w:val="000000"/>
        </w:rPr>
      </w:pPr>
    </w:p>
    <w:p w14:paraId="0649DFA8" w14:textId="77777777" w:rsidR="00470C7B" w:rsidRPr="007175E2" w:rsidRDefault="00470C7B" w:rsidP="00470C7B">
      <w:pPr>
        <w:numPr>
          <w:ilvl w:val="0"/>
          <w:numId w:val="4"/>
        </w:numPr>
        <w:spacing w:after="0" w:line="240" w:lineRule="auto"/>
        <w:ind w:left="0" w:firstLine="720"/>
        <w:contextualSpacing/>
        <w:jc w:val="both"/>
        <w:rPr>
          <w:rFonts w:ascii="Cambria" w:eastAsia="Batang" w:hAnsi="Cambria"/>
          <w:color w:val="000000"/>
        </w:rPr>
      </w:pPr>
      <w:r w:rsidRPr="007175E2">
        <w:rPr>
          <w:rFonts w:ascii="Cambria" w:eastAsia="Batang" w:hAnsi="Cambria"/>
          <w:color w:val="000000"/>
        </w:rPr>
        <w:t>The Commission declared full compliance with the case and the ceasing of the follow-up of the friendly settlement agreement in the Homologation Report 42/21.</w:t>
      </w:r>
    </w:p>
    <w:p w14:paraId="5B15D964" w14:textId="77777777" w:rsidR="00470C7B" w:rsidRPr="007175E2" w:rsidRDefault="00470C7B" w:rsidP="00470C7B">
      <w:pPr>
        <w:spacing w:after="0" w:line="240" w:lineRule="auto"/>
        <w:contextualSpacing/>
        <w:jc w:val="both"/>
        <w:rPr>
          <w:rFonts w:ascii="Cambria" w:eastAsia="Batang" w:hAnsi="Cambria"/>
          <w:color w:val="000000"/>
          <w:highlight w:val="cyan"/>
        </w:rPr>
      </w:pPr>
    </w:p>
    <w:p w14:paraId="7041B55B" w14:textId="77777777" w:rsidR="00470C7B" w:rsidRPr="007175E2" w:rsidRDefault="00470C7B" w:rsidP="00470C7B">
      <w:pPr>
        <w:numPr>
          <w:ilvl w:val="0"/>
          <w:numId w:val="1"/>
        </w:numPr>
        <w:spacing w:after="0" w:line="240" w:lineRule="auto"/>
        <w:contextualSpacing/>
        <w:jc w:val="both"/>
        <w:rPr>
          <w:rFonts w:ascii="Cambria" w:eastAsia="Batang" w:hAnsi="Cambria" w:cs="Calibri Light"/>
          <w:b/>
          <w:color w:val="000000"/>
        </w:rPr>
      </w:pPr>
      <w:r w:rsidRPr="007175E2">
        <w:rPr>
          <w:rFonts w:ascii="Cambria" w:eastAsia="Batang" w:hAnsi="Cambria" w:cs="Calibri Light"/>
          <w:b/>
          <w:color w:val="000000"/>
        </w:rPr>
        <w:t xml:space="preserve">INDIVIDUAL AND STRUCTURAL OUTCOMES OF THE CASE </w:t>
      </w:r>
    </w:p>
    <w:p w14:paraId="23D750B5" w14:textId="77777777" w:rsidR="00470C7B" w:rsidRPr="007175E2" w:rsidRDefault="00470C7B" w:rsidP="00470C7B">
      <w:pPr>
        <w:spacing w:after="0" w:line="240" w:lineRule="auto"/>
        <w:ind w:left="1440"/>
        <w:contextualSpacing/>
        <w:jc w:val="both"/>
        <w:rPr>
          <w:rFonts w:ascii="Cambria" w:eastAsia="Batang" w:hAnsi="Cambria" w:cs="Calibri Light"/>
          <w:b/>
          <w:color w:val="000000"/>
        </w:rPr>
      </w:pPr>
    </w:p>
    <w:p w14:paraId="163FF1EB" w14:textId="77777777" w:rsidR="00470C7B" w:rsidRPr="007175E2" w:rsidRDefault="00470C7B" w:rsidP="00066DEC">
      <w:pPr>
        <w:numPr>
          <w:ilvl w:val="0"/>
          <w:numId w:val="2"/>
        </w:numPr>
        <w:spacing w:after="0" w:line="240" w:lineRule="auto"/>
        <w:ind w:firstLine="0"/>
        <w:contextualSpacing/>
        <w:jc w:val="both"/>
        <w:rPr>
          <w:rFonts w:ascii="Cambria" w:eastAsia="Batang" w:hAnsi="Cambria" w:cs="Calibri Light"/>
          <w:b/>
          <w:color w:val="000000"/>
        </w:rPr>
      </w:pPr>
      <w:r w:rsidRPr="007175E2">
        <w:rPr>
          <w:rFonts w:ascii="Cambria" w:eastAsia="Batang" w:hAnsi="Cambria" w:cs="Calibri Light"/>
          <w:b/>
          <w:color w:val="000000"/>
        </w:rPr>
        <w:t xml:space="preserve">Individual outcomes of the case </w:t>
      </w:r>
    </w:p>
    <w:p w14:paraId="2E3086C2" w14:textId="77777777" w:rsidR="00470C7B" w:rsidRPr="007175E2" w:rsidRDefault="00470C7B" w:rsidP="00066DEC">
      <w:pPr>
        <w:spacing w:after="0" w:line="240" w:lineRule="auto"/>
        <w:contextualSpacing/>
        <w:jc w:val="both"/>
        <w:rPr>
          <w:rFonts w:ascii="Cambria" w:eastAsia="Batang" w:hAnsi="Cambria" w:cs="Calibri Light"/>
          <w:b/>
          <w:color w:val="000000"/>
        </w:rPr>
      </w:pPr>
    </w:p>
    <w:p w14:paraId="43012B7F" w14:textId="424E668A" w:rsidR="00E177B0" w:rsidRPr="00066DEC" w:rsidRDefault="00470C7B" w:rsidP="00066DEC">
      <w:pPr>
        <w:pStyle w:val="ListParagraph"/>
        <w:numPr>
          <w:ilvl w:val="0"/>
          <w:numId w:val="3"/>
        </w:numPr>
        <w:spacing w:after="0" w:line="240" w:lineRule="auto"/>
        <w:ind w:left="1418" w:hanging="709"/>
        <w:jc w:val="both"/>
        <w:rPr>
          <w:rFonts w:ascii="Cambria" w:eastAsia="Batang" w:hAnsi="Cambria"/>
          <w:b/>
          <w:color w:val="000000"/>
        </w:rPr>
      </w:pPr>
      <w:r w:rsidRPr="00066DEC">
        <w:rPr>
          <w:rFonts w:ascii="Cambria" w:eastAsia="Batang" w:hAnsi="Cambria"/>
          <w:color w:val="000000"/>
        </w:rPr>
        <w:t>The State paid economic compensation in the amount of 320,000L (three hundred and twenty thousand lempiras) in favor of 44 beneficiaries, the amount of 400,000L (four hundred thousand lempiras) in favor of 11 beneficiaries and the amount of 700,000L (seven hundred thousand lempiras) in favor of 3 beneficiaries. This gives a total amount of 20,580,000L (twenty million five hundred and eighty thousand lempiras) or approximately $854,495.59 (eight hundred and fifty-four thousand four hundred and ninety-five dollars and fifty-nine cents) paid as economic compensation in favor of the 58 beneficiaries of the FSA.</w:t>
      </w:r>
    </w:p>
    <w:sectPr w:rsidR="00E177B0" w:rsidRPr="00066DEC" w:rsidSect="00066DEC">
      <w:headerReference w:type="even" r:id="rId14"/>
      <w:headerReference w:type="default" r:id="rId15"/>
      <w:footerReference w:type="even" r:id="rId16"/>
      <w:footerReference w:type="default" r:id="rId17"/>
      <w:headerReference w:type="first" r:id="rId18"/>
      <w:footerReference w:type="first" r:id="rId19"/>
      <w:pgSz w:w="12240" w:h="15840" w:code="1"/>
      <w:pgMar w:top="1526"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C34F1" w14:textId="77777777" w:rsidR="00336E78" w:rsidRDefault="00336E78" w:rsidP="00A343FF">
      <w:pPr>
        <w:spacing w:after="0" w:line="240" w:lineRule="auto"/>
      </w:pPr>
      <w:r>
        <w:separator/>
      </w:r>
    </w:p>
  </w:endnote>
  <w:endnote w:type="continuationSeparator" w:id="0">
    <w:p w14:paraId="7163B0F8" w14:textId="77777777" w:rsidR="00336E78" w:rsidRDefault="00336E78"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7F71F" w14:textId="77777777" w:rsidR="00F74974" w:rsidRDefault="00F749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3703" w14:textId="77777777" w:rsidR="00A61B5E" w:rsidRPr="00A61B5E" w:rsidRDefault="00A61B5E">
    <w:pPr>
      <w:pStyle w:val="Footer"/>
      <w:jc w:val="center"/>
      <w:rPr>
        <w:color w:val="404040"/>
        <w:sz w:val="16"/>
        <w:szCs w:val="16"/>
      </w:rPr>
    </w:pPr>
    <w:r w:rsidRPr="00A61B5E">
      <w:rPr>
        <w:color w:val="404040"/>
        <w:sz w:val="16"/>
        <w:szCs w:val="16"/>
      </w:rPr>
      <w:fldChar w:fldCharType="begin"/>
    </w:r>
    <w:r w:rsidRPr="00A61B5E">
      <w:rPr>
        <w:color w:val="404040"/>
        <w:sz w:val="16"/>
        <w:szCs w:val="16"/>
      </w:rPr>
      <w:instrText xml:space="preserve"> PAGE   \* MERGEFORMAT </w:instrText>
    </w:r>
    <w:r w:rsidRPr="00A61B5E">
      <w:rPr>
        <w:color w:val="404040"/>
        <w:sz w:val="16"/>
        <w:szCs w:val="16"/>
      </w:rPr>
      <w:fldChar w:fldCharType="separate"/>
    </w:r>
    <w:r w:rsidR="00F74974">
      <w:rPr>
        <w:noProof/>
        <w:color w:val="404040"/>
        <w:sz w:val="16"/>
        <w:szCs w:val="16"/>
      </w:rPr>
      <w:t>2</w:t>
    </w:r>
    <w:r w:rsidRPr="00A61B5E">
      <w:rPr>
        <w:noProof/>
        <w:color w:val="404040"/>
        <w:sz w:val="16"/>
        <w:szCs w:val="16"/>
      </w:rPr>
      <w:fldChar w:fldCharType="end"/>
    </w:r>
  </w:p>
  <w:p w14:paraId="242F45FC" w14:textId="77777777" w:rsidR="00F66FEE" w:rsidRDefault="00F66FEE" w:rsidP="008550EF">
    <w:pPr>
      <w:pStyle w:val="Footer"/>
      <w:spacing w:line="360" w:lineRule="auto"/>
      <w:jc w:val="cen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F5ED" w14:textId="77777777" w:rsidR="008F2248" w:rsidRDefault="00CE5EF7" w:rsidP="008F2248">
    <w:pPr>
      <w:pStyle w:val="Footer"/>
      <w:spacing w:line="360" w:lineRule="auto"/>
    </w:pPr>
    <w:r>
      <w:rPr>
        <w:noProof/>
      </w:rPr>
      <w:pict w14:anchorId="7DFD246B">
        <v:rect id="_x0000_i1027" alt="" style="width:441.9pt;height:.05pt;mso-width-percent:0;mso-height-percent:0;mso-width-percent:0;mso-height-percent:0" o:hralign="center" o:hrstd="t" o:hr="t" fillcolor="#a0a0a0" stroked="f"/>
      </w:pict>
    </w:r>
  </w:p>
  <w:p w14:paraId="6EC67A5C" w14:textId="77777777" w:rsidR="008F2248" w:rsidRDefault="00AB253B" w:rsidP="006E2BD8">
    <w:pPr>
      <w:pStyle w:val="Footer"/>
      <w:jc w:val="center"/>
    </w:pPr>
    <w:r>
      <w:rPr>
        <w:noProof/>
      </w:rPr>
      <w:drawing>
        <wp:inline distT="0" distB="0" distL="0" distR="0" wp14:anchorId="6DBA9108" wp14:editId="295ADEE9">
          <wp:extent cx="5235575" cy="324485"/>
          <wp:effectExtent l="0" t="0" r="0" b="0"/>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5575" cy="3244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AB41B" w14:textId="77777777" w:rsidR="00336E78" w:rsidRDefault="00336E78" w:rsidP="00A343FF">
      <w:pPr>
        <w:spacing w:after="0" w:line="240" w:lineRule="auto"/>
      </w:pPr>
      <w:r>
        <w:separator/>
      </w:r>
    </w:p>
  </w:footnote>
  <w:footnote w:type="continuationSeparator" w:id="0">
    <w:p w14:paraId="4B392693" w14:textId="77777777" w:rsidR="00336E78" w:rsidRDefault="00336E78" w:rsidP="00A343FF">
      <w:pPr>
        <w:spacing w:after="0" w:line="240" w:lineRule="auto"/>
      </w:pPr>
      <w:r>
        <w:continuationSeparator/>
      </w:r>
    </w:p>
  </w:footnote>
  <w:footnote w:id="1">
    <w:p w14:paraId="1E2665FE" w14:textId="77777777" w:rsidR="00470C7B" w:rsidRPr="007175E2" w:rsidRDefault="00470C7B" w:rsidP="007175E2">
      <w:pPr>
        <w:pStyle w:val="NormalWeb"/>
        <w:spacing w:before="0" w:beforeAutospacing="0" w:after="0" w:afterAutospacing="0"/>
        <w:ind w:firstLine="720"/>
        <w:jc w:val="both"/>
        <w:rPr>
          <w:rFonts w:ascii="Cambria" w:hAnsi="Cambria"/>
          <w:color w:val="000000" w:themeColor="text1"/>
          <w:sz w:val="16"/>
          <w:szCs w:val="16"/>
          <w:lang w:eastAsia="es-ES_tradnl"/>
        </w:rPr>
      </w:pPr>
      <w:r w:rsidRPr="007175E2">
        <w:rPr>
          <w:rStyle w:val="FootnoteReference"/>
          <w:rFonts w:ascii="Cambria" w:hAnsi="Cambria"/>
          <w:color w:val="000000" w:themeColor="text1"/>
          <w:sz w:val="16"/>
          <w:szCs w:val="16"/>
        </w:rPr>
        <w:footnoteRef/>
      </w:r>
      <w:r w:rsidRPr="007175E2">
        <w:rPr>
          <w:rFonts w:ascii="Cambria" w:hAnsi="Cambria"/>
          <w:color w:val="000000" w:themeColor="text1"/>
          <w:sz w:val="16"/>
          <w:szCs w:val="16"/>
        </w:rPr>
        <w:t xml:space="preserve"> </w:t>
      </w:r>
      <w:r w:rsidRPr="007175E2">
        <w:rPr>
          <w:rFonts w:ascii="Cambria" w:hAnsi="Cambria"/>
          <w:color w:val="000000" w:themeColor="text1"/>
          <w:sz w:val="16"/>
          <w:szCs w:val="16"/>
          <w:lang w:eastAsia="es-ES_tradnl"/>
        </w:rPr>
        <w:t xml:space="preserve">IACHR, Report No. 42/21, Case 12.961 E. Friendly Settlement. </w:t>
      </w:r>
      <w:r w:rsidRPr="007175E2">
        <w:rPr>
          <w:rFonts w:ascii="Cambria" w:hAnsi="Cambria"/>
          <w:color w:val="000000" w:themeColor="text1"/>
          <w:sz w:val="16"/>
          <w:szCs w:val="16"/>
          <w:lang w:val="es-CO" w:eastAsia="es-ES_tradnl"/>
        </w:rPr>
        <w:t xml:space="preserve">Ecar Fernando Zavala Valladares, Honduras. </w:t>
      </w:r>
      <w:r w:rsidRPr="007175E2">
        <w:rPr>
          <w:rFonts w:ascii="Cambria" w:hAnsi="Cambria"/>
          <w:color w:val="000000" w:themeColor="text1"/>
          <w:sz w:val="16"/>
          <w:szCs w:val="16"/>
          <w:lang w:eastAsia="es-ES_tradnl"/>
        </w:rPr>
        <w:t xml:space="preserve">March 20, 2021. </w:t>
      </w:r>
      <w:hyperlink r:id="rId1" w:history="1">
        <w:r w:rsidRPr="007175E2">
          <w:rPr>
            <w:rStyle w:val="Hyperlink"/>
            <w:rFonts w:ascii="Cambria" w:hAnsi="Cambria"/>
            <w:color w:val="000000" w:themeColor="text1"/>
            <w:sz w:val="16"/>
            <w:szCs w:val="16"/>
            <w:lang w:eastAsia="es-ES_tradnl"/>
          </w:rPr>
          <w:t>https://www.oas.org/en/iachr/decisions/2021/HOSA12961EEN.pdf</w:t>
        </w:r>
      </w:hyperlink>
      <w:r w:rsidRPr="007175E2">
        <w:rPr>
          <w:rFonts w:ascii="Cambria" w:hAnsi="Cambria"/>
          <w:color w:val="000000" w:themeColor="text1"/>
          <w:sz w:val="16"/>
          <w:szCs w:val="16"/>
          <w:lang w:eastAsia="es-ES_tradnl"/>
        </w:rPr>
        <w:t xml:space="preserve"> </w:t>
      </w:r>
    </w:p>
  </w:footnote>
  <w:footnote w:id="2">
    <w:p w14:paraId="4223707A" w14:textId="77777777" w:rsidR="00470C7B" w:rsidRPr="007175E2" w:rsidRDefault="00470C7B" w:rsidP="007175E2">
      <w:pPr>
        <w:pStyle w:val="NormalWeb"/>
        <w:spacing w:before="0" w:beforeAutospacing="0" w:after="0" w:afterAutospacing="0"/>
        <w:ind w:firstLine="720"/>
        <w:jc w:val="both"/>
        <w:rPr>
          <w:rFonts w:ascii="Cambria" w:hAnsi="Cambria"/>
          <w:sz w:val="16"/>
          <w:szCs w:val="16"/>
          <w:lang w:eastAsia="es-ES_tradnl"/>
        </w:rPr>
      </w:pPr>
      <w:r w:rsidRPr="007175E2">
        <w:rPr>
          <w:rStyle w:val="FootnoteReference"/>
          <w:rFonts w:ascii="Cambria" w:hAnsi="Cambria"/>
          <w:color w:val="000000" w:themeColor="text1"/>
          <w:sz w:val="16"/>
          <w:szCs w:val="16"/>
        </w:rPr>
        <w:footnoteRef/>
      </w:r>
      <w:r w:rsidRPr="007175E2">
        <w:rPr>
          <w:rFonts w:ascii="Cambria" w:hAnsi="Cambria"/>
          <w:color w:val="000000" w:themeColor="text1"/>
          <w:sz w:val="16"/>
          <w:szCs w:val="16"/>
        </w:rPr>
        <w:t xml:space="preserve"> </w:t>
      </w:r>
      <w:r w:rsidRPr="007175E2">
        <w:rPr>
          <w:rFonts w:ascii="Cambria" w:hAnsi="Cambria"/>
          <w:color w:val="000000" w:themeColor="text1"/>
          <w:sz w:val="16"/>
          <w:szCs w:val="16"/>
          <w:lang w:eastAsia="es-ES_tradnl"/>
        </w:rPr>
        <w:t xml:space="preserve">IACHR, Report No. 42/21, Case 12.961 E. Friendly Settlement. </w:t>
      </w:r>
      <w:r w:rsidRPr="007175E2">
        <w:rPr>
          <w:rFonts w:ascii="Cambria" w:hAnsi="Cambria"/>
          <w:color w:val="000000" w:themeColor="text1"/>
          <w:sz w:val="16"/>
          <w:szCs w:val="16"/>
          <w:lang w:val="es-CO" w:eastAsia="es-ES_tradnl"/>
        </w:rPr>
        <w:t xml:space="preserve">Ecar Fernando Zavala Valladares, Honduras. </w:t>
      </w:r>
      <w:r w:rsidRPr="007175E2">
        <w:rPr>
          <w:rFonts w:ascii="Cambria" w:hAnsi="Cambria"/>
          <w:color w:val="000000" w:themeColor="text1"/>
          <w:sz w:val="16"/>
          <w:szCs w:val="16"/>
          <w:lang w:eastAsia="es-ES_tradnl"/>
        </w:rPr>
        <w:t xml:space="preserve">March 20, 2021. </w:t>
      </w:r>
      <w:hyperlink r:id="rId2" w:history="1">
        <w:r w:rsidRPr="007175E2">
          <w:rPr>
            <w:rStyle w:val="Hyperlink"/>
            <w:rFonts w:ascii="Cambria" w:hAnsi="Cambria"/>
            <w:color w:val="000000" w:themeColor="text1"/>
            <w:sz w:val="16"/>
            <w:szCs w:val="16"/>
            <w:lang w:eastAsia="es-ES_tradnl"/>
          </w:rPr>
          <w:t>https://www.oas.org/en/iachr/decisions/2021/HOSA12961EEN.pdf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EDE9" w14:textId="77777777" w:rsidR="00F74974" w:rsidRDefault="00F749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101B" w14:textId="77777777" w:rsidR="00A343FF" w:rsidRDefault="00AB253B" w:rsidP="00DC7C8F">
    <w:pPr>
      <w:pStyle w:val="Header"/>
      <w:jc w:val="center"/>
    </w:pPr>
    <w:r>
      <w:rPr>
        <w:noProof/>
      </w:rPr>
      <w:drawing>
        <wp:inline distT="0" distB="0" distL="0" distR="0" wp14:anchorId="12DE2D16" wp14:editId="70746368">
          <wp:extent cx="2271395" cy="118110"/>
          <wp:effectExtent l="0" t="0" r="0" b="0"/>
          <wp:docPr id="4"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1395" cy="118110"/>
                  </a:xfrm>
                  <a:prstGeom prst="rect">
                    <a:avLst/>
                  </a:prstGeom>
                  <a:noFill/>
                  <a:ln>
                    <a:noFill/>
                  </a:ln>
                </pic:spPr>
              </pic:pic>
            </a:graphicData>
          </a:graphic>
        </wp:inline>
      </w:drawing>
    </w:r>
  </w:p>
  <w:p w14:paraId="54B9C190" w14:textId="77777777" w:rsidR="00A343FF" w:rsidRDefault="00CE5EF7">
    <w:pPr>
      <w:pStyle w:val="Header"/>
    </w:pPr>
    <w:r>
      <w:rPr>
        <w:noProof/>
      </w:rPr>
      <w:pict w14:anchorId="3C167262">
        <v:rect id="_x0000_i1025" alt="" style="width:441.9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FB95" w14:textId="77777777" w:rsidR="00A61B5E" w:rsidRDefault="00AB253B" w:rsidP="00A61B5E">
    <w:pPr>
      <w:pStyle w:val="Header"/>
    </w:pPr>
    <w:r>
      <w:rPr>
        <w:noProof/>
      </w:rPr>
      <w:drawing>
        <wp:anchor distT="0" distB="0" distL="114300" distR="114300" simplePos="0" relativeHeight="251657216" behindDoc="1" locked="0" layoutInCell="1" allowOverlap="1" wp14:anchorId="59FE738C" wp14:editId="11A3A48B">
          <wp:simplePos x="0" y="0"/>
          <wp:positionH relativeFrom="column">
            <wp:posOffset>0</wp:posOffset>
          </wp:positionH>
          <wp:positionV relativeFrom="paragraph">
            <wp:posOffset>-28575</wp:posOffset>
          </wp:positionV>
          <wp:extent cx="2567940" cy="495300"/>
          <wp:effectExtent l="0" t="0" r="0" b="0"/>
          <wp:wrapThrough wrapText="bothSides">
            <wp:wrapPolygon edited="0">
              <wp:start x="0" y="0"/>
              <wp:lineTo x="0" y="21046"/>
              <wp:lineTo x="21472" y="21046"/>
              <wp:lineTo x="21472" y="0"/>
              <wp:lineTo x="0" y="0"/>
            </wp:wrapPolygon>
          </wp:wrapThrough>
          <wp:docPr id="7"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794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DEC2470" wp14:editId="773EC283">
          <wp:simplePos x="0" y="0"/>
          <wp:positionH relativeFrom="column">
            <wp:posOffset>4019550</wp:posOffset>
          </wp:positionH>
          <wp:positionV relativeFrom="paragraph">
            <wp:posOffset>-34290</wp:posOffset>
          </wp:positionV>
          <wp:extent cx="1924050" cy="499110"/>
          <wp:effectExtent l="0" t="0" r="0" b="0"/>
          <wp:wrapThrough wrapText="bothSides">
            <wp:wrapPolygon edited="0">
              <wp:start x="1711" y="0"/>
              <wp:lineTo x="0" y="3298"/>
              <wp:lineTo x="0" y="14290"/>
              <wp:lineTo x="428" y="18137"/>
              <wp:lineTo x="1568" y="20885"/>
              <wp:lineTo x="1711" y="20885"/>
              <wp:lineTo x="3850" y="20885"/>
              <wp:lineTo x="3992" y="20885"/>
              <wp:lineTo x="5133" y="17588"/>
              <wp:lineTo x="21529" y="17588"/>
              <wp:lineTo x="21529" y="11542"/>
              <wp:lineTo x="20103" y="8794"/>
              <wp:lineTo x="20388" y="5496"/>
              <wp:lineTo x="18962" y="4397"/>
              <wp:lineTo x="3707" y="0"/>
              <wp:lineTo x="1711" y="0"/>
            </wp:wrapPolygon>
          </wp:wrapThrough>
          <wp:docPr id="6"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05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00A61B5E">
      <w:tab/>
    </w:r>
    <w:r w:rsidR="00A61B5E">
      <w:tab/>
    </w:r>
  </w:p>
  <w:p w14:paraId="16B56DFB" w14:textId="77777777" w:rsidR="00F53B51" w:rsidRDefault="00F53B51" w:rsidP="00A61B5E">
    <w:pPr>
      <w:pStyle w:val="Header"/>
    </w:pPr>
  </w:p>
  <w:p w14:paraId="4948EA69" w14:textId="77777777" w:rsidR="00F53B51" w:rsidRDefault="00F53B51" w:rsidP="00A61B5E">
    <w:pPr>
      <w:pStyle w:val="Header"/>
    </w:pPr>
  </w:p>
  <w:p w14:paraId="0D5588C7" w14:textId="77777777" w:rsidR="00A61B5E" w:rsidRDefault="00CE5EF7" w:rsidP="00A61B5E">
    <w:pPr>
      <w:pStyle w:val="Header"/>
    </w:pPr>
    <w:r>
      <w:rPr>
        <w:noProof/>
      </w:rPr>
      <w:pict w14:anchorId="3DB91606">
        <v:rect id="_x0000_i1026" alt="" style="width:441.9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7BDB"/>
    <w:multiLevelType w:val="hybridMultilevel"/>
    <w:tmpl w:val="61D47D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C30BBE"/>
    <w:multiLevelType w:val="hybridMultilevel"/>
    <w:tmpl w:val="BBF0671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B45238"/>
    <w:multiLevelType w:val="hybridMultilevel"/>
    <w:tmpl w:val="E132C0D0"/>
    <w:lvl w:ilvl="0" w:tplc="65526156">
      <w:start w:val="1"/>
      <w:numFmt w:val="bullet"/>
      <w:lvlText w:val=""/>
      <w:lvlJc w:val="left"/>
      <w:pPr>
        <w:ind w:left="1530" w:hanging="360"/>
      </w:pPr>
      <w:rPr>
        <w:rFonts w:ascii="Symbol" w:hAnsi="Symbol" w:hint="default"/>
        <w:color w:val="000000"/>
        <w:sz w:val="20"/>
        <w:szCs w:val="20"/>
      </w:rPr>
    </w:lvl>
    <w:lvl w:ilvl="1" w:tplc="0C0A0003">
      <w:start w:val="1"/>
      <w:numFmt w:val="bullet"/>
      <w:lvlText w:val="o"/>
      <w:lvlJc w:val="left"/>
      <w:pPr>
        <w:ind w:left="2250" w:hanging="360"/>
      </w:pPr>
      <w:rPr>
        <w:rFonts w:ascii="Courier New" w:hAnsi="Courier New" w:cs="Courier New" w:hint="default"/>
      </w:rPr>
    </w:lvl>
    <w:lvl w:ilvl="2" w:tplc="0C0A0005" w:tentative="1">
      <w:start w:val="1"/>
      <w:numFmt w:val="bullet"/>
      <w:lvlText w:val=""/>
      <w:lvlJc w:val="left"/>
      <w:pPr>
        <w:ind w:left="2970" w:hanging="360"/>
      </w:pPr>
      <w:rPr>
        <w:rFonts w:ascii="Wingdings" w:hAnsi="Wingdings" w:hint="default"/>
      </w:rPr>
    </w:lvl>
    <w:lvl w:ilvl="3" w:tplc="0C0A0001" w:tentative="1">
      <w:start w:val="1"/>
      <w:numFmt w:val="bullet"/>
      <w:lvlText w:val=""/>
      <w:lvlJc w:val="left"/>
      <w:pPr>
        <w:ind w:left="3690" w:hanging="360"/>
      </w:pPr>
      <w:rPr>
        <w:rFonts w:ascii="Symbol" w:hAnsi="Symbol" w:hint="default"/>
      </w:rPr>
    </w:lvl>
    <w:lvl w:ilvl="4" w:tplc="0C0A0003" w:tentative="1">
      <w:start w:val="1"/>
      <w:numFmt w:val="bullet"/>
      <w:lvlText w:val="o"/>
      <w:lvlJc w:val="left"/>
      <w:pPr>
        <w:ind w:left="4410" w:hanging="360"/>
      </w:pPr>
      <w:rPr>
        <w:rFonts w:ascii="Courier New" w:hAnsi="Courier New" w:cs="Courier New" w:hint="default"/>
      </w:rPr>
    </w:lvl>
    <w:lvl w:ilvl="5" w:tplc="0C0A0005" w:tentative="1">
      <w:start w:val="1"/>
      <w:numFmt w:val="bullet"/>
      <w:lvlText w:val=""/>
      <w:lvlJc w:val="left"/>
      <w:pPr>
        <w:ind w:left="5130" w:hanging="360"/>
      </w:pPr>
      <w:rPr>
        <w:rFonts w:ascii="Wingdings" w:hAnsi="Wingdings" w:hint="default"/>
      </w:rPr>
    </w:lvl>
    <w:lvl w:ilvl="6" w:tplc="0C0A0001" w:tentative="1">
      <w:start w:val="1"/>
      <w:numFmt w:val="bullet"/>
      <w:lvlText w:val=""/>
      <w:lvlJc w:val="left"/>
      <w:pPr>
        <w:ind w:left="5850" w:hanging="360"/>
      </w:pPr>
      <w:rPr>
        <w:rFonts w:ascii="Symbol" w:hAnsi="Symbol" w:hint="default"/>
      </w:rPr>
    </w:lvl>
    <w:lvl w:ilvl="7" w:tplc="0C0A0003" w:tentative="1">
      <w:start w:val="1"/>
      <w:numFmt w:val="bullet"/>
      <w:lvlText w:val="o"/>
      <w:lvlJc w:val="left"/>
      <w:pPr>
        <w:ind w:left="6570" w:hanging="360"/>
      </w:pPr>
      <w:rPr>
        <w:rFonts w:ascii="Courier New" w:hAnsi="Courier New" w:cs="Courier New" w:hint="default"/>
      </w:rPr>
    </w:lvl>
    <w:lvl w:ilvl="8" w:tplc="0C0A0005" w:tentative="1">
      <w:start w:val="1"/>
      <w:numFmt w:val="bullet"/>
      <w:lvlText w:val=""/>
      <w:lvlJc w:val="left"/>
      <w:pPr>
        <w:ind w:left="7290" w:hanging="360"/>
      </w:pPr>
      <w:rPr>
        <w:rFonts w:ascii="Wingdings" w:hAnsi="Wingdings" w:hint="default"/>
      </w:rPr>
    </w:lvl>
  </w:abstractNum>
  <w:abstractNum w:abstractNumId="3" w15:restartNumberingAfterBreak="0">
    <w:nsid w:val="13E57989"/>
    <w:multiLevelType w:val="hybridMultilevel"/>
    <w:tmpl w:val="4E486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7C4600"/>
    <w:multiLevelType w:val="multilevel"/>
    <w:tmpl w:val="4E8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4236A5"/>
    <w:multiLevelType w:val="hybridMultilevel"/>
    <w:tmpl w:val="2F82DD5C"/>
    <w:lvl w:ilvl="0" w:tplc="4C7ECB12">
      <w:start w:val="1"/>
      <w:numFmt w:val="decimal"/>
      <w:lvlText w:val="%1)"/>
      <w:lvlJc w:val="left"/>
      <w:pPr>
        <w:ind w:left="720" w:hanging="360"/>
      </w:pPr>
      <w:rPr>
        <w:rFonts w:eastAsia="MS Mincho"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C14DC"/>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312A9F"/>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37127D"/>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85B60A1"/>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333480"/>
    <w:multiLevelType w:val="hybridMultilevel"/>
    <w:tmpl w:val="52D07F1C"/>
    <w:lvl w:ilvl="0" w:tplc="FFFFFFFF">
      <w:start w:val="1"/>
      <w:numFmt w:val="upperRoman"/>
      <w:lvlText w:val="%1."/>
      <w:lvlJc w:val="left"/>
      <w:pPr>
        <w:ind w:left="1890" w:hanging="72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C352DCD4">
      <w:start w:val="1"/>
      <w:numFmt w:val="decimal"/>
      <w:lvlText w:val="%4."/>
      <w:lvlJc w:val="left"/>
      <w:pPr>
        <w:ind w:left="2880" w:hanging="360"/>
      </w:pPr>
      <w:rPr>
        <w:b w:val="0"/>
        <w:bCs/>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2BCA2B85"/>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C2833C9"/>
    <w:multiLevelType w:val="hybridMultilevel"/>
    <w:tmpl w:val="1E680606"/>
    <w:lvl w:ilvl="0" w:tplc="8BD876CA">
      <w:start w:val="1"/>
      <w:numFmt w:val="bullet"/>
      <w:lvlText w:val=""/>
      <w:lvlJc w:val="left"/>
      <w:pPr>
        <w:ind w:left="1440" w:hanging="360"/>
      </w:pPr>
      <w:rPr>
        <w:rFonts w:ascii="Symbol" w:hAnsi="Symbol" w:hint="default"/>
        <w:lang w:val="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C005EC"/>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EE2BBA"/>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1276FA0"/>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7CD7804"/>
    <w:multiLevelType w:val="hybridMultilevel"/>
    <w:tmpl w:val="084A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D22AE"/>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21F5CCD"/>
    <w:multiLevelType w:val="hybridMultilevel"/>
    <w:tmpl w:val="842AE3C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49302B1"/>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5422B71"/>
    <w:multiLevelType w:val="hybridMultilevel"/>
    <w:tmpl w:val="BD1ED690"/>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46253A63"/>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02F62E1"/>
    <w:multiLevelType w:val="multilevel"/>
    <w:tmpl w:val="52D07F1C"/>
    <w:styleLink w:val="CurrentList1"/>
    <w:lvl w:ilvl="0">
      <w:start w:val="1"/>
      <w:numFmt w:val="upperRoman"/>
      <w:lvlText w:val="%1."/>
      <w:lvlJc w:val="left"/>
      <w:pPr>
        <w:ind w:left="189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112EDA"/>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3E961B8"/>
    <w:multiLevelType w:val="hybridMultilevel"/>
    <w:tmpl w:val="6C02FA7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55252B23"/>
    <w:multiLevelType w:val="hybridMultilevel"/>
    <w:tmpl w:val="5262080E"/>
    <w:lvl w:ilvl="0" w:tplc="42D8C1E4">
      <w:start w:val="1"/>
      <w:numFmt w:val="decimal"/>
      <w:lvlText w:val="%1."/>
      <w:lvlJc w:val="left"/>
      <w:pPr>
        <w:ind w:left="1080" w:hanging="360"/>
      </w:pPr>
      <w:rPr>
        <w:rFonts w:ascii="Cambria" w:hAnsi="Cambria" w:hint="default"/>
        <w:b w:val="0"/>
        <w:bCs/>
        <w:sz w:val="22"/>
        <w:szCs w:val="22"/>
      </w:r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4B9C0506">
      <w:start w:val="1"/>
      <w:numFmt w:val="decimal"/>
      <w:lvlText w:val="%4."/>
      <w:lvlJc w:val="left"/>
      <w:pPr>
        <w:ind w:left="3240" w:hanging="360"/>
      </w:pPr>
      <w:rPr>
        <w:b w:val="0"/>
        <w:bCs/>
      </w:r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64F4750E">
      <w:start w:val="1"/>
      <w:numFmt w:val="decimal"/>
      <w:lvlText w:val="%7."/>
      <w:lvlJc w:val="left"/>
      <w:pPr>
        <w:ind w:left="5400" w:hanging="360"/>
      </w:pPr>
      <w:rPr>
        <w:b w:val="0"/>
        <w:bCs/>
      </w:r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28" w15:restartNumberingAfterBreak="0">
    <w:nsid w:val="5C1A141F"/>
    <w:multiLevelType w:val="hybridMultilevel"/>
    <w:tmpl w:val="BBF06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A5433B"/>
    <w:multiLevelType w:val="hybridMultilevel"/>
    <w:tmpl w:val="BBF42C0A"/>
    <w:lvl w:ilvl="0" w:tplc="0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15:restartNumberingAfterBreak="0">
    <w:nsid w:val="6DE83646"/>
    <w:multiLevelType w:val="hybridMultilevel"/>
    <w:tmpl w:val="AB5696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15:restartNumberingAfterBreak="0">
    <w:nsid w:val="7437226A"/>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4374125"/>
    <w:multiLevelType w:val="hybridMultilevel"/>
    <w:tmpl w:val="BD1ED690"/>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15:restartNumberingAfterBreak="0">
    <w:nsid w:val="7777634B"/>
    <w:multiLevelType w:val="hybridMultilevel"/>
    <w:tmpl w:val="BBF0671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B413E71"/>
    <w:multiLevelType w:val="hybridMultilevel"/>
    <w:tmpl w:val="639CBA1A"/>
    <w:lvl w:ilvl="0" w:tplc="17E875D0">
      <w:start w:val="2"/>
      <w:numFmt w:val="decimal"/>
      <w:lvlText w:val="%1."/>
      <w:lvlJc w:val="left"/>
      <w:pPr>
        <w:ind w:left="1440" w:hanging="360"/>
      </w:pPr>
      <w:rPr>
        <w:rFonts w:hint="default"/>
        <w:b w:val="0"/>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15:restartNumberingAfterBreak="0">
    <w:nsid w:val="7BE974E9"/>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D4E5D74"/>
    <w:multiLevelType w:val="hybridMultilevel"/>
    <w:tmpl w:val="E530F4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15:restartNumberingAfterBreak="0">
    <w:nsid w:val="7D5B68B4"/>
    <w:multiLevelType w:val="hybridMultilevel"/>
    <w:tmpl w:val="660A1088"/>
    <w:lvl w:ilvl="0" w:tplc="13EC8CA0">
      <w:start w:val="1"/>
      <w:numFmt w:val="lowerLetter"/>
      <w:lvlText w:val="%1)"/>
      <w:lvlJc w:val="left"/>
      <w:pPr>
        <w:ind w:left="720" w:hanging="360"/>
      </w:pPr>
      <w:rPr>
        <w:rFonts w:eastAsia="Batang" w:cs="Calibri Light"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EC35B0D"/>
    <w:multiLevelType w:val="hybridMultilevel"/>
    <w:tmpl w:val="BD1ED690"/>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533809320">
    <w:abstractNumId w:val="11"/>
  </w:num>
  <w:num w:numId="2" w16cid:durableId="453600156">
    <w:abstractNumId w:val="28"/>
  </w:num>
  <w:num w:numId="3" w16cid:durableId="897327684">
    <w:abstractNumId w:val="18"/>
  </w:num>
  <w:num w:numId="4" w16cid:durableId="1141650489">
    <w:abstractNumId w:val="27"/>
  </w:num>
  <w:num w:numId="5" w16cid:durableId="746342540">
    <w:abstractNumId w:val="13"/>
  </w:num>
  <w:num w:numId="6" w16cid:durableId="1621692518">
    <w:abstractNumId w:val="6"/>
  </w:num>
  <w:num w:numId="7" w16cid:durableId="971790784">
    <w:abstractNumId w:val="1"/>
  </w:num>
  <w:num w:numId="8" w16cid:durableId="1387029646">
    <w:abstractNumId w:val="34"/>
  </w:num>
  <w:num w:numId="9" w16cid:durableId="1086881292">
    <w:abstractNumId w:val="7"/>
  </w:num>
  <w:num w:numId="10" w16cid:durableId="1292322756">
    <w:abstractNumId w:val="12"/>
  </w:num>
  <w:num w:numId="11" w16cid:durableId="1000500350">
    <w:abstractNumId w:val="2"/>
  </w:num>
  <w:num w:numId="12" w16cid:durableId="1706103099">
    <w:abstractNumId w:val="33"/>
  </w:num>
  <w:num w:numId="13" w16cid:durableId="1756710271">
    <w:abstractNumId w:val="20"/>
  </w:num>
  <w:num w:numId="14" w16cid:durableId="1099252676">
    <w:abstractNumId w:val="37"/>
  </w:num>
  <w:num w:numId="15" w16cid:durableId="1030109151">
    <w:abstractNumId w:val="16"/>
  </w:num>
  <w:num w:numId="16" w16cid:durableId="1722748191">
    <w:abstractNumId w:val="15"/>
  </w:num>
  <w:num w:numId="17" w16cid:durableId="351491452">
    <w:abstractNumId w:val="26"/>
  </w:num>
  <w:num w:numId="18" w16cid:durableId="1027633537">
    <w:abstractNumId w:val="9"/>
  </w:num>
  <w:num w:numId="19" w16cid:durableId="457845413">
    <w:abstractNumId w:val="25"/>
  </w:num>
  <w:num w:numId="20" w16cid:durableId="1211572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98907281">
    <w:abstractNumId w:val="19"/>
  </w:num>
  <w:num w:numId="22" w16cid:durableId="2003926928">
    <w:abstractNumId w:val="10"/>
  </w:num>
  <w:num w:numId="23" w16cid:durableId="1497725357">
    <w:abstractNumId w:val="21"/>
  </w:num>
  <w:num w:numId="24" w16cid:durableId="307248652">
    <w:abstractNumId w:val="23"/>
  </w:num>
  <w:num w:numId="25" w16cid:durableId="1985550389">
    <w:abstractNumId w:val="5"/>
  </w:num>
  <w:num w:numId="26" w16cid:durableId="1478456909">
    <w:abstractNumId w:val="8"/>
  </w:num>
  <w:num w:numId="27" w16cid:durableId="1176925587">
    <w:abstractNumId w:val="3"/>
  </w:num>
  <w:num w:numId="28" w16cid:durableId="1876766616">
    <w:abstractNumId w:val="35"/>
  </w:num>
  <w:num w:numId="29" w16cid:durableId="2142572164">
    <w:abstractNumId w:val="32"/>
  </w:num>
  <w:num w:numId="30" w16cid:durableId="571933528">
    <w:abstractNumId w:val="30"/>
  </w:num>
  <w:num w:numId="31" w16cid:durableId="1861430946">
    <w:abstractNumId w:val="14"/>
  </w:num>
  <w:num w:numId="32" w16cid:durableId="803893092">
    <w:abstractNumId w:val="17"/>
  </w:num>
  <w:num w:numId="33" w16cid:durableId="1739936026">
    <w:abstractNumId w:val="4"/>
  </w:num>
  <w:num w:numId="34" w16cid:durableId="1458915668">
    <w:abstractNumId w:val="29"/>
  </w:num>
  <w:num w:numId="35" w16cid:durableId="1599485303">
    <w:abstractNumId w:val="38"/>
  </w:num>
  <w:num w:numId="36" w16cid:durableId="1664964272">
    <w:abstractNumId w:val="36"/>
  </w:num>
  <w:num w:numId="37" w16cid:durableId="2074966919">
    <w:abstractNumId w:val="31"/>
  </w:num>
  <w:num w:numId="38" w16cid:durableId="20934263">
    <w:abstractNumId w:val="22"/>
  </w:num>
  <w:num w:numId="39" w16cid:durableId="195656616">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222"/>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B6"/>
    <w:rsid w:val="000161DA"/>
    <w:rsid w:val="000244BA"/>
    <w:rsid w:val="00047B56"/>
    <w:rsid w:val="00054EA0"/>
    <w:rsid w:val="00062031"/>
    <w:rsid w:val="0006625E"/>
    <w:rsid w:val="000667A7"/>
    <w:rsid w:val="00066DEC"/>
    <w:rsid w:val="00074D00"/>
    <w:rsid w:val="00096079"/>
    <w:rsid w:val="000B3203"/>
    <w:rsid w:val="000B3318"/>
    <w:rsid w:val="000D32B6"/>
    <w:rsid w:val="001011E0"/>
    <w:rsid w:val="00101E3E"/>
    <w:rsid w:val="00112395"/>
    <w:rsid w:val="0012586C"/>
    <w:rsid w:val="00127F17"/>
    <w:rsid w:val="001511FD"/>
    <w:rsid w:val="001541D4"/>
    <w:rsid w:val="00162518"/>
    <w:rsid w:val="001834F6"/>
    <w:rsid w:val="001C516B"/>
    <w:rsid w:val="001E3F4C"/>
    <w:rsid w:val="00215215"/>
    <w:rsid w:val="0021669C"/>
    <w:rsid w:val="00226F48"/>
    <w:rsid w:val="00240E8E"/>
    <w:rsid w:val="002547E7"/>
    <w:rsid w:val="00260836"/>
    <w:rsid w:val="00277604"/>
    <w:rsid w:val="002859A9"/>
    <w:rsid w:val="00292B52"/>
    <w:rsid w:val="00294B17"/>
    <w:rsid w:val="002A39B2"/>
    <w:rsid w:val="002D40CD"/>
    <w:rsid w:val="002E4FBC"/>
    <w:rsid w:val="002F156A"/>
    <w:rsid w:val="00324C1A"/>
    <w:rsid w:val="00335042"/>
    <w:rsid w:val="00336E78"/>
    <w:rsid w:val="003419CC"/>
    <w:rsid w:val="00343CED"/>
    <w:rsid w:val="0036283E"/>
    <w:rsid w:val="00385F0C"/>
    <w:rsid w:val="00393310"/>
    <w:rsid w:val="00394EEF"/>
    <w:rsid w:val="003C4836"/>
    <w:rsid w:val="003E4C2F"/>
    <w:rsid w:val="003E533F"/>
    <w:rsid w:val="003E6F57"/>
    <w:rsid w:val="003F3C6B"/>
    <w:rsid w:val="00402700"/>
    <w:rsid w:val="00420BB1"/>
    <w:rsid w:val="0043583A"/>
    <w:rsid w:val="004545D1"/>
    <w:rsid w:val="00470C7B"/>
    <w:rsid w:val="0047146A"/>
    <w:rsid w:val="004722BC"/>
    <w:rsid w:val="00472E04"/>
    <w:rsid w:val="0047567D"/>
    <w:rsid w:val="00477BF2"/>
    <w:rsid w:val="004B3074"/>
    <w:rsid w:val="004B7CA6"/>
    <w:rsid w:val="004C6CCF"/>
    <w:rsid w:val="004C7C99"/>
    <w:rsid w:val="004F5CA9"/>
    <w:rsid w:val="004F5F70"/>
    <w:rsid w:val="00504855"/>
    <w:rsid w:val="005145CC"/>
    <w:rsid w:val="005205B9"/>
    <w:rsid w:val="00534F2B"/>
    <w:rsid w:val="005566F5"/>
    <w:rsid w:val="005829B9"/>
    <w:rsid w:val="00594A1B"/>
    <w:rsid w:val="005A328E"/>
    <w:rsid w:val="005A4D20"/>
    <w:rsid w:val="005A5AE8"/>
    <w:rsid w:val="005A5E14"/>
    <w:rsid w:val="005B2E65"/>
    <w:rsid w:val="005C2637"/>
    <w:rsid w:val="005C414D"/>
    <w:rsid w:val="005D7F05"/>
    <w:rsid w:val="005E3720"/>
    <w:rsid w:val="005E4B03"/>
    <w:rsid w:val="005F171A"/>
    <w:rsid w:val="005F4AAA"/>
    <w:rsid w:val="0060081A"/>
    <w:rsid w:val="00604132"/>
    <w:rsid w:val="00634F89"/>
    <w:rsid w:val="00637AFB"/>
    <w:rsid w:val="00655003"/>
    <w:rsid w:val="00660EF3"/>
    <w:rsid w:val="00663A76"/>
    <w:rsid w:val="0067152B"/>
    <w:rsid w:val="00672090"/>
    <w:rsid w:val="006C2941"/>
    <w:rsid w:val="006C2B06"/>
    <w:rsid w:val="006C7308"/>
    <w:rsid w:val="006E2BD8"/>
    <w:rsid w:val="006F0429"/>
    <w:rsid w:val="0070407B"/>
    <w:rsid w:val="00705E57"/>
    <w:rsid w:val="007175E2"/>
    <w:rsid w:val="00727940"/>
    <w:rsid w:val="00730193"/>
    <w:rsid w:val="0073227E"/>
    <w:rsid w:val="00732EA4"/>
    <w:rsid w:val="007377D4"/>
    <w:rsid w:val="007B0327"/>
    <w:rsid w:val="007B3452"/>
    <w:rsid w:val="007B3D07"/>
    <w:rsid w:val="007B4E82"/>
    <w:rsid w:val="007C2CC3"/>
    <w:rsid w:val="007C351D"/>
    <w:rsid w:val="007D4C18"/>
    <w:rsid w:val="007E463E"/>
    <w:rsid w:val="007F5F4E"/>
    <w:rsid w:val="00801509"/>
    <w:rsid w:val="00806082"/>
    <w:rsid w:val="00807BAA"/>
    <w:rsid w:val="008145AE"/>
    <w:rsid w:val="00817E0C"/>
    <w:rsid w:val="008338E4"/>
    <w:rsid w:val="00833BA8"/>
    <w:rsid w:val="00846397"/>
    <w:rsid w:val="008521E0"/>
    <w:rsid w:val="00854914"/>
    <w:rsid w:val="008550EF"/>
    <w:rsid w:val="00893661"/>
    <w:rsid w:val="008A1CBE"/>
    <w:rsid w:val="008B1EA8"/>
    <w:rsid w:val="008B2A99"/>
    <w:rsid w:val="008B6DA8"/>
    <w:rsid w:val="008E42E1"/>
    <w:rsid w:val="008E751C"/>
    <w:rsid w:val="008F2248"/>
    <w:rsid w:val="009162E7"/>
    <w:rsid w:val="00941BE5"/>
    <w:rsid w:val="009457D8"/>
    <w:rsid w:val="0096142F"/>
    <w:rsid w:val="0096419E"/>
    <w:rsid w:val="00994458"/>
    <w:rsid w:val="009949ED"/>
    <w:rsid w:val="009B1135"/>
    <w:rsid w:val="009B219C"/>
    <w:rsid w:val="009C227B"/>
    <w:rsid w:val="009C4D87"/>
    <w:rsid w:val="009C5BE9"/>
    <w:rsid w:val="009E73F0"/>
    <w:rsid w:val="009F66EA"/>
    <w:rsid w:val="00A2502C"/>
    <w:rsid w:val="00A25CA7"/>
    <w:rsid w:val="00A343FF"/>
    <w:rsid w:val="00A61B5E"/>
    <w:rsid w:val="00A678C3"/>
    <w:rsid w:val="00A70B4A"/>
    <w:rsid w:val="00A76705"/>
    <w:rsid w:val="00A7781B"/>
    <w:rsid w:val="00A860C7"/>
    <w:rsid w:val="00AA164D"/>
    <w:rsid w:val="00AB253B"/>
    <w:rsid w:val="00AC2C8E"/>
    <w:rsid w:val="00AE1B0F"/>
    <w:rsid w:val="00AF2D92"/>
    <w:rsid w:val="00B002D8"/>
    <w:rsid w:val="00B056D9"/>
    <w:rsid w:val="00B063D6"/>
    <w:rsid w:val="00B120EB"/>
    <w:rsid w:val="00B205A7"/>
    <w:rsid w:val="00B3732F"/>
    <w:rsid w:val="00B40F77"/>
    <w:rsid w:val="00B4343F"/>
    <w:rsid w:val="00B60889"/>
    <w:rsid w:val="00B674F5"/>
    <w:rsid w:val="00B74EA5"/>
    <w:rsid w:val="00B8008C"/>
    <w:rsid w:val="00B806AC"/>
    <w:rsid w:val="00B93993"/>
    <w:rsid w:val="00BA2B9F"/>
    <w:rsid w:val="00BC3854"/>
    <w:rsid w:val="00C03B37"/>
    <w:rsid w:val="00C17E67"/>
    <w:rsid w:val="00C17F04"/>
    <w:rsid w:val="00C30658"/>
    <w:rsid w:val="00C3260E"/>
    <w:rsid w:val="00C3445F"/>
    <w:rsid w:val="00C402CB"/>
    <w:rsid w:val="00C55E1C"/>
    <w:rsid w:val="00C56464"/>
    <w:rsid w:val="00C57947"/>
    <w:rsid w:val="00C76780"/>
    <w:rsid w:val="00CB6344"/>
    <w:rsid w:val="00CB7CD5"/>
    <w:rsid w:val="00CB7D17"/>
    <w:rsid w:val="00CC0731"/>
    <w:rsid w:val="00CC6DB2"/>
    <w:rsid w:val="00CE024B"/>
    <w:rsid w:val="00CE5EF7"/>
    <w:rsid w:val="00CE74B7"/>
    <w:rsid w:val="00CF54E1"/>
    <w:rsid w:val="00D048B2"/>
    <w:rsid w:val="00D05BCC"/>
    <w:rsid w:val="00D23C64"/>
    <w:rsid w:val="00D735C2"/>
    <w:rsid w:val="00D76EDC"/>
    <w:rsid w:val="00D9413D"/>
    <w:rsid w:val="00DA7797"/>
    <w:rsid w:val="00DC5A37"/>
    <w:rsid w:val="00DC7C8F"/>
    <w:rsid w:val="00DF0FE5"/>
    <w:rsid w:val="00E12118"/>
    <w:rsid w:val="00E177B0"/>
    <w:rsid w:val="00E24621"/>
    <w:rsid w:val="00E3040C"/>
    <w:rsid w:val="00E31824"/>
    <w:rsid w:val="00E42870"/>
    <w:rsid w:val="00E525B3"/>
    <w:rsid w:val="00E6614F"/>
    <w:rsid w:val="00E737AE"/>
    <w:rsid w:val="00E953CE"/>
    <w:rsid w:val="00EC2A38"/>
    <w:rsid w:val="00ED7332"/>
    <w:rsid w:val="00ED73A5"/>
    <w:rsid w:val="00F14821"/>
    <w:rsid w:val="00F43314"/>
    <w:rsid w:val="00F45256"/>
    <w:rsid w:val="00F53B51"/>
    <w:rsid w:val="00F54F60"/>
    <w:rsid w:val="00F61B1D"/>
    <w:rsid w:val="00F62829"/>
    <w:rsid w:val="00F66FEE"/>
    <w:rsid w:val="00F74974"/>
    <w:rsid w:val="00F7589F"/>
    <w:rsid w:val="00F9351A"/>
    <w:rsid w:val="00FC304E"/>
    <w:rsid w:val="00FC62AE"/>
    <w:rsid w:val="00FC66C2"/>
    <w:rsid w:val="00FC76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99C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unhideWhenUsed/>
    <w:rsid w:val="0047146A"/>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aliases w:val="Párrafo de lista1,List Paragraph1,Colorful List - Accent 11,List Paragraph11"/>
    <w:basedOn w:val="Normal"/>
    <w:link w:val="ListParagraphChar"/>
    <w:uiPriority w:val="34"/>
    <w:qFormat/>
    <w:rsid w:val="00470C7B"/>
    <w:pPr>
      <w:ind w:left="720"/>
      <w:contextualSpacing/>
    </w:pPr>
    <w:rPr>
      <w:rFonts w:eastAsia="Times New Roman"/>
    </w:rPr>
  </w:style>
  <w:style w:type="character" w:styleId="Hyperlink">
    <w:name w:val="Hyperlink"/>
    <w:uiPriority w:val="99"/>
    <w:unhideWhenUsed/>
    <w:rsid w:val="00470C7B"/>
    <w:rPr>
      <w:color w:val="0000FF"/>
      <w:u w:val="single"/>
    </w:rPr>
  </w:style>
  <w:style w:type="character" w:customStyle="1" w:styleId="ListParagraphChar">
    <w:name w:val="List Paragraph Char"/>
    <w:aliases w:val="Párrafo de lista1 Char,List Paragraph1 Char,Colorful List - Accent 11 Char,List Paragraph11 Char"/>
    <w:link w:val="ListParagraph"/>
    <w:uiPriority w:val="34"/>
    <w:locked/>
    <w:rsid w:val="00470C7B"/>
    <w:rPr>
      <w:rFonts w:eastAsia="Times New Roman"/>
      <w:sz w:val="22"/>
      <w:szCs w:val="22"/>
      <w:lang w:val="en-US" w:eastAsia="en-US"/>
    </w:rPr>
  </w:style>
  <w:style w:type="character" w:styleId="FootnoteReference">
    <w:name w:val="footnote reference"/>
    <w:aliases w:val="Ref,f1,4,norma"/>
    <w:link w:val="Appelnotedebasde"/>
    <w:uiPriority w:val="99"/>
    <w:unhideWhenUsed/>
    <w:qFormat/>
    <w:rsid w:val="00470C7B"/>
    <w:rPr>
      <w:vertAlign w:val="superscript"/>
    </w:rPr>
  </w:style>
  <w:style w:type="paragraph" w:customStyle="1" w:styleId="Appelnotedebasde">
    <w:name w:val="Appel note de bas de..."/>
    <w:basedOn w:val="Normal"/>
    <w:link w:val="FootnoteReference"/>
    <w:uiPriority w:val="99"/>
    <w:rsid w:val="00470C7B"/>
    <w:pPr>
      <w:spacing w:after="160" w:line="240" w:lineRule="exact"/>
    </w:pPr>
    <w:rPr>
      <w:sz w:val="20"/>
      <w:szCs w:val="20"/>
      <w:vertAlign w:val="superscript"/>
      <w:lang w:val="es-CO" w:eastAsia="es-MX"/>
    </w:rPr>
  </w:style>
  <w:style w:type="character" w:styleId="FollowedHyperlink">
    <w:name w:val="FollowedHyperlink"/>
    <w:basedOn w:val="DefaultParagraphFont"/>
    <w:uiPriority w:val="99"/>
    <w:semiHidden/>
    <w:unhideWhenUsed/>
    <w:rsid w:val="00385F0C"/>
    <w:rPr>
      <w:color w:val="954F72" w:themeColor="followedHyperlink"/>
      <w:u w:val="single"/>
    </w:rPr>
  </w:style>
  <w:style w:type="paragraph" w:styleId="FootnoteText">
    <w:name w:val="footnote text"/>
    <w:aliases w:val="Footnote Reference1,Footnotes refss,Texto de nota al pie,referencia nota al pie,BVI fnr,Appel note de bas de page,Footnote symbol,Footnote number,f,Ref. de nota al pie.,4_G,16 Point,Superscript 6 Point,Texto nota al pie,Ref. de nota al pi"/>
    <w:basedOn w:val="Normal"/>
    <w:link w:val="FootnoteTextChar"/>
    <w:uiPriority w:val="99"/>
    <w:unhideWhenUsed/>
    <w:qFormat/>
    <w:rsid w:val="00672090"/>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Reference1 Char,Footnotes refss Char,Texto de nota al pie Char,referencia nota al pie Char,BVI fnr Char,Appel note de bas de page Char,Footnote symbol Char,Footnote number Char,f Char,Ref. de nota al pie. Char,4_G Char"/>
    <w:basedOn w:val="DefaultParagraphFont"/>
    <w:link w:val="FootnoteText"/>
    <w:uiPriority w:val="99"/>
    <w:rsid w:val="00672090"/>
    <w:rPr>
      <w:rFonts w:ascii="Times New Roman" w:eastAsia="Times New Roman" w:hAnsi="Times New Roman"/>
      <w:lang w:val="en-US" w:eastAsia="en-US"/>
    </w:rPr>
  </w:style>
  <w:style w:type="paragraph" w:styleId="NoSpacing">
    <w:name w:val="No Spacing"/>
    <w:uiPriority w:val="1"/>
    <w:qFormat/>
    <w:rsid w:val="008521E0"/>
    <w:rPr>
      <w:sz w:val="22"/>
      <w:szCs w:val="22"/>
      <w:lang w:val="en-US" w:eastAsia="en-US"/>
    </w:rPr>
  </w:style>
  <w:style w:type="paragraph" w:customStyle="1" w:styleId="Default">
    <w:name w:val="Default"/>
    <w:rsid w:val="008521E0"/>
    <w:pPr>
      <w:autoSpaceDE w:val="0"/>
      <w:autoSpaceDN w:val="0"/>
      <w:adjustRightInd w:val="0"/>
    </w:pPr>
    <w:rPr>
      <w:rFonts w:ascii="Cambria" w:hAnsi="Cambria" w:cs="Cambria"/>
      <w:color w:val="000000"/>
      <w:sz w:val="24"/>
      <w:szCs w:val="24"/>
      <w:lang w:val="en-US" w:eastAsia="en-US"/>
    </w:rPr>
  </w:style>
  <w:style w:type="paragraph" w:styleId="Revision">
    <w:name w:val="Revision"/>
    <w:hidden/>
    <w:uiPriority w:val="99"/>
    <w:semiHidden/>
    <w:rsid w:val="00B120EB"/>
    <w:rPr>
      <w:sz w:val="22"/>
      <w:szCs w:val="22"/>
      <w:lang w:val="en-US" w:eastAsia="en-US"/>
    </w:rPr>
  </w:style>
  <w:style w:type="character" w:styleId="UnresolvedMention">
    <w:name w:val="Unresolved Mention"/>
    <w:basedOn w:val="DefaultParagraphFont"/>
    <w:uiPriority w:val="99"/>
    <w:semiHidden/>
    <w:unhideWhenUsed/>
    <w:rsid w:val="00634F89"/>
    <w:rPr>
      <w:color w:val="605E5C"/>
      <w:shd w:val="clear" w:color="auto" w:fill="E1DFDD"/>
    </w:rPr>
  </w:style>
  <w:style w:type="numbering" w:customStyle="1" w:styleId="CurrentList1">
    <w:name w:val="Current List1"/>
    <w:uiPriority w:val="99"/>
    <w:rsid w:val="004C7C99"/>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7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as.org/en/iachr/decisions/2021/HOSA12961EEN.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oas.org/en/iachr/decisions/2014/HOAD775-03EN.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as.org/en/iachr/decisions/2021/HOSA12961EEN.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2" Type="http://schemas.openxmlformats.org/officeDocument/2006/relationships/hyperlink" Target="https://www.oas.org/en/iachr/decisions/2021/HOSA12961EEN.pdf" TargetMode="External"/><Relationship Id="rId1" Type="http://schemas.openxmlformats.org/officeDocument/2006/relationships/hyperlink" Target="https://www.oas.org/en/iachr/decisions/2021/HOSA12961E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BF31B657-F33D-43CC-9F55-73619C379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8CE3C7-B026-E241-B903-18C1190A9A5F}">
  <ds:schemaRefs>
    <ds:schemaRef ds:uri="http://schemas.openxmlformats.org/officeDocument/2006/bibliography"/>
  </ds:schemaRefs>
</ds:datastoreItem>
</file>

<file path=customXml/itemProps3.xml><?xml version="1.0" encoding="utf-8"?>
<ds:datastoreItem xmlns:ds="http://schemas.openxmlformats.org/officeDocument/2006/customXml" ds:itemID="{490A2D28-5FAE-4C93-A166-435BBB1CA95B}">
  <ds:schemaRefs>
    <ds:schemaRef ds:uri="http://schemas.microsoft.com/sharepoint/v3/contenttype/forms"/>
  </ds:schemaRefs>
</ds:datastoreItem>
</file>

<file path=customXml/itemProps4.xml><?xml version="1.0" encoding="utf-8"?>
<ds:datastoreItem xmlns:ds="http://schemas.openxmlformats.org/officeDocument/2006/customXml" ds:itemID="{2C534A0D-18CE-4362-9E26-A3C7BFDE772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731</Words>
  <Characters>4173</Characters>
  <Application>Microsoft Office Word</Application>
  <DocSecurity>0</DocSecurity>
  <Lines>34</Lines>
  <Paragraphs>9</Paragraphs>
  <ScaleCrop>false</ScaleCrop>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2023-03-07T20:28:00Z</dcterms:created>
  <dcterms:modified xsi:type="dcterms:W3CDTF">2023-03-07T20:28:00Z</dcterms:modified>
</cp:coreProperties>
</file>