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986BB" w14:textId="1521C481" w:rsidR="00025891" w:rsidRPr="00524435" w:rsidRDefault="00025891" w:rsidP="00025891">
      <w:pPr>
        <w:spacing w:after="0" w:line="240" w:lineRule="auto"/>
        <w:ind w:left="360"/>
        <w:jc w:val="center"/>
        <w:rPr>
          <w:rFonts w:ascii="Cambria" w:eastAsia="Calibri" w:hAnsi="Cambria" w:cs="Calibri"/>
          <w:b/>
          <w:sz w:val="32"/>
          <w:szCs w:val="32"/>
        </w:rPr>
      </w:pPr>
      <w:r w:rsidRPr="00524435">
        <w:rPr>
          <w:rFonts w:ascii="Cambria" w:hAnsi="Cambria"/>
          <w:b/>
          <w:sz w:val="32"/>
        </w:rPr>
        <w:t>CHAPTER II</w:t>
      </w:r>
    </w:p>
    <w:p w14:paraId="456E094D" w14:textId="77777777" w:rsidR="008C6349" w:rsidRPr="00524435" w:rsidRDefault="008C6349" w:rsidP="00025891">
      <w:pPr>
        <w:spacing w:after="0" w:line="240" w:lineRule="auto"/>
        <w:ind w:left="360"/>
        <w:jc w:val="center"/>
        <w:rPr>
          <w:rFonts w:ascii="Cambria" w:hAnsi="Cambria"/>
          <w:b/>
          <w:sz w:val="32"/>
        </w:rPr>
      </w:pPr>
    </w:p>
    <w:p w14:paraId="0D62616B" w14:textId="54045642" w:rsidR="00025891" w:rsidRPr="00524435" w:rsidRDefault="00025891" w:rsidP="00E54173">
      <w:pPr>
        <w:spacing w:after="0" w:line="240" w:lineRule="auto"/>
        <w:jc w:val="center"/>
        <w:rPr>
          <w:rFonts w:ascii="Cambria" w:eastAsia="Calibri" w:hAnsi="Cambria" w:cs="Calibri"/>
          <w:b/>
          <w:sz w:val="32"/>
          <w:szCs w:val="32"/>
        </w:rPr>
      </w:pPr>
      <w:r w:rsidRPr="00524435">
        <w:rPr>
          <w:rFonts w:ascii="Cambria" w:hAnsi="Cambria"/>
          <w:b/>
          <w:sz w:val="32"/>
        </w:rPr>
        <w:t>THE SYSTEM OF PETITIONS AND CASES, FRIENDLY SETTLEMENTS, AND PRECAUTIONARY MEASURES</w:t>
      </w:r>
      <w:r w:rsidRPr="00524435">
        <w:rPr>
          <w:rFonts w:ascii="Cambria" w:eastAsia="Calibri" w:hAnsi="Cambria" w:cs="Calibri"/>
          <w:b/>
          <w:sz w:val="32"/>
          <w:szCs w:val="32"/>
          <w:vertAlign w:val="superscript"/>
        </w:rPr>
        <w:footnoteReference w:id="1"/>
      </w:r>
    </w:p>
    <w:p w14:paraId="1240032A" w14:textId="77777777" w:rsidR="00025891" w:rsidRPr="00524435" w:rsidRDefault="00025891" w:rsidP="00025891">
      <w:pPr>
        <w:spacing w:after="0" w:line="240" w:lineRule="auto"/>
        <w:ind w:left="360"/>
        <w:jc w:val="center"/>
        <w:rPr>
          <w:rFonts w:ascii="Cambria" w:eastAsia="Calibri" w:hAnsi="Cambria" w:cs="Calibri"/>
          <w:sz w:val="20"/>
          <w:szCs w:val="20"/>
          <w:highlight w:val="yellow"/>
        </w:rPr>
      </w:pPr>
    </w:p>
    <w:p w14:paraId="3CC62C10" w14:textId="77777777" w:rsidR="00025891" w:rsidRPr="00524435" w:rsidRDefault="00025891" w:rsidP="00025891">
      <w:pPr>
        <w:autoSpaceDE w:val="0"/>
        <w:autoSpaceDN w:val="0"/>
        <w:adjustRightInd w:val="0"/>
        <w:spacing w:after="0" w:line="240" w:lineRule="auto"/>
        <w:ind w:left="720"/>
        <w:jc w:val="both"/>
        <w:rPr>
          <w:rFonts w:ascii="Cambria" w:eastAsia="Calibri" w:hAnsi="Cambria" w:cs="Calibri"/>
          <w:sz w:val="20"/>
          <w:szCs w:val="20"/>
        </w:rPr>
      </w:pPr>
    </w:p>
    <w:p w14:paraId="1995386F" w14:textId="77777777" w:rsidR="00025891" w:rsidRPr="00524435" w:rsidRDefault="00025891" w:rsidP="008C6349">
      <w:pPr>
        <w:pStyle w:val="Heading1"/>
      </w:pPr>
      <w:r w:rsidRPr="00524435">
        <w:t>Introduction</w:t>
      </w:r>
    </w:p>
    <w:p w14:paraId="0CA2ACE7" w14:textId="77777777" w:rsidR="00025891" w:rsidRPr="00524435" w:rsidRDefault="00025891" w:rsidP="009242CD">
      <w:pPr>
        <w:pStyle w:val="ListParagraph"/>
      </w:pPr>
      <w:r w:rsidRPr="00524435">
        <w:t>The IACHR has a unique mechanism for the protection of human rights in the region, which is the system of petitions, cases, friendly settlements, and precautionary measures. By filing a petition with the Inter-American Commission, individuals who have suffered human rights violations can obtain measures of justice and comprehensive reparation. To the extent that this mechanism operates properly, persons whose rights have been violated will be able to count on an instrument for the resolution of their claims, which will not only benefit them in their case, but will also provide States with an important tool for addressing structural situations of human rights violations, through effective implementation of IACHR recommendations or friendly settlement agreements approved by it, and compliance with precautionary measures. Such a system is a fundamental tool for achieving justice and reparation in individual cases, protecting individuals, combating impunity, and achieving structural reforms in laws, policies, and practices.</w:t>
      </w:r>
    </w:p>
    <w:p w14:paraId="57CFE4B2" w14:textId="22CCB65E" w:rsidR="00025891" w:rsidRPr="00524435" w:rsidRDefault="00025891" w:rsidP="004F6572">
      <w:pPr>
        <w:pStyle w:val="ListParagraph"/>
      </w:pPr>
      <w:r w:rsidRPr="00524435">
        <w:t>The IACHR recalls the key part played by the system of petitions, cases, and precautionary measures in its mandate and its importance for the promotion and protection of human rights in the Hemisphere, at the individual, collective, and structural levels. The Commission's reports on cases and the judgments of the Inter-American Court, in addition to concrete reparation for victims, have promoted constitutional reforms and changes in jurisprudence, in addition to bringing hope for justice and reparation to victims of human rights violations. Since its inception, States have fostered this system and supported the Commission’s exercise of this mandate, which began with requests for information from States and became part of the processing of individual cases. The working tools developed by the IACHR were then recognized first in the Statute of 1965, then in its Rules of Procedure of May 2, 1967, and in 1969 with the adoption of the American Convention on Human Rights.</w:t>
      </w:r>
    </w:p>
    <w:p w14:paraId="5D856524" w14:textId="435B4566" w:rsidR="00025891" w:rsidRPr="00524435" w:rsidRDefault="00025891" w:rsidP="004F6572">
      <w:pPr>
        <w:pStyle w:val="ListParagraph"/>
      </w:pPr>
      <w:r w:rsidRPr="00524435">
        <w:t>The protection and defense pillar, which includes the system of petitions, cases, friendly settlements, and precautionary measures, is a fundamental tool for the IACHR and for all the inhabitants of the Hemisphere. It is a source of pride for the Americas, internationally recognized for its objectivity, seriousness, consistency, and legal quality. Given the core part played by this system, and the large procedural backlog that has accumulated since the 1990s, the Commission has prioritized a program to reduce the procedural backlog. After a consultation process that involved more than 500 people and 300 entities, the IACHR adopted its 2017-2021 Strategic Plan with 5 strategic objectives. Strengthening the system of petitions, cases, friendly settlements, and precautionary measures was identified as the first of these objectives, and the first program envisaged in the Plan is the Special Program to Address the Procedural Backlog.</w:t>
      </w:r>
    </w:p>
    <w:p w14:paraId="5F7E1BD7" w14:textId="77777777" w:rsidR="00411498" w:rsidRPr="00524435" w:rsidRDefault="00411498" w:rsidP="00411498">
      <w:pPr>
        <w:pStyle w:val="ListParagraph"/>
      </w:pPr>
      <w:r w:rsidRPr="00524435">
        <w:t xml:space="preserve">Objective 1 of the Strategic Plan of the IACHR seeks to contribute to the development of more effective and accessible inter-American justice, </w:t>
      </w:r>
      <w:proofErr w:type="gramStart"/>
      <w:r w:rsidRPr="00524435">
        <w:t>in order to</w:t>
      </w:r>
      <w:proofErr w:type="gramEnd"/>
      <w:r w:rsidRPr="00524435">
        <w:t xml:space="preserve"> overcome practices of impunity in the region and achieve comprehensive reparation for victims through decisive measures to strengthen the petitions and cases, </w:t>
      </w:r>
      <w:r w:rsidRPr="00524435">
        <w:lastRenderedPageBreak/>
        <w:t xml:space="preserve">friendly settlements, and precautionary measures system. Programs: 1. Special Procedural Backlog Reduction Program; 2. Program to Expand the Use of Friendly Settlements </w:t>
      </w:r>
    </w:p>
    <w:p w14:paraId="472EC3DB" w14:textId="4C191B47" w:rsidR="00411498" w:rsidRPr="00524435" w:rsidRDefault="00411498" w:rsidP="00411498">
      <w:pPr>
        <w:pStyle w:val="ListParagraph"/>
      </w:pPr>
      <w:r w:rsidRPr="00524435">
        <w:t xml:space="preserve">The Commission is aware that this is an ongoing </w:t>
      </w:r>
      <w:r w:rsidR="008D45E3" w:rsidRPr="00524435">
        <w:t>process and</w:t>
      </w:r>
      <w:r w:rsidRPr="00524435">
        <w:t xml:space="preserve"> that </w:t>
      </w:r>
      <w:proofErr w:type="gramStart"/>
      <w:r w:rsidRPr="00524435">
        <w:t>in order to</w:t>
      </w:r>
      <w:proofErr w:type="gramEnd"/>
      <w:r w:rsidRPr="00524435">
        <w:t xml:space="preserve"> confront and resolve this chronic backlog, it must continue to deepen and consolidate the measures adopted, apply the lessons learned in the process, and pursue additional decisive measures to achieve more effective, timely, and comprehensive inter-American justice.  This is a process that requires the joint work of all the actors of the inter-American system, in which the member states have been and will continue to be fundamental. An important factor for achieving the results obtained was the doubling of the regular budget that the States granted to the Inter-American system in 2017. The Commission also recognizes the contributions and support of civil society, a structural pillar of the inter-American system, without which this progress would not have been possible. </w:t>
      </w:r>
    </w:p>
    <w:p w14:paraId="1614E224" w14:textId="50C47321" w:rsidR="0075788E" w:rsidRPr="00524435" w:rsidRDefault="00411498" w:rsidP="00411498">
      <w:pPr>
        <w:pStyle w:val="ListParagraph"/>
      </w:pPr>
      <w:r w:rsidRPr="00524435">
        <w:t xml:space="preserve">The Inter-American Commission was the first international body to process individual petitions and over the past 20 years it has accumulated a sizeable backlog in its petitions and cases system. This backlog had reached historical records regarding the number of petitions pending initial study (approximately 13,000, plus 5,000 deactivated petitions, plus the 3,000 on average that enter each year) and petitions at the admissibility and merits stages (average of 3,500). It had also meant a delay of more than 25 years at the merits stage; more than 15 years in admissibility; friendly settlement processes that had taken more than 20 years of negotiation; and processing with considerable delays. </w:t>
      </w:r>
    </w:p>
    <w:p w14:paraId="1914EFED" w14:textId="1BF628BF" w:rsidR="0075788E" w:rsidRPr="00524435" w:rsidRDefault="0075788E" w:rsidP="0075788E">
      <w:pPr>
        <w:pStyle w:val="ListParagraph"/>
      </w:pPr>
      <w:r w:rsidRPr="00524435">
        <w:t xml:space="preserve">Faced with this enormous challenge, in these 5 years of implementing its Strategic Plan, the Commission has adopted various </w:t>
      </w:r>
      <w:hyperlink r:id="rId11" w:history="1">
        <w:r w:rsidRPr="00524435">
          <w:rPr>
            <w:rStyle w:val="Hyperlink"/>
          </w:rPr>
          <w:t>measures</w:t>
        </w:r>
      </w:hyperlink>
      <w:r w:rsidRPr="00524435">
        <w:t xml:space="preserve"> that have included new work methodologies, an internal reorganization of the Executive Secretariat, and strategic planning in its cases and petitions system. These measures notably included the creation of an Assistant Executive Secretariat dedicated exclusively to the cases and petitions system; reinforcement of the team; the strengthening of the processing section; the adoption of systematized admissibility and merits criteria; the adoption of models and thematic lines of work; and prioritization of the promotion of friendly settlements.</w:t>
      </w:r>
    </w:p>
    <w:p w14:paraId="4221D803" w14:textId="6DDBD0C2" w:rsidR="00411498" w:rsidRPr="00524435" w:rsidRDefault="0075788E" w:rsidP="00411498">
      <w:pPr>
        <w:pStyle w:val="ListParagraph"/>
      </w:pPr>
      <w:r w:rsidRPr="00524435">
        <w:t xml:space="preserve">The result of these measures, coupled with a clear, consistent, and transparent methodology, is as follows: </w:t>
      </w:r>
    </w:p>
    <w:p w14:paraId="38904B83" w14:textId="63633713" w:rsidR="003C1F15" w:rsidRPr="00524435" w:rsidRDefault="003C1F15" w:rsidP="003C1F15">
      <w:pPr>
        <w:pStyle w:val="ListParagraph"/>
      </w:pPr>
      <w:r w:rsidRPr="00524435">
        <w:t xml:space="preserve">The SEA/AES has 5 sections that cover the different procedural stages: initial study, admissibility, friendly settlements, cases, and the processing section. In addition, the Precautionary Measures Section and the Follow-up and Impact Section make up the structure of the Executive Secretariat's protection system reported in this chapter. </w:t>
      </w:r>
    </w:p>
    <w:p w14:paraId="7B9F35E0" w14:textId="77777777" w:rsidR="00411498" w:rsidRPr="00524435" w:rsidRDefault="00411498" w:rsidP="003C1F15">
      <w:pPr>
        <w:pStyle w:val="ListParagraph"/>
        <w:numPr>
          <w:ilvl w:val="0"/>
          <w:numId w:val="0"/>
        </w:numPr>
        <w:ind w:left="720"/>
        <w:rPr>
          <w:b/>
          <w:bCs/>
        </w:rPr>
      </w:pPr>
      <w:r w:rsidRPr="00524435">
        <w:rPr>
          <w:b/>
        </w:rPr>
        <w:t>Methodology</w:t>
      </w:r>
    </w:p>
    <w:p w14:paraId="25E2D98C" w14:textId="3D335B94" w:rsidR="00411498" w:rsidRPr="00524435" w:rsidRDefault="00411498" w:rsidP="00411498">
      <w:pPr>
        <w:pStyle w:val="ListParagraph"/>
        <w:rPr>
          <w:iCs/>
        </w:rPr>
      </w:pPr>
      <w:r w:rsidRPr="00524435">
        <w:t xml:space="preserve">The Commission has prioritized the attention of </w:t>
      </w:r>
      <w:r w:rsidRPr="00524435">
        <w:rPr>
          <w:u w:val="single"/>
        </w:rPr>
        <w:t>petitions and cases in chronological order</w:t>
      </w:r>
      <w:r w:rsidRPr="00524435">
        <w:t xml:space="preserve">, that is, in the order in which the petitions were submitted to the Commission, </w:t>
      </w:r>
      <w:proofErr w:type="gramStart"/>
      <w:r w:rsidRPr="00524435">
        <w:t>in order to</w:t>
      </w:r>
      <w:proofErr w:type="gramEnd"/>
      <w:r w:rsidRPr="00524435">
        <w:t xml:space="preserve"> resolve the chronic backlog, especially of cases that had been delayed due to their volume and complexity. This has been the strict criterion applied to the examination of petitions, and, as a matter of priority, in the admissibility and merits stages, with a view to tackling one year after the other and eventually resolving all petitions and cases pending. Thus, during 2021, priority was attached to all cases prior to 2002, so as not to have a backlog of more than 19 years at the merits stage; and to 2014 in admissibility, so as not to have a backlog of more than 7 years at this stage. During 2022, the Commission expects to resolve all pre-2015 </w:t>
      </w:r>
      <w:proofErr w:type="spellStart"/>
      <w:r w:rsidRPr="00524435">
        <w:t>admissibilities</w:t>
      </w:r>
      <w:proofErr w:type="spellEnd"/>
      <w:r w:rsidRPr="00524435">
        <w:t xml:space="preserve"> and pre-2003 cases. This approach has ensured that everyone who resorts to the system receives a response. </w:t>
      </w:r>
    </w:p>
    <w:p w14:paraId="764D1FD1" w14:textId="35FDDB20" w:rsidR="00F96262" w:rsidRPr="00524435" w:rsidRDefault="00F96262" w:rsidP="00EB15F6">
      <w:pPr>
        <w:pStyle w:val="ListParagraph"/>
        <w:rPr>
          <w:iCs/>
        </w:rPr>
      </w:pPr>
      <w:r w:rsidRPr="00524435">
        <w:t xml:space="preserve">In the same vein, priority was attached to reaching a decision on the course of action to be taken in long-standing friendly settlement processes, </w:t>
      </w:r>
      <w:proofErr w:type="gramStart"/>
      <w:r w:rsidRPr="00524435">
        <w:t>so as to</w:t>
      </w:r>
      <w:proofErr w:type="gramEnd"/>
      <w:r w:rsidRPr="00524435">
        <w:t xml:space="preserve"> expedite a ruling in judicial proceedings. In this regard, cases such as Ramon Nicolás Guarino of Argentina; Cristiane </w:t>
      </w:r>
      <w:proofErr w:type="spellStart"/>
      <w:r w:rsidRPr="00524435">
        <w:t>Leite</w:t>
      </w:r>
      <w:proofErr w:type="spellEnd"/>
      <w:r w:rsidRPr="00524435">
        <w:t xml:space="preserve"> de Souza of Brazil; Teachers from </w:t>
      </w:r>
      <w:proofErr w:type="spellStart"/>
      <w:r w:rsidRPr="00524435">
        <w:t>Chañaral</w:t>
      </w:r>
      <w:proofErr w:type="spellEnd"/>
      <w:r w:rsidRPr="00524435">
        <w:t xml:space="preserve"> in Chile; Anibal Leonel </w:t>
      </w:r>
      <w:proofErr w:type="spellStart"/>
      <w:r w:rsidRPr="00524435">
        <w:t>Cabaleros</w:t>
      </w:r>
      <w:proofErr w:type="spellEnd"/>
      <w:r w:rsidRPr="00524435">
        <w:t xml:space="preserve"> of Guatemala; </w:t>
      </w:r>
      <w:proofErr w:type="spellStart"/>
      <w:r w:rsidRPr="00524435">
        <w:t>Norka</w:t>
      </w:r>
      <w:proofErr w:type="spellEnd"/>
      <w:r w:rsidRPr="00524435">
        <w:t xml:space="preserve"> Moya of Peru; Lucio </w:t>
      </w:r>
      <w:proofErr w:type="spellStart"/>
      <w:r w:rsidRPr="00524435">
        <w:t>Ortuño</w:t>
      </w:r>
      <w:proofErr w:type="spellEnd"/>
      <w:r w:rsidRPr="00524435">
        <w:t xml:space="preserve"> Rivas of Bolivia; </w:t>
      </w:r>
      <w:r w:rsidRPr="00524435">
        <w:lastRenderedPageBreak/>
        <w:t xml:space="preserve">A.N. and Aurora of Costa Rica; and Dylan Córdoba and Vicente Ariel </w:t>
      </w:r>
      <w:proofErr w:type="spellStart"/>
      <w:r w:rsidRPr="00524435">
        <w:t>Noguera</w:t>
      </w:r>
      <w:proofErr w:type="spellEnd"/>
      <w:r w:rsidRPr="00524435">
        <w:t xml:space="preserve"> of Paraguay, are some examples of how strategic and coordinated work to address the procedural backlog, both via litigation and in the friendly settlement procedure,  in chronological order, has made it possible to advance towards decisions on admissibility, merits, or referral of cases to the Inter-American Court of Human Rights, thereby contributing to victims' access to comprehensive reparation and inter-American justice in a timely manner. </w:t>
      </w:r>
    </w:p>
    <w:p w14:paraId="0AC09D6A" w14:textId="28C1417A" w:rsidR="00411498" w:rsidRPr="00524435" w:rsidRDefault="00411498" w:rsidP="00411498">
      <w:pPr>
        <w:pStyle w:val="ListParagraph"/>
        <w:rPr>
          <w:u w:val="single"/>
        </w:rPr>
      </w:pPr>
      <w:r w:rsidRPr="00524435">
        <w:t xml:space="preserve">In addition, based on the region’s needs, </w:t>
      </w:r>
      <w:r w:rsidRPr="00524435">
        <w:rPr>
          <w:u w:val="single"/>
        </w:rPr>
        <w:t>the Commission uses a series of criteria to prioritize its attention to cases and petitions</w:t>
      </w:r>
      <w:r w:rsidRPr="00524435">
        <w:t>:</w:t>
      </w:r>
      <w:r w:rsidRPr="00524435">
        <w:rPr>
          <w:u w:val="single"/>
        </w:rPr>
        <w:t xml:space="preserve"> </w:t>
      </w:r>
    </w:p>
    <w:p w14:paraId="1A639EE9" w14:textId="5C623A36" w:rsidR="00411498" w:rsidRPr="00524435" w:rsidRDefault="00411498" w:rsidP="00411498">
      <w:pPr>
        <w:pStyle w:val="ListParagraph"/>
      </w:pPr>
      <w:r w:rsidRPr="00524435">
        <w:t xml:space="preserve">In the </w:t>
      </w:r>
      <w:r w:rsidRPr="00524435">
        <w:rPr>
          <w:b/>
        </w:rPr>
        <w:t>first place,</w:t>
      </w:r>
      <w:r w:rsidRPr="00524435">
        <w:t xml:space="preserve"> </w:t>
      </w:r>
      <w:r w:rsidRPr="00524435">
        <w:rPr>
          <w:b/>
        </w:rPr>
        <w:t>petitions and cases that deal with current/short-term issues</w:t>
      </w:r>
      <w:r w:rsidRPr="00524435">
        <w:t xml:space="preserve">, or whose standards could help to address such situations. These petitions and cases are identified within the framework of the Rapid and Integrated Response Coordination </w:t>
      </w:r>
      <w:r w:rsidR="008D45E3" w:rsidRPr="00524435">
        <w:t>Units (</w:t>
      </w:r>
      <w:r w:rsidRPr="00524435">
        <w:t>SACROI). For example, in 2021, the COVID-19 SACROI identified issues that led the IACHR to prioritize health-related cases, and migration and violence against girls and women. Also prioritized in this category are petitions and cases in follow-up mechanisms, such as the Follow-up Mechanism for Nicaragua (ESENI) and the Follow-up Mechanism for Venezuela (MESEVE).</w:t>
      </w:r>
    </w:p>
    <w:p w14:paraId="7AD41B58" w14:textId="415D2D85" w:rsidR="00411498" w:rsidRPr="00524435" w:rsidRDefault="00411498" w:rsidP="00411498">
      <w:pPr>
        <w:pStyle w:val="ListParagraph"/>
      </w:pPr>
      <w:r w:rsidRPr="00524435">
        <w:rPr>
          <w:b/>
        </w:rPr>
        <w:t>Second</w:t>
      </w:r>
      <w:r w:rsidRPr="00524435">
        <w:t xml:space="preserve">, priority has been given to </w:t>
      </w:r>
      <w:r w:rsidRPr="00524435">
        <w:rPr>
          <w:b/>
        </w:rPr>
        <w:t>petitions and cases involving urgent issues</w:t>
      </w:r>
      <w:r w:rsidRPr="00524435">
        <w:t xml:space="preserve">, such as those related to the application of the death penalty, those associated with a precautionary measure, or those involving children and adolescents or the elderly, in which resolution can help to address a situation that, due to the age of the victims, is exacerbated by the passage of time. </w:t>
      </w:r>
    </w:p>
    <w:p w14:paraId="362A02D8" w14:textId="77777777" w:rsidR="00411498" w:rsidRPr="00524435" w:rsidRDefault="00411498" w:rsidP="00411498">
      <w:pPr>
        <w:pStyle w:val="ListParagraph"/>
      </w:pPr>
      <w:r w:rsidRPr="00524435">
        <w:rPr>
          <w:b/>
        </w:rPr>
        <w:t xml:space="preserve">Third, priority is given to petitions and cases that deal with structural issues of the States </w:t>
      </w:r>
      <w:r w:rsidRPr="00524435">
        <w:t xml:space="preserve">in the region, which make it possible to support national and international processes. Accordingly, priority has been given, inter alia, to issues of transitional justice, access to justice, review of judicial remedies, attacks against human rights defenders or social leaders. </w:t>
      </w:r>
    </w:p>
    <w:p w14:paraId="04BBE653" w14:textId="77777777" w:rsidR="00411498" w:rsidRPr="00524435" w:rsidRDefault="00411498" w:rsidP="00411498">
      <w:pPr>
        <w:pStyle w:val="ListParagraph"/>
      </w:pPr>
      <w:r w:rsidRPr="00524435">
        <w:rPr>
          <w:b/>
        </w:rPr>
        <w:t>Finally, priority is attached to petitions and cases that develop standards related to the</w:t>
      </w:r>
      <w:r w:rsidRPr="00524435">
        <w:t xml:space="preserve"> Commission's core concerns, reflected in its thematic </w:t>
      </w:r>
      <w:proofErr w:type="spellStart"/>
      <w:r w:rsidRPr="00524435">
        <w:t>Rapporteurships</w:t>
      </w:r>
      <w:proofErr w:type="spellEnd"/>
      <w:r w:rsidRPr="00524435">
        <w:t xml:space="preserve">; thus, in 2020, the Commission worked on reports of racial discrimination and cases involving the rights of Amazonian peoples, violence against women and girls, international restitution of children, discrimination against migrants, discrimination against LGBTI persons, freedom of expression, economic, social, cultural and environmental rights, and others.  In this way, the Commission applied different criteria to resolve the chronic procedural backlog, which it considers unacceptable, and at the same time, contribute to the resolution of both short-term and structurally embedded situations and the need to advance the development of standards.  </w:t>
      </w:r>
    </w:p>
    <w:p w14:paraId="4D6A2A33" w14:textId="71A5CD74" w:rsidR="001100AF" w:rsidRPr="00524435" w:rsidRDefault="001100AF" w:rsidP="001100AF">
      <w:pPr>
        <w:pStyle w:val="ListParagraph"/>
      </w:pPr>
      <w:r w:rsidRPr="00524435">
        <w:rPr>
          <w:color w:val="333333"/>
        </w:rPr>
        <w:t>In addition, the Commission has adopted the practice of grouping cases by subject matter, which allows for more efficient work. Prior to 2019, administrative due process was observed, and for the past year the IACHR has approved work on series of cases prioritized according to the gravity of the human rights violations involved</w:t>
      </w:r>
      <w:r w:rsidR="003F238D">
        <w:rPr>
          <w:color w:val="333333"/>
        </w:rPr>
        <w:t>.</w:t>
      </w:r>
      <w:r w:rsidRPr="00524435">
        <w:rPr>
          <w:color w:val="333333"/>
        </w:rPr>
        <w:t xml:space="preserve"> In this way, the Commission applied different criteria to resolve the chronic procedural backlog, which it considers unacceptable, and at the same time, contribute to the resolution of both short-term and structurally embedded situations and the need to advance the development of standards. [</w:t>
      </w:r>
      <w:r w:rsidRPr="00524435">
        <w:rPr>
          <w:b/>
          <w:bCs/>
          <w:color w:val="333333"/>
        </w:rPr>
        <w:t>TR: repetition</w:t>
      </w:r>
      <w:r w:rsidRPr="00524435">
        <w:rPr>
          <w:color w:val="333333"/>
        </w:rPr>
        <w:t xml:space="preserve">]. </w:t>
      </w:r>
    </w:p>
    <w:p w14:paraId="0B4586FB" w14:textId="77777777" w:rsidR="00D009B8" w:rsidRPr="00524435" w:rsidRDefault="001100AF" w:rsidP="00D009B8">
      <w:pPr>
        <w:pStyle w:val="ListParagraph"/>
      </w:pPr>
      <w:r w:rsidRPr="00524435">
        <w:rPr>
          <w:color w:val="333333"/>
        </w:rPr>
        <w:t xml:space="preserve">The Commission continues to develop criteria that will enable it to address urgent, </w:t>
      </w:r>
      <w:proofErr w:type="gramStart"/>
      <w:r w:rsidRPr="00524435">
        <w:rPr>
          <w:color w:val="333333"/>
        </w:rPr>
        <w:t>short-term</w:t>
      </w:r>
      <w:proofErr w:type="gramEnd"/>
      <w:r w:rsidRPr="00524435">
        <w:rPr>
          <w:color w:val="333333"/>
        </w:rPr>
        <w:t xml:space="preserve"> and structural situations.</w:t>
      </w:r>
    </w:p>
    <w:p w14:paraId="7C386154" w14:textId="29911841" w:rsidR="001100AF" w:rsidRPr="00524435" w:rsidRDefault="00D009B8" w:rsidP="0021463F">
      <w:pPr>
        <w:pStyle w:val="ListParagraph"/>
      </w:pPr>
      <w:r w:rsidRPr="00524435">
        <w:rPr>
          <w:color w:val="333333"/>
        </w:rPr>
        <w:t xml:space="preserve">As part of the strategy, the processing section and its work have been strengthened and structured through the organization and systematization of case files; the creation of working groups, with a team of paralegals to do the processing; simplification of admissibility procedures (in accordance with Article 30 of the Rules of Procedure); prioritization of the processing of cases and petitions that are being worked on, especially cases forming part of the chronic backlog; annual exercises to identify inactivity of the petitioning party and notifications of accumulation in accordance with Resolution 1-16. </w:t>
      </w:r>
    </w:p>
    <w:p w14:paraId="4E840564" w14:textId="45B2F9F0" w:rsidR="00AD7FB7" w:rsidRPr="00524435" w:rsidRDefault="001100AF" w:rsidP="00622342">
      <w:pPr>
        <w:shd w:val="clear" w:color="auto" w:fill="FFFFFF"/>
        <w:spacing w:after="240" w:line="240" w:lineRule="auto"/>
        <w:ind w:right="144" w:firstLine="720"/>
        <w:jc w:val="both"/>
        <w:rPr>
          <w:rStyle w:val="eop"/>
          <w:rFonts w:ascii="Cambria" w:hAnsi="Cambria"/>
        </w:rPr>
      </w:pPr>
      <w:r w:rsidRPr="00524435">
        <w:rPr>
          <w:rFonts w:ascii="Cambria" w:hAnsi="Cambria"/>
          <w:b/>
          <w:color w:val="333333"/>
          <w:sz w:val="20"/>
        </w:rPr>
        <w:lastRenderedPageBreak/>
        <w:t xml:space="preserve">Coordination and strengthening of work with the States - transparency </w:t>
      </w:r>
      <w:r w:rsidRPr="00524435">
        <w:rPr>
          <w:rStyle w:val="eop"/>
          <w:rFonts w:ascii="Cambria" w:hAnsi="Cambria"/>
        </w:rPr>
        <w:t> </w:t>
      </w:r>
    </w:p>
    <w:p w14:paraId="6F04E603" w14:textId="430A7C1D" w:rsidR="00AD7FB7" w:rsidRPr="00524435" w:rsidRDefault="00AD7FB7" w:rsidP="008C6349">
      <w:pPr>
        <w:pStyle w:val="ListParagraph"/>
      </w:pPr>
      <w:r w:rsidRPr="00524435">
        <w:rPr>
          <w:rStyle w:val="normaltextrun1"/>
        </w:rPr>
        <w:t xml:space="preserve">First, as part of its commitment to meeting the objectives outlined in its Strategic Plan 2017-2021, especially those referred to in SO1/P4: Transparency and Access to Information Program, in order to guarantee access to information related to the fulfillment of its mandate and to foster a culture of active transparency with respect to all information under its control, including information on petitions and cases in litigation, in 2021 the Commission provided information ex officio on the status of the portfolios of petitions and cases pending before the IACHR with respect to 14 member states with </w:t>
      </w:r>
      <w:r w:rsidR="00F756FC" w:rsidRPr="00524435">
        <w:rPr>
          <w:rStyle w:val="normaltextrun1"/>
        </w:rPr>
        <w:t>complex</w:t>
      </w:r>
      <w:r w:rsidRPr="00524435">
        <w:rPr>
          <w:rStyle w:val="normaltextrun1"/>
        </w:rPr>
        <w:t xml:space="preserve"> portfolios or in which there had been little interaction or compliance with regulatory requirements formulated by the Inter-American Commission. In so doing, the Commission’s intention had been to encourage the timely participation of the parties in the process and to diligently take the procedural actions envisaged in the American Convention on Human Rights, its Regulations and Statute, and other relevant instruments and practices.</w:t>
      </w:r>
      <w:r w:rsidRPr="00524435">
        <w:rPr>
          <w:rStyle w:val="eop"/>
        </w:rPr>
        <w:t> </w:t>
      </w:r>
    </w:p>
    <w:p w14:paraId="29F905A4" w14:textId="5184672D" w:rsidR="00AD7FB7" w:rsidRPr="00524435" w:rsidRDefault="00AD7FB7" w:rsidP="008C6349">
      <w:pPr>
        <w:pStyle w:val="ListParagraph"/>
      </w:pPr>
      <w:r w:rsidRPr="00524435">
        <w:rPr>
          <w:rStyle w:val="normaltextrun1"/>
          <w:sz w:val="22"/>
        </w:rPr>
        <w:t>In addition, 10 requests filed by States for information on the status of their petitions and cases portfolio were answered in a timely manner, and 13 virtual and hybrid (virtual-face-to-face) meetings were held to review those portfolios. </w:t>
      </w:r>
      <w:r w:rsidRPr="00524435">
        <w:rPr>
          <w:rStyle w:val="eop"/>
          <w:sz w:val="22"/>
        </w:rPr>
        <w:t> </w:t>
      </w:r>
    </w:p>
    <w:p w14:paraId="6EC0A588" w14:textId="450AA0FF" w:rsidR="00AD7FB7" w:rsidRPr="00524435" w:rsidRDefault="00AD7FB7" w:rsidP="008C6349">
      <w:pPr>
        <w:pStyle w:val="ListParagraph"/>
      </w:pPr>
      <w:r w:rsidRPr="00524435">
        <w:rPr>
          <w:rStyle w:val="normaltextrun1"/>
          <w:sz w:val="22"/>
        </w:rPr>
        <w:t>A total of 37 inputs on the status of the portfolios of petitions at the admissibility stage and cases on the merits, in litigation and/or friendly settlement proceedings, were provided to the States of Argentina, Bahamas, Barbados, Belize, Bolivia, Chile, Colombia, Costa Rica, Cuba, Dominican Republic, Ecuador, El Salvador, Guatemala, Guyana, Haiti, Honduras, Jamaica, Mexico, Nicaragua, Panama, Paraguay, Peru, Trinidad &amp; Tobago, Suriname, Trinidad &amp; Tobago, and the United States. That surpassed the 18 such interactions recorded for 2019 and 2020, respectively. </w:t>
      </w:r>
      <w:r w:rsidRPr="00524435">
        <w:rPr>
          <w:rStyle w:val="eop"/>
          <w:sz w:val="22"/>
        </w:rPr>
        <w:t> </w:t>
      </w:r>
    </w:p>
    <w:p w14:paraId="3DACC572" w14:textId="77777777" w:rsidR="00FB1730" w:rsidRPr="00524435" w:rsidRDefault="003D7B27" w:rsidP="008C6349">
      <w:pPr>
        <w:pStyle w:val="ListParagraph"/>
      </w:pPr>
      <w:r w:rsidRPr="00524435">
        <w:t xml:space="preserve">The IACHR has strengthened its counselling on standards - especially in friendly settlements and cases in transition, </w:t>
      </w:r>
      <w:proofErr w:type="gramStart"/>
      <w:r w:rsidRPr="00524435">
        <w:t>in order to</w:t>
      </w:r>
      <w:proofErr w:type="gramEnd"/>
      <w:r w:rsidRPr="00524435">
        <w:t xml:space="preserve"> support the construction of concrete paths to compliance.</w:t>
      </w:r>
    </w:p>
    <w:p w14:paraId="281F6FFF" w14:textId="0601470A" w:rsidR="00FB1730" w:rsidRPr="00524435" w:rsidRDefault="00FB1730" w:rsidP="008C6349">
      <w:pPr>
        <w:pStyle w:val="ListParagraph"/>
        <w:rPr>
          <w:rStyle w:val="Nenhum"/>
        </w:rPr>
      </w:pPr>
      <w:r w:rsidRPr="00524435">
        <w:rPr>
          <w:color w:val="000000"/>
        </w:rPr>
        <w:t xml:space="preserve">As part of its efforts to promote the negotiation and implementation of friendly settlement agreements, </w:t>
      </w:r>
      <w:proofErr w:type="gramStart"/>
      <w:r w:rsidRPr="00524435">
        <w:t>i</w:t>
      </w:r>
      <w:r w:rsidRPr="00524435">
        <w:rPr>
          <w:rStyle w:val="Nenhum"/>
        </w:rPr>
        <w:t>n the course of</w:t>
      </w:r>
      <w:proofErr w:type="gramEnd"/>
      <w:r w:rsidRPr="00524435">
        <w:rPr>
          <w:rStyle w:val="Nenhum"/>
        </w:rPr>
        <w:t xml:space="preserve"> the year, the IACHR closed 34 cases under the friendly settlement mechanism through 15 approvals, 16 closures of negotiations at the request of the parties, 1 archiving in a case at the negotiation phase and 2 </w:t>
      </w:r>
      <w:proofErr w:type="spellStart"/>
      <w:r w:rsidRPr="00524435">
        <w:rPr>
          <w:rStyle w:val="Nenhum"/>
        </w:rPr>
        <w:t>archivings</w:t>
      </w:r>
      <w:proofErr w:type="spellEnd"/>
      <w:r w:rsidRPr="00524435">
        <w:rPr>
          <w:rStyle w:val="Nenhum"/>
        </w:rPr>
        <w:t xml:space="preserve"> in the follow-up phase due to inactivity or at the request of the petitioning party. </w:t>
      </w:r>
      <w:r w:rsidRPr="00524435">
        <w:t>In addition, the Commission provided technical advice to the parties in 2 matters, briefing them on standards related to the rights of persons with disabilities and compliance with measures related to acts of redress</w:t>
      </w:r>
      <w:r w:rsidRPr="00524435">
        <w:rPr>
          <w:rStyle w:val="FootnoteReference"/>
          <w:rFonts w:cs="Calibri Light"/>
        </w:rPr>
        <w:footnoteReference w:id="2"/>
      </w:r>
      <w:r w:rsidRPr="00524435">
        <w:t xml:space="preserve">. </w:t>
      </w:r>
      <w:r w:rsidRPr="00524435">
        <w:rPr>
          <w:rStyle w:val="Nenhum"/>
        </w:rPr>
        <w:t xml:space="preserve">Finally, the Commission approved an arbitration award for the enforcement of financial compensation in a matter involving Argentina. </w:t>
      </w:r>
    </w:p>
    <w:p w14:paraId="140F7AA3" w14:textId="28E2FF81" w:rsidR="00FB1730" w:rsidRPr="00524435" w:rsidRDefault="00FB1730" w:rsidP="00FB1730">
      <w:pPr>
        <w:pStyle w:val="ListParagraph"/>
        <w:rPr>
          <w:rFonts w:cs="Calibri Light"/>
        </w:rPr>
      </w:pPr>
      <w:r w:rsidRPr="00524435">
        <w:t xml:space="preserve">During 2021, the Commission supported negotiation processes in amicable settlement agreements by facilitating 36 working meetings and 57 technical meetings to promote and/or prepare for mediation, </w:t>
      </w:r>
      <w:proofErr w:type="gramStart"/>
      <w:r w:rsidRPr="00524435">
        <w:t>opening up</w:t>
      </w:r>
      <w:proofErr w:type="gramEnd"/>
      <w:r w:rsidRPr="00524435">
        <w:t xml:space="preserve"> a total of 93 opportunities for dialogue in 2021 in a number of friendly settlement negotiation and follow-</w:t>
      </w:r>
      <w:r w:rsidR="008D45E3" w:rsidRPr="00524435">
        <w:t>up processes</w:t>
      </w:r>
      <w:r w:rsidRPr="00524435">
        <w:t>, bringing the mechanism closer to more users in the region and achieving the strategic objective of expanding the friendly settlement mechanism. Likewise, in 2021, 15 meetings were held to periodically review the negotiation and follow-up of friendly settlement portfolios with Argentina (1); Bolivia (1); Chile (1); Colombia (2); Costa Rica (1); the Dominican Republic (1); Ecuador (2); Guatemala (1); Mexico (3); Panama (1); and Peru (1</w:t>
      </w:r>
      <w:r w:rsidR="008D45E3" w:rsidRPr="00524435">
        <w:t>).</w:t>
      </w:r>
    </w:p>
    <w:p w14:paraId="30EF9BB2" w14:textId="003AE33A" w:rsidR="00FB1730" w:rsidRPr="00524435" w:rsidRDefault="00FB1730" w:rsidP="00FB1730">
      <w:pPr>
        <w:pStyle w:val="ListParagraph"/>
        <w:rPr>
          <w:rFonts w:cs="Calibri Light"/>
        </w:rPr>
      </w:pPr>
      <w:r w:rsidRPr="00524435">
        <w:t xml:space="preserve">As a result of the IACHR's facilitation and promotion efforts, </w:t>
      </w:r>
      <w:r w:rsidR="002B26A4" w:rsidRPr="00524435">
        <w:t xml:space="preserve">21 </w:t>
      </w:r>
      <w:r w:rsidRPr="00524435">
        <w:t xml:space="preserve">new friendly settlement agreements were signed in 2021 and, as regards compliance, implementation, and impact, 12 friendly settlement agreements were fully complied with and 12 were partially complied with. In addition, progress was made in the implementation of 132 measures, achieving total compliance with 94 reparation measures; </w:t>
      </w:r>
      <w:r w:rsidRPr="00524435">
        <w:lastRenderedPageBreak/>
        <w:t xml:space="preserve">substantial partial compliance with 12 reparation measures; and partial compliance with 26 reparation measures. Of the 132 measures in which progress was recorded in 2021, 42 are of a structural nature and 90 are of an individual nature. </w:t>
      </w:r>
    </w:p>
    <w:p w14:paraId="48497D13" w14:textId="77338824" w:rsidR="00FB1730" w:rsidRPr="00524435" w:rsidRDefault="00FB1730" w:rsidP="00FB1730">
      <w:pPr>
        <w:pStyle w:val="ListParagraph"/>
      </w:pPr>
      <w:r w:rsidRPr="00524435">
        <w:t xml:space="preserve">At the same time, </w:t>
      </w:r>
      <w:proofErr w:type="gramStart"/>
      <w:r w:rsidRPr="00524435">
        <w:t>with regard to</w:t>
      </w:r>
      <w:proofErr w:type="gramEnd"/>
      <w:r w:rsidRPr="00524435">
        <w:t xml:space="preserve"> activities to promote the friendly settlement mechanism, six training sessions were held on the procedure and emblematic cases, with mediation and alternative dispute resolution components for both States and civil society. In addition, 2</w:t>
      </w:r>
      <w:r w:rsidR="002B26A4" w:rsidRPr="00524435">
        <w:t>5</w:t>
      </w:r>
      <w:r w:rsidRPr="00524435">
        <w:t xml:space="preserve"> press releases were published on advances in friendly settlements in the region and two news reports were published on the IACHR Channel on background to emblematic cases involving friendly settlements</w:t>
      </w:r>
      <w:r w:rsidRPr="00524435">
        <w:rPr>
          <w:rStyle w:val="FootnoteReference"/>
          <w:rFonts w:cs="Calibri Light"/>
        </w:rPr>
        <w:footnoteReference w:id="3"/>
      </w:r>
      <w:r w:rsidRPr="00524435">
        <w:t xml:space="preserve">, namely, Cases </w:t>
      </w:r>
      <w:r w:rsidRPr="00524435">
        <w:rPr>
          <w:i/>
        </w:rPr>
        <w:t>13.011, Graciela Ramos Rocha of Argentina</w:t>
      </w:r>
      <w:r w:rsidRPr="00524435">
        <w:rPr>
          <w:rStyle w:val="FootnoteReference"/>
          <w:rFonts w:cs="Calibri Light"/>
        </w:rPr>
        <w:footnoteReference w:id="4"/>
      </w:r>
      <w:r w:rsidRPr="00524435">
        <w:t xml:space="preserve">; 12.191, </w:t>
      </w:r>
      <w:r w:rsidRPr="00524435">
        <w:rPr>
          <w:i/>
        </w:rPr>
        <w:t xml:space="preserve">Maria </w:t>
      </w:r>
      <w:proofErr w:type="spellStart"/>
      <w:r w:rsidRPr="00524435">
        <w:rPr>
          <w:i/>
        </w:rPr>
        <w:t>Mamérita</w:t>
      </w:r>
      <w:proofErr w:type="spellEnd"/>
      <w:r w:rsidRPr="00524435">
        <w:rPr>
          <w:i/>
        </w:rPr>
        <w:t xml:space="preserve"> </w:t>
      </w:r>
      <w:proofErr w:type="spellStart"/>
      <w:r w:rsidRPr="00524435">
        <w:rPr>
          <w:i/>
        </w:rPr>
        <w:t>Mestanza</w:t>
      </w:r>
      <w:proofErr w:type="spellEnd"/>
      <w:r w:rsidRPr="00524435">
        <w:rPr>
          <w:i/>
        </w:rPr>
        <w:t xml:space="preserve"> of Peru</w:t>
      </w:r>
      <w:r w:rsidRPr="00524435">
        <w:rPr>
          <w:rStyle w:val="FootnoteReference"/>
          <w:rFonts w:cs="Calibri Light"/>
        </w:rPr>
        <w:footnoteReference w:id="5"/>
      </w:r>
      <w:r w:rsidRPr="00524435">
        <w:t xml:space="preserve">; and </w:t>
      </w:r>
      <w:r w:rsidRPr="00524435">
        <w:rPr>
          <w:i/>
        </w:rPr>
        <w:t>Emilia Morales Campos of Costa Rica</w:t>
      </w:r>
      <w:r w:rsidRPr="00524435">
        <w:rPr>
          <w:rStyle w:val="FootnoteReference"/>
          <w:rFonts w:cs="Calibri Light"/>
          <w:i/>
          <w:iCs/>
        </w:rPr>
        <w:footnoteReference w:id="6"/>
      </w:r>
      <w:r w:rsidRPr="00524435">
        <w:t xml:space="preserve">, with a view to drawing attention to the impacts of the friendly settlement mechanism, as described by the victims themselves and their representatives, with contributions also from States regarding their experience of those reparation processes. </w:t>
      </w:r>
    </w:p>
    <w:p w14:paraId="7C12DACA" w14:textId="4F4EDBA9" w:rsidR="001100AF" w:rsidRPr="00524435" w:rsidRDefault="00FB1730" w:rsidP="00FB1730">
      <w:pPr>
        <w:pStyle w:val="ListParagraph"/>
      </w:pPr>
      <w:r w:rsidRPr="00524435">
        <w:t>Finally, it should be noted that the Commission participated in 9 acts of signature and/or acknowledgement of responsibility in compliance with different friendly settlement agreements of Argentina</w:t>
      </w:r>
      <w:r w:rsidRPr="00524435">
        <w:rPr>
          <w:rStyle w:val="FootnoteReference"/>
          <w:rFonts w:cs="Calibri Light"/>
        </w:rPr>
        <w:footnoteReference w:id="7"/>
      </w:r>
      <w:r w:rsidRPr="00524435">
        <w:t>, Chile</w:t>
      </w:r>
      <w:r w:rsidRPr="00524435">
        <w:rPr>
          <w:rStyle w:val="FootnoteReference"/>
          <w:rFonts w:cs="Calibri Light"/>
        </w:rPr>
        <w:footnoteReference w:id="8"/>
      </w:r>
      <w:r w:rsidRPr="00524435">
        <w:t xml:space="preserve"> and Colombia</w:t>
      </w:r>
      <w:r w:rsidRPr="00524435">
        <w:rPr>
          <w:rStyle w:val="FootnoteReference"/>
          <w:rFonts w:cs="Calibri Light"/>
        </w:rPr>
        <w:footnoteReference w:id="9"/>
      </w:r>
      <w:r w:rsidRPr="00524435">
        <w:t xml:space="preserve">. In this regard, the Commission appreciates and welcomes the willingness of these States to implement these important measures of redress virtually, as well as their dissemination in the various media and networks.  </w:t>
      </w:r>
    </w:p>
    <w:p w14:paraId="7A606A65" w14:textId="77777777" w:rsidR="001100AF" w:rsidRPr="00524435" w:rsidRDefault="001100AF" w:rsidP="00622342">
      <w:pPr>
        <w:shd w:val="clear" w:color="auto" w:fill="FFFFFF"/>
        <w:spacing w:after="240" w:line="240" w:lineRule="auto"/>
        <w:ind w:firstLine="720"/>
        <w:jc w:val="both"/>
        <w:rPr>
          <w:rFonts w:ascii="Cambria" w:eastAsia="Times New Roman" w:hAnsi="Cambria" w:cstheme="minorHAnsi"/>
          <w:b/>
          <w:bCs/>
          <w:color w:val="333333"/>
          <w:sz w:val="20"/>
          <w:szCs w:val="20"/>
        </w:rPr>
      </w:pPr>
      <w:r w:rsidRPr="00524435">
        <w:rPr>
          <w:rFonts w:ascii="Cambria" w:hAnsi="Cambria"/>
          <w:b/>
          <w:bCs/>
          <w:color w:val="333333"/>
          <w:sz w:val="20"/>
        </w:rPr>
        <w:t>Coordination and strengthening of work with the Inter-American Court</w:t>
      </w:r>
    </w:p>
    <w:p w14:paraId="58A52850" w14:textId="767485F4" w:rsidR="00BE4992" w:rsidRPr="00524435" w:rsidRDefault="001100AF" w:rsidP="00CA2177">
      <w:pPr>
        <w:pStyle w:val="ListParagraph"/>
      </w:pPr>
      <w:r w:rsidRPr="00524435">
        <w:t xml:space="preserve">Periodic meetings between Secretariats to discuss various issues, including possible measures to address the procedural backlog. </w:t>
      </w:r>
      <w:r w:rsidRPr="00524435">
        <w:rPr>
          <w:rStyle w:val="eop"/>
          <w:sz w:val="22"/>
        </w:rPr>
        <w:t> </w:t>
      </w:r>
    </w:p>
    <w:p w14:paraId="77748F8F" w14:textId="77777777" w:rsidR="00025891" w:rsidRPr="00524435" w:rsidRDefault="00025891" w:rsidP="008C6349">
      <w:pPr>
        <w:pStyle w:val="Heading1"/>
      </w:pPr>
      <w:r w:rsidRPr="00524435">
        <w:t>Petitions and cases</w:t>
      </w:r>
    </w:p>
    <w:p w14:paraId="1A7618B6" w14:textId="623BE0F6" w:rsidR="00025891" w:rsidRPr="00524435" w:rsidRDefault="00025891" w:rsidP="0080453B">
      <w:pPr>
        <w:pStyle w:val="ListParagraph"/>
      </w:pPr>
      <w:r w:rsidRPr="00524435">
        <w:t xml:space="preserve">The following is a description of the results obtained during 2021 from implementation of the </w:t>
      </w:r>
      <w:proofErr w:type="gramStart"/>
      <w:r w:rsidRPr="00524435">
        <w:t>aforementioned program</w:t>
      </w:r>
      <w:proofErr w:type="gramEnd"/>
      <w:r w:rsidRPr="00524435">
        <w:t xml:space="preserve">, which represent historic advances in the Commission's work in the petitions and </w:t>
      </w:r>
      <w:r w:rsidRPr="00524435">
        <w:lastRenderedPageBreak/>
        <w:t xml:space="preserve">cases system. Upon finalizing its 2017-2021 Strategic Plan, the Commission reports the methodology used and its results. </w:t>
      </w:r>
    </w:p>
    <w:p w14:paraId="3F9EB437" w14:textId="4C586EB0" w:rsidR="00025891" w:rsidRPr="00524435" w:rsidRDefault="00025891" w:rsidP="004F6572">
      <w:pPr>
        <w:pStyle w:val="ListParagraph"/>
      </w:pPr>
      <w:r w:rsidRPr="00524435">
        <w:t>In the first stage of implementation of the Strategic Plan, the following measures were adopted to address the procedural backlog: 1. An Assistant Executive Secretariat exclusively devoted to petitions, cases, and friendly settlements;2. significant reinforcement of staff; 3. strengthening the job stability of existing staff; 4. creation of the Precautionary Measures Section; 5. creation of the Processing Section; and, 6. the creation of a working group to oversee the process of overcoming the procedural backlog made up of three Commissioners and the Executive Secretary of the IACHR.</w:t>
      </w:r>
    </w:p>
    <w:p w14:paraId="4674815D" w14:textId="5EBFD5E9" w:rsidR="00025891" w:rsidRPr="00524435" w:rsidRDefault="00025891" w:rsidP="004F6572">
      <w:pPr>
        <w:pStyle w:val="ListParagraph"/>
      </w:pPr>
      <w:r w:rsidRPr="00524435">
        <w:t xml:space="preserve"> In addition, in a second stage and mainly as of 2019, the following additional measures were consolidated: 1. Reassignment of the most experienced professionals to the petitions and cases system and in particular to its initial review, admissibility, and merits sections; 2. Establishment of a special team to act as a task force to overcome the procedural backlog at the initial review stage; 3. Implementation of an archiving policy in order to reduce the period of inactivity of the parties from 4 to 3 years for issuing an archiving warning and for archiving cases at the merits stage for failure to submit observations by the petitioners in application of Articles 42.1(a) and (b); 4. Extension of the archiving policy to the initial study stage following two years of inactivity; 5. Reduction of the number of requests for observations in the admissibility and merits stages; 6. Implementation of serial decisions on the same issue at the admissibility stage and at the merits stage, based on model reports on similar issues; 7. Maintenance of the measure involving the joining of cases when the same parties are involved, or facts or patterns are similar, while always respecting the parties’ right to defense and equal treatment; and 8. </w:t>
      </w:r>
      <w:r w:rsidR="001414BE" w:rsidRPr="00524435">
        <w:t xml:space="preserve">Attention to all those petitions with no activity on the part of the </w:t>
      </w:r>
      <w:r w:rsidR="00FC552D" w:rsidRPr="00524435">
        <w:t>petitioner</w:t>
      </w:r>
      <w:r w:rsidRPr="00524435">
        <w:t>.</w:t>
      </w:r>
    </w:p>
    <w:p w14:paraId="50AAEED4" w14:textId="5F063627" w:rsidR="00D22A14" w:rsidRPr="00524435" w:rsidRDefault="00CA2177" w:rsidP="004F6572">
      <w:pPr>
        <w:pStyle w:val="ListParagraph"/>
      </w:pPr>
      <w:r w:rsidRPr="00524435">
        <w:t>As a result of all these measures, the IACHR is now up to date with the initial study of petitions after having studied all the petitions</w:t>
      </w:r>
      <w:r w:rsidR="00D94679" w:rsidRPr="00524435">
        <w:t xml:space="preserve"> received annually</w:t>
      </w:r>
      <w:r w:rsidRPr="00524435">
        <w:t xml:space="preserve">, plus those that </w:t>
      </w:r>
      <w:r w:rsidR="00D94679" w:rsidRPr="00524435">
        <w:t xml:space="preserve">remained with no activity on the part of the petitioners </w:t>
      </w:r>
      <w:r w:rsidRPr="00524435">
        <w:t>over the years. Likewise, in 2016 the IACHR approved 45 admissibility reports. Last year it approved 290 and more than 320 in 2021. In 2016 the IACHR approved 16 reports on the merits. Last year it approved 62 and, as we went to press, the projection for 2021 was 70. The year in which the IACHR sent most cases to the Court was 2019 (32 cases). As we went to press, we had already sent 40 cases to the Court.</w:t>
      </w:r>
    </w:p>
    <w:p w14:paraId="7E93AF63" w14:textId="7CDE4130" w:rsidR="00D455C2" w:rsidRPr="00524435" w:rsidRDefault="00025891" w:rsidP="004F6572">
      <w:pPr>
        <w:pStyle w:val="ListParagraph"/>
      </w:pPr>
      <w:r w:rsidRPr="00524435">
        <w:t>All this has enabled the Commission to achieve unprecedented results and institutional strengthening of its petitions and cases system, as detailed below.</w:t>
      </w:r>
    </w:p>
    <w:p w14:paraId="7577BFD7" w14:textId="7C783077" w:rsidR="00D22A14" w:rsidRPr="00524435" w:rsidRDefault="00D22A14" w:rsidP="0009324C">
      <w:pPr>
        <w:pStyle w:val="ListParagraph"/>
        <w:numPr>
          <w:ilvl w:val="0"/>
          <w:numId w:val="10"/>
        </w:numPr>
        <w:rPr>
          <w:b/>
          <w:bCs/>
          <w:sz w:val="22"/>
          <w:szCs w:val="22"/>
        </w:rPr>
      </w:pPr>
      <w:r w:rsidRPr="00524435">
        <w:rPr>
          <w:b/>
          <w:bCs/>
          <w:sz w:val="22"/>
          <w:szCs w:val="22"/>
        </w:rPr>
        <w:t>Initial study section</w:t>
      </w:r>
    </w:p>
    <w:p w14:paraId="02BC6AAB" w14:textId="6F99DC6D" w:rsidR="00D455C2" w:rsidRPr="00524435" w:rsidRDefault="00D455C2" w:rsidP="004F6572">
      <w:pPr>
        <w:pStyle w:val="ListParagraph"/>
      </w:pPr>
      <w:r w:rsidRPr="00524435">
        <w:t>The Initial Study Section (ISS) as a paradigm shift: The ISS was created in September 2018, tasked with the initial review or evaluation of petitions submitted to the IACHR. In addition, the ISS was assigned the key task of updating the immense number of petitions from different years that were pending a final decision at this first stage of the procedure.</w:t>
      </w:r>
    </w:p>
    <w:p w14:paraId="1154E5C9" w14:textId="77777777" w:rsidR="00D455C2" w:rsidRPr="00524435" w:rsidRDefault="00D455C2" w:rsidP="004F6572">
      <w:pPr>
        <w:pStyle w:val="ListParagraph"/>
      </w:pPr>
      <w:r w:rsidRPr="00524435">
        <w:t>The ISS constituted a real change from the previous Registry Group, for two main reasons: (a) the evaluation of petitions is carried out exclusively by lawyers with extensive experience in international human rights law and (b) a much more expeditious working dynamic is ensured in which the supervisor works directly with the lawyers.</w:t>
      </w:r>
    </w:p>
    <w:p w14:paraId="78B2A663" w14:textId="77777777" w:rsidR="00D455C2" w:rsidRPr="00524435" w:rsidRDefault="00D455C2" w:rsidP="004F6572">
      <w:pPr>
        <w:pStyle w:val="ListParagraph"/>
      </w:pPr>
      <w:r w:rsidRPr="00524435">
        <w:t xml:space="preserve">The legal analysis is conducted in accordance with Articles 26 to 34 of the IACHR Rules of Procedure. The first aspect to be analyzed is compliance with Article 28 of the Rules of Procedure, which establishes the minimum content that a petition must have in order to be considered (Article 26.1); furthermore, according to Article 27 (and Article 26.1 itself) the "condition for considering the petition" is met "only when it fulfills the requirements established in such instruments [those of the Inter-American System that are applicable], in the Statute and in these Rules of Procedure." </w:t>
      </w:r>
    </w:p>
    <w:p w14:paraId="78A613AE" w14:textId="6CBC802D" w:rsidR="00D455C2" w:rsidRPr="00524435" w:rsidRDefault="00D455C2" w:rsidP="004F6572">
      <w:pPr>
        <w:pStyle w:val="ListParagraph"/>
      </w:pPr>
      <w:r w:rsidRPr="00524435">
        <w:lastRenderedPageBreak/>
        <w:t xml:space="preserve">In other words, the initial study stage verifies compliance with the same requirements that would be examined in an admissibility report. The difference is that this initial review is preliminary, because it is carried out before there is a final report on admissibility or inadmissibility. In fact, now there is a regulated request for re-examination (Resolution 1/19); and it is more flexible than an admissibility/inadmissibility report, because only the position of the petitioning party is available, without the State's defense, </w:t>
      </w:r>
      <w:proofErr w:type="gramStart"/>
      <w:r w:rsidRPr="00524435">
        <w:t>and also</w:t>
      </w:r>
      <w:proofErr w:type="gramEnd"/>
      <w:r w:rsidRPr="00524435">
        <w:t xml:space="preserve"> because if deemed necessary we can request additional information from the petitioner (Article 26.2).</w:t>
      </w:r>
    </w:p>
    <w:p w14:paraId="164DFF5D" w14:textId="11B345AD" w:rsidR="00D455C2" w:rsidRPr="00524435" w:rsidRDefault="00D455C2" w:rsidP="004F6572">
      <w:pPr>
        <w:pStyle w:val="ListParagraph"/>
      </w:pPr>
      <w:r w:rsidRPr="00524435">
        <w:t>Main figures for decisions: Received in 2021: of 2,</w:t>
      </w:r>
      <w:r w:rsidR="00E91023" w:rsidRPr="00524435">
        <w:t>327</w:t>
      </w:r>
      <w:r w:rsidRPr="00524435">
        <w:t xml:space="preserve"> petitions evaluated, </w:t>
      </w:r>
      <w:r w:rsidR="00E91023" w:rsidRPr="00524435">
        <w:t>436</w:t>
      </w:r>
      <w:r w:rsidRPr="00524435">
        <w:t xml:space="preserve"> (</w:t>
      </w:r>
      <w:r w:rsidR="00E91023" w:rsidRPr="00524435">
        <w:t>18.7</w:t>
      </w:r>
      <w:r w:rsidRPr="00524435">
        <w:t xml:space="preserve">%) were opened for processing, </w:t>
      </w:r>
      <w:r w:rsidR="00E91023" w:rsidRPr="00524435">
        <w:t>1823</w:t>
      </w:r>
      <w:r w:rsidRPr="00524435">
        <w:t xml:space="preserve"> (</w:t>
      </w:r>
      <w:r w:rsidR="00E91023" w:rsidRPr="00524435">
        <w:t>78.3</w:t>
      </w:r>
      <w:r w:rsidRPr="00524435">
        <w:t xml:space="preserve">%) </w:t>
      </w:r>
      <w:r w:rsidR="00E91023" w:rsidRPr="00524435">
        <w:t>have not been opened</w:t>
      </w:r>
      <w:r w:rsidRPr="00524435">
        <w:t xml:space="preserve">, and information was requested in </w:t>
      </w:r>
      <w:r w:rsidR="00E91023" w:rsidRPr="00524435">
        <w:t>68</w:t>
      </w:r>
      <w:r w:rsidRPr="00524435">
        <w:t xml:space="preserve"> petitions (</w:t>
      </w:r>
      <w:r w:rsidR="00BD28FF" w:rsidRPr="00524435">
        <w:t xml:space="preserve">2.9 </w:t>
      </w:r>
      <w:r w:rsidRPr="00524435">
        <w:t xml:space="preserve">%). </w:t>
      </w:r>
    </w:p>
    <w:p w14:paraId="494A3DB8" w14:textId="77777777" w:rsidR="00025891" w:rsidRPr="00524435" w:rsidRDefault="00025891" w:rsidP="004F6572">
      <w:pPr>
        <w:pStyle w:val="ListParagraph"/>
      </w:pPr>
      <w:r w:rsidRPr="00524435">
        <w:t>Number of notifications of initiation of proceedings: With the aim of reducing the waiting time between the decision to open a case and actual notification of that decision to the parties, the AES-PC Processing and Support Section focused on overcoming the chronic procedural backlog, prior to 2014, and adopted a series of measures to resolve the situation of petitions filed prior to 2014.</w:t>
      </w:r>
    </w:p>
    <w:p w14:paraId="22EFB583" w14:textId="4A4B950F" w:rsidR="006E6CA8" w:rsidRPr="00524435" w:rsidRDefault="006E6CA8" w:rsidP="006E6CA8">
      <w:pPr>
        <w:pStyle w:val="ListParagraph"/>
      </w:pPr>
      <w:r w:rsidRPr="00524435">
        <w:rPr>
          <w:rStyle w:val="normaltextrun1"/>
          <w:sz w:val="22"/>
        </w:rPr>
        <w:t>Once the procedural delay in the initial study stage was overcome, the Inter-American Commission and its Executive Secretariat redirected their efforts to reducing the waiting time between the adoption of the decision to process a petition and the transmission of the relevant parts to the State concerned, in accordance with the provisions of Article 30 of the Rules of Procedure of the IACHR.  </w:t>
      </w:r>
      <w:r w:rsidRPr="00524435">
        <w:rPr>
          <w:rStyle w:val="eop"/>
          <w:sz w:val="22"/>
        </w:rPr>
        <w:t> </w:t>
      </w:r>
    </w:p>
    <w:p w14:paraId="370E1BA5" w14:textId="7ACF9566" w:rsidR="006E6CA8" w:rsidRPr="00524435" w:rsidRDefault="006E6CA8" w:rsidP="004D0F77">
      <w:pPr>
        <w:pStyle w:val="ListParagraph"/>
      </w:pPr>
      <w:r w:rsidRPr="00524435">
        <w:rPr>
          <w:rStyle w:val="normaltextrun1"/>
        </w:rPr>
        <w:t xml:space="preserve">Thanks to the constant evaluation of the processes </w:t>
      </w:r>
      <w:proofErr w:type="gramStart"/>
      <w:r w:rsidRPr="00524435">
        <w:rPr>
          <w:rStyle w:val="normaltextrun1"/>
        </w:rPr>
        <w:t>as a result of</w:t>
      </w:r>
      <w:proofErr w:type="gramEnd"/>
      <w:r w:rsidRPr="00524435">
        <w:rPr>
          <w:rStyle w:val="normaltextrun1"/>
        </w:rPr>
        <w:t xml:space="preserve"> the feedback received from the parties, and the strengthening of the teams, it was possible to implement more rigorous and efficient methodologies that increased the number </w:t>
      </w:r>
      <w:r w:rsidR="00573C8C" w:rsidRPr="00524435">
        <w:rPr>
          <w:rStyle w:val="normaltextrun1"/>
        </w:rPr>
        <w:t xml:space="preserve">of </w:t>
      </w:r>
      <w:r w:rsidR="00D03487" w:rsidRPr="00524435">
        <w:rPr>
          <w:rStyle w:val="normaltextrun1"/>
        </w:rPr>
        <w:t>open</w:t>
      </w:r>
      <w:r w:rsidRPr="00524435">
        <w:rPr>
          <w:rStyle w:val="normaltextrun1"/>
        </w:rPr>
        <w:t xml:space="preserve"> </w:t>
      </w:r>
      <w:r w:rsidR="00D03487" w:rsidRPr="00524435">
        <w:rPr>
          <w:rStyle w:val="normaltextrun1"/>
        </w:rPr>
        <w:t>for</w:t>
      </w:r>
      <w:r w:rsidRPr="00524435">
        <w:rPr>
          <w:rStyle w:val="normaltextrun1"/>
        </w:rPr>
        <w:t xml:space="preserve"> process</w:t>
      </w:r>
      <w:r w:rsidR="00D03487" w:rsidRPr="00524435">
        <w:rPr>
          <w:rStyle w:val="normaltextrun1"/>
        </w:rPr>
        <w:t>ing notifications</w:t>
      </w:r>
      <w:r w:rsidRPr="00524435">
        <w:rPr>
          <w:rStyle w:val="normaltextrun1"/>
        </w:rPr>
        <w:t xml:space="preserve"> from 261 in 2018, to 733 the following year. However, the impossibility of accessing physical files for digitization due to the closure of the Commission's headquarters </w:t>
      </w:r>
      <w:proofErr w:type="gramStart"/>
      <w:r w:rsidRPr="00524435">
        <w:rPr>
          <w:rStyle w:val="normaltextrun1"/>
        </w:rPr>
        <w:t>as a result of</w:t>
      </w:r>
      <w:proofErr w:type="gramEnd"/>
      <w:r w:rsidRPr="00524435">
        <w:rPr>
          <w:rStyle w:val="normaltextrun1"/>
        </w:rPr>
        <w:t xml:space="preserve"> the pandemic caused by the COVID-19 virus, had a negative effect on the dynamics of notifications, so that in 2020 there were 359 such notifications. </w:t>
      </w:r>
      <w:r w:rsidRPr="00524435">
        <w:rPr>
          <w:rStyle w:val="eop"/>
        </w:rPr>
        <w:t> </w:t>
      </w:r>
    </w:p>
    <w:p w14:paraId="5606F46C" w14:textId="74973FCC" w:rsidR="006E6CA8" w:rsidRPr="00524435" w:rsidRDefault="006E6CA8" w:rsidP="004D0F77">
      <w:pPr>
        <w:pStyle w:val="ListParagraph"/>
      </w:pPr>
      <w:r w:rsidRPr="00524435">
        <w:rPr>
          <w:rStyle w:val="normaltextrun1"/>
        </w:rPr>
        <w:t>Notwithstanding the above, the new conditions imposed by the pandemic in that year (202</w:t>
      </w:r>
      <w:r w:rsidR="00F42CA9" w:rsidRPr="00524435">
        <w:rPr>
          <w:rStyle w:val="normaltextrun1"/>
        </w:rPr>
        <w:t>1</w:t>
      </w:r>
      <w:r w:rsidRPr="00524435">
        <w:rPr>
          <w:rStyle w:val="normaltextrun1"/>
        </w:rPr>
        <w:t xml:space="preserve">) allowed the technical teams to examine the procedural situation of petitions under initial </w:t>
      </w:r>
      <w:r w:rsidR="00D03487" w:rsidRPr="00524435">
        <w:rPr>
          <w:rStyle w:val="normaltextrun1"/>
        </w:rPr>
        <w:t>review</w:t>
      </w:r>
      <w:r w:rsidRPr="00524435">
        <w:rPr>
          <w:rStyle w:val="normaltextrun1"/>
        </w:rPr>
        <w:t>, including those with a decision to</w:t>
      </w:r>
      <w:r w:rsidR="00D03487" w:rsidRPr="00524435">
        <w:rPr>
          <w:rStyle w:val="normaltextrun1"/>
        </w:rPr>
        <w:t xml:space="preserve"> open for</w:t>
      </w:r>
      <w:r w:rsidRPr="00524435">
        <w:rPr>
          <w:rStyle w:val="normaltextrun1"/>
        </w:rPr>
        <w:t xml:space="preserve"> process</w:t>
      </w:r>
      <w:r w:rsidR="00D03487" w:rsidRPr="00524435">
        <w:rPr>
          <w:rStyle w:val="normaltextrun1"/>
        </w:rPr>
        <w:t>ing</w:t>
      </w:r>
      <w:r w:rsidRPr="00524435">
        <w:rPr>
          <w:rStyle w:val="normaltextrun1"/>
        </w:rPr>
        <w:t xml:space="preserve"> and, based on that study, the IACHR decided to extend </w:t>
      </w:r>
      <w:r w:rsidR="00D03487" w:rsidRPr="00524435">
        <w:rPr>
          <w:rStyle w:val="normaltextrun1"/>
        </w:rPr>
        <w:t xml:space="preserve">the </w:t>
      </w:r>
      <w:r w:rsidRPr="00524435">
        <w:rPr>
          <w:rStyle w:val="normaltextrun1"/>
        </w:rPr>
        <w:t>application of the rules for archiving</w:t>
      </w:r>
      <w:r w:rsidR="00D03487" w:rsidRPr="00524435">
        <w:rPr>
          <w:rStyle w:val="normaltextrun1"/>
        </w:rPr>
        <w:t xml:space="preserve"> (closing)</w:t>
      </w:r>
      <w:r w:rsidRPr="00524435">
        <w:rPr>
          <w:rStyle w:val="normaltextrun1"/>
        </w:rPr>
        <w:t xml:space="preserve">, provided for in Article 42 of the Rules of Procedure, to </w:t>
      </w:r>
      <w:r w:rsidR="00D03487" w:rsidRPr="00524435">
        <w:rPr>
          <w:rStyle w:val="normaltextrun1"/>
        </w:rPr>
        <w:t>petitions on such stage</w:t>
      </w:r>
      <w:r w:rsidRPr="00524435">
        <w:rPr>
          <w:rStyle w:val="normaltextrun1"/>
        </w:rPr>
        <w:t>.  </w:t>
      </w:r>
      <w:r w:rsidRPr="00524435">
        <w:rPr>
          <w:rStyle w:val="eop"/>
        </w:rPr>
        <w:t> </w:t>
      </w:r>
    </w:p>
    <w:p w14:paraId="7C40F271" w14:textId="68F92464" w:rsidR="006E6CA8" w:rsidRPr="00524435" w:rsidRDefault="006E6CA8" w:rsidP="004D0F77">
      <w:pPr>
        <w:pStyle w:val="ListParagraph"/>
      </w:pPr>
      <w:r w:rsidRPr="00524435">
        <w:rPr>
          <w:rStyle w:val="normaltextrun1"/>
        </w:rPr>
        <w:t xml:space="preserve">Thus, during 2020, the Executive Secretariat requested the petitioning party in 1,136 petitions under initial review with a </w:t>
      </w:r>
      <w:r w:rsidR="00D03487" w:rsidRPr="00524435">
        <w:rPr>
          <w:rStyle w:val="normaltextrun1"/>
        </w:rPr>
        <w:t xml:space="preserve">favorable </w:t>
      </w:r>
      <w:r w:rsidRPr="00524435">
        <w:rPr>
          <w:rStyle w:val="normaltextrun1"/>
        </w:rPr>
        <w:t>decision, to report, within one month of notification,  whether the grounds that gave rise to the filing of the complaint still exist and/or whether it was interested in the IACHR continuing with the processing of the case and, if so, to provide the information requested, in accordance with the requirements of Article 42(2) of the Commission's Rules of Procedure. </w:t>
      </w:r>
      <w:r w:rsidRPr="00524435">
        <w:rPr>
          <w:rStyle w:val="eop"/>
        </w:rPr>
        <w:t> </w:t>
      </w:r>
    </w:p>
    <w:p w14:paraId="780F6DCD" w14:textId="500B3901" w:rsidR="006E6CA8" w:rsidRPr="00524435" w:rsidRDefault="006E6CA8" w:rsidP="004D0F77">
      <w:pPr>
        <w:pStyle w:val="ListParagraph"/>
      </w:pPr>
      <w:r w:rsidRPr="00524435">
        <w:rPr>
          <w:rStyle w:val="normaltextrun1"/>
        </w:rPr>
        <w:t xml:space="preserve">As of September 2021, the Executive Secretariat examined the virtual case files of the 1,136 petitions </w:t>
      </w:r>
      <w:proofErr w:type="gramStart"/>
      <w:r w:rsidRPr="00524435">
        <w:rPr>
          <w:rStyle w:val="normaltextrun1"/>
        </w:rPr>
        <w:t>in order to</w:t>
      </w:r>
      <w:proofErr w:type="gramEnd"/>
      <w:r w:rsidRPr="00524435">
        <w:rPr>
          <w:rStyle w:val="normaltextrun1"/>
        </w:rPr>
        <w:t xml:space="preserve"> confirm the response of the petitioning </w:t>
      </w:r>
      <w:r w:rsidR="00573C8C" w:rsidRPr="00524435">
        <w:rPr>
          <w:rStyle w:val="normaltextrun1"/>
        </w:rPr>
        <w:t>party and</w:t>
      </w:r>
      <w:r w:rsidRPr="00524435">
        <w:rPr>
          <w:rStyle w:val="normaltextrun1"/>
        </w:rPr>
        <w:t xml:space="preserve"> found </w:t>
      </w:r>
      <w:r w:rsidR="00D03487" w:rsidRPr="00524435">
        <w:rPr>
          <w:rStyle w:val="normaltextrun1"/>
        </w:rPr>
        <w:t>648 (57</w:t>
      </w:r>
      <w:r w:rsidRPr="00524435">
        <w:rPr>
          <w:rStyle w:val="normaltextrun1"/>
        </w:rPr>
        <w:t>%) petitions ready to be archived</w:t>
      </w:r>
      <w:r w:rsidR="00D03487" w:rsidRPr="00524435">
        <w:rPr>
          <w:rStyle w:val="normaltextrun1"/>
        </w:rPr>
        <w:t xml:space="preserve"> (closed)</w:t>
      </w:r>
      <w:r w:rsidRPr="00524435">
        <w:rPr>
          <w:rStyle w:val="normaltextrun1"/>
        </w:rPr>
        <w:t>. The decision to archive them was taken by the IACHR on November 8, 2021, based on the provisions of the same Article 42(2) of the Rules of Procedure. Processing went ahead with the remaining 4</w:t>
      </w:r>
      <w:r w:rsidR="00D03487" w:rsidRPr="00524435">
        <w:rPr>
          <w:rStyle w:val="normaltextrun1"/>
        </w:rPr>
        <w:t>88</w:t>
      </w:r>
      <w:r w:rsidRPr="00524435">
        <w:rPr>
          <w:rStyle w:val="normaltextrun1"/>
        </w:rPr>
        <w:t xml:space="preserve"> (4</w:t>
      </w:r>
      <w:r w:rsidR="00D03487" w:rsidRPr="00524435">
        <w:rPr>
          <w:rStyle w:val="normaltextrun1"/>
        </w:rPr>
        <w:t>3</w:t>
      </w:r>
      <w:r w:rsidRPr="00524435">
        <w:rPr>
          <w:rStyle w:val="normaltextrun1"/>
        </w:rPr>
        <w:t>%) petitions.</w:t>
      </w:r>
      <w:r w:rsidRPr="00524435">
        <w:rPr>
          <w:rStyle w:val="eop"/>
        </w:rPr>
        <w:t> </w:t>
      </w:r>
    </w:p>
    <w:p w14:paraId="6F5BE948" w14:textId="13BFF960" w:rsidR="006E6CA8" w:rsidRPr="00524435" w:rsidRDefault="006E6CA8" w:rsidP="004D0F77">
      <w:pPr>
        <w:pStyle w:val="ListParagraph"/>
      </w:pPr>
      <w:proofErr w:type="gramStart"/>
      <w:r w:rsidRPr="00524435">
        <w:rPr>
          <w:rStyle w:val="normaltextrun1"/>
        </w:rPr>
        <w:t>With regard to</w:t>
      </w:r>
      <w:proofErr w:type="gramEnd"/>
      <w:r w:rsidRPr="00524435">
        <w:rPr>
          <w:rStyle w:val="normaltextrun1"/>
        </w:rPr>
        <w:t xml:space="preserve"> notification of the initiation of processing, the relaxation of policies governing entry into IACHR headquarters as of the second half of 2021, adopted once the OAS General Secretariat had ensured the well-being of its staff, made it possible to resume the notification processes, with priority being given to the oldest petitions.  As a result, </w:t>
      </w:r>
      <w:r w:rsidR="002170D9" w:rsidRPr="00524435">
        <w:t xml:space="preserve">460 new petitions were notified with respect to </w:t>
      </w:r>
      <w:r w:rsidRPr="00524435">
        <w:rPr>
          <w:rStyle w:val="normaltextrun1"/>
        </w:rPr>
        <w:t>25 me</w:t>
      </w:r>
      <w:r w:rsidR="002170D9" w:rsidRPr="00524435">
        <w:rPr>
          <w:rStyle w:val="normaltextrun1"/>
        </w:rPr>
        <w:t xml:space="preserve">mber states of the Organization, </w:t>
      </w:r>
      <w:r w:rsidRPr="00524435">
        <w:rPr>
          <w:rStyle w:val="normaltextrun1"/>
        </w:rPr>
        <w:t>2</w:t>
      </w:r>
      <w:r w:rsidR="00D03487" w:rsidRPr="00524435">
        <w:rPr>
          <w:rStyle w:val="normaltextrun1"/>
        </w:rPr>
        <w:t>1</w:t>
      </w:r>
      <w:r w:rsidRPr="00524435">
        <w:rPr>
          <w:rStyle w:val="normaltextrun1"/>
        </w:rPr>
        <w:t>% of which corresponded to petitions with a chronic backlog (filed up to 2014). </w:t>
      </w:r>
      <w:r w:rsidRPr="00524435">
        <w:rPr>
          <w:rStyle w:val="eop"/>
        </w:rPr>
        <w:t> </w:t>
      </w:r>
    </w:p>
    <w:p w14:paraId="1BA22868" w14:textId="2F6BFE8A" w:rsidR="006E6CA8" w:rsidRPr="00524435" w:rsidRDefault="006E6CA8" w:rsidP="004D0F77">
      <w:pPr>
        <w:pStyle w:val="ListParagraph"/>
      </w:pPr>
      <w:r w:rsidRPr="00524435">
        <w:rPr>
          <w:rStyle w:val="normaltextrun1"/>
        </w:rPr>
        <w:lastRenderedPageBreak/>
        <w:t xml:space="preserve">In conclusion, the Inter-American Commission reports to its users the reduction in 2021 of the procedural </w:t>
      </w:r>
      <w:proofErr w:type="gramStart"/>
      <w:r w:rsidRPr="00524435">
        <w:rPr>
          <w:rStyle w:val="normaltextrun1"/>
        </w:rPr>
        <w:t>backlog</w:t>
      </w:r>
      <w:proofErr w:type="gramEnd"/>
      <w:r w:rsidRPr="00524435">
        <w:rPr>
          <w:rStyle w:val="normaltextrun1"/>
        </w:rPr>
        <w:t xml:space="preserve"> of petitions at the initial study stage</w:t>
      </w:r>
      <w:r w:rsidR="0044478F" w:rsidRPr="00524435">
        <w:rPr>
          <w:rStyle w:val="normaltextrun1"/>
        </w:rPr>
        <w:t xml:space="preserve"> pending for notification to the parties</w:t>
      </w:r>
      <w:r w:rsidRPr="00524435">
        <w:rPr>
          <w:rStyle w:val="normaltextrun1"/>
        </w:rPr>
        <w:t xml:space="preserve">, </w:t>
      </w:r>
      <w:r w:rsidR="0044478F" w:rsidRPr="00524435">
        <w:rPr>
          <w:rStyle w:val="normaltextrun1"/>
        </w:rPr>
        <w:t xml:space="preserve">having doubled the number of </w:t>
      </w:r>
      <w:r w:rsidRPr="00524435">
        <w:rPr>
          <w:rStyle w:val="normaltextrun1"/>
        </w:rPr>
        <w:t xml:space="preserve">decisions </w:t>
      </w:r>
      <w:r w:rsidR="0044478F" w:rsidRPr="00524435">
        <w:rPr>
          <w:rStyle w:val="normaltextrun1"/>
        </w:rPr>
        <w:t>to open for processing</w:t>
      </w:r>
      <w:r w:rsidRPr="00524435">
        <w:rPr>
          <w:rStyle w:val="normaltextrun1"/>
        </w:rPr>
        <w:t xml:space="preserve"> resulting from the initial study of the petitions, adopted in accordance with Article 27 of the aforementioned Rules of Procedure.  The IACHR and its Executive Secretariat, aware of the sheer size of the challenge that still persists and the resources available to address it, and mindful of inter-American norms and standards, are preparing to continue working on responses that will result in ensuring prompt notification of any decision on the processing of a petition, starting in 2022 with </w:t>
      </w:r>
      <w:r w:rsidR="0044478F" w:rsidRPr="00524435">
        <w:rPr>
          <w:rStyle w:val="normaltextrun1"/>
        </w:rPr>
        <w:t>1698</w:t>
      </w:r>
      <w:r w:rsidRPr="00524435">
        <w:rPr>
          <w:rStyle w:val="normaltextrun1"/>
        </w:rPr>
        <w:t xml:space="preserve"> petitions under initial study, with a </w:t>
      </w:r>
      <w:r w:rsidR="0044478F" w:rsidRPr="00524435">
        <w:rPr>
          <w:rStyle w:val="normaltextrun1"/>
        </w:rPr>
        <w:t xml:space="preserve">favorable </w:t>
      </w:r>
      <w:r w:rsidRPr="00524435">
        <w:rPr>
          <w:rStyle w:val="normaltextrun1"/>
        </w:rPr>
        <w:t xml:space="preserve">decision, i.e. </w:t>
      </w:r>
      <w:r w:rsidR="0044478F" w:rsidRPr="00524435">
        <w:rPr>
          <w:rStyle w:val="normaltextrun1"/>
        </w:rPr>
        <w:t>29.4</w:t>
      </w:r>
      <w:r w:rsidRPr="00524435">
        <w:rPr>
          <w:rStyle w:val="normaltextrun1"/>
        </w:rPr>
        <w:t>% fewer than the 2,405 reported at the end of 2020. </w:t>
      </w:r>
      <w:r w:rsidRPr="00524435">
        <w:rPr>
          <w:rStyle w:val="eop"/>
        </w:rPr>
        <w:t> </w:t>
      </w:r>
    </w:p>
    <w:p w14:paraId="53563251" w14:textId="009BB26E" w:rsidR="006E6CA8" w:rsidRPr="00524435" w:rsidRDefault="006E6CA8" w:rsidP="004D0F77">
      <w:pPr>
        <w:pStyle w:val="ListParagraph"/>
      </w:pPr>
      <w:r w:rsidRPr="00524435">
        <w:rPr>
          <w:rStyle w:val="normaltextrun1"/>
        </w:rPr>
        <w:t xml:space="preserve">As of 2021, the Commission has accumulated five years of experience with implementing the </w:t>
      </w:r>
      <w:hyperlink r:id="rId12" w:tgtFrame="_blank" w:history="1">
        <w:r w:rsidRPr="00524435">
          <w:rPr>
            <w:rStyle w:val="normaltextrun1"/>
            <w:color w:val="0563C1"/>
            <w:u w:val="single"/>
          </w:rPr>
          <w:t>Resolution 1/16</w:t>
        </w:r>
      </w:hyperlink>
      <w:r w:rsidRPr="00524435">
        <w:rPr>
          <w:rStyle w:val="normaltextrun1"/>
          <w:i/>
        </w:rPr>
        <w:t>, On Measures to Reduce the Procedural Backlog in the Petitions and Cases System</w:t>
      </w:r>
      <w:r w:rsidRPr="00524435">
        <w:rPr>
          <w:rStyle w:val="normaltextrun1"/>
        </w:rPr>
        <w:t>, adopted on October 18, 2016. Accordingly, in 2021, the IACHR reported 2</w:t>
      </w:r>
      <w:r w:rsidR="0044478F" w:rsidRPr="00524435">
        <w:rPr>
          <w:rStyle w:val="normaltextrun1"/>
        </w:rPr>
        <w:t>32</w:t>
      </w:r>
      <w:r w:rsidRPr="00524435">
        <w:rPr>
          <w:rStyle w:val="normaltextrun1"/>
        </w:rPr>
        <w:t xml:space="preserve"> notifications in accordance with Article 36(3) of the Commission's Rules of Procedure, providing for the deferral of the processing of admissibility until the debate and decision on the merits, with respect to petitions that, while in the admissibility stage (litigation), were identified as falling under some of the six criteria set forth in that Resolution.</w:t>
      </w:r>
      <w:r w:rsidRPr="00524435">
        <w:rPr>
          <w:rStyle w:val="eop"/>
        </w:rPr>
        <w:t> </w:t>
      </w:r>
    </w:p>
    <w:p w14:paraId="07B7D43C" w14:textId="17FE6352" w:rsidR="006E6CA8" w:rsidRPr="00524435" w:rsidRDefault="006E6CA8" w:rsidP="004D0F77">
      <w:pPr>
        <w:pStyle w:val="ListParagraph"/>
      </w:pPr>
      <w:r w:rsidRPr="00524435">
        <w:rPr>
          <w:rStyle w:val="normaltextrun1"/>
        </w:rPr>
        <w:t>Thus, at the end of the year covered by this report, there were 9</w:t>
      </w:r>
      <w:r w:rsidR="0044478F" w:rsidRPr="00524435">
        <w:rPr>
          <w:rStyle w:val="normaltextrun1"/>
        </w:rPr>
        <w:t>32</w:t>
      </w:r>
      <w:r w:rsidRPr="00524435">
        <w:rPr>
          <w:rStyle w:val="normaltextrun1"/>
        </w:rPr>
        <w:t xml:space="preserve"> notifications of accumulation of the admissibility and merits stages</w:t>
      </w:r>
      <w:r w:rsidRPr="00524435">
        <w:rPr>
          <w:rStyle w:val="superscript"/>
          <w:vertAlign w:val="superscript"/>
        </w:rPr>
        <w:t>1</w:t>
      </w:r>
      <w:r w:rsidRPr="00524435">
        <w:rPr>
          <w:rStyle w:val="normaltextrun1"/>
          <w:vertAlign w:val="superscript"/>
        </w:rPr>
        <w:t>.</w:t>
      </w:r>
      <w:r w:rsidRPr="00524435">
        <w:rPr>
          <w:rStyle w:val="normaltextrun1"/>
        </w:rPr>
        <w:t> </w:t>
      </w:r>
      <w:r w:rsidRPr="00524435">
        <w:rPr>
          <w:rStyle w:val="eop"/>
        </w:rPr>
        <w:t> </w:t>
      </w:r>
    </w:p>
    <w:p w14:paraId="60C23BCB" w14:textId="335A6EDA" w:rsidR="00025891" w:rsidRPr="00524435" w:rsidRDefault="00025891" w:rsidP="004D0F77">
      <w:pPr>
        <w:pStyle w:val="ListParagraph"/>
      </w:pPr>
      <w:proofErr w:type="spellStart"/>
      <w:r w:rsidRPr="00524435">
        <w:rPr>
          <w:b/>
        </w:rPr>
        <w:t>Archivings</w:t>
      </w:r>
      <w:proofErr w:type="spellEnd"/>
      <w:r w:rsidRPr="00524435">
        <w:rPr>
          <w:b/>
        </w:rPr>
        <w:t>:</w:t>
      </w:r>
      <w:r w:rsidRPr="00524435">
        <w:t xml:space="preserve"> the IACHR has been reducing the period of inactivity allowed to the petitioning party, from five years in 2015 to three in 2018. The IACHR also interpreted a petitioner's failure to submit additional observations on the merits, a requirement established in Article 37(1) of the IACHR Rules of Procedure, as a serious indication of disinterest in the processing of a case on the terms set forth in Article 42(1)(b) of the same instrument. Thus, having verified procedural inactivity and after issuing notification of the possibility of a decision to archive, as instructed by Article 42.2 of the Rules of Procedure, the IACHR adopted the decision to archive 77 cases in 2016, 109 in 2017, 152 in 2018,</w:t>
      </w:r>
      <w:r w:rsidR="00B5755A" w:rsidRPr="00524435">
        <w:t xml:space="preserve"> 308 in 2019,</w:t>
      </w:r>
      <w:r w:rsidRPr="00524435">
        <w:t xml:space="preserve"> 148 in 2020, and </w:t>
      </w:r>
      <w:r w:rsidR="00B5755A" w:rsidRPr="00524435">
        <w:t>183</w:t>
      </w:r>
      <w:r w:rsidRPr="00524435">
        <w:t xml:space="preserve"> in 2021.  </w:t>
      </w:r>
    </w:p>
    <w:p w14:paraId="0398B56D" w14:textId="69D09977" w:rsidR="0067161C" w:rsidRPr="00524435" w:rsidRDefault="00025891" w:rsidP="004D0F77">
      <w:pPr>
        <w:pStyle w:val="ListParagraph"/>
      </w:pPr>
      <w:r w:rsidRPr="00524435">
        <w:t xml:space="preserve">Simplification of procedures: the Commission implemented, in accordance with the Rules of Procedure, the practice of making a single transfer [of information] to the parties at the admissibility stage. This measure is in the process of being implemented in the </w:t>
      </w:r>
      <w:r w:rsidR="00F946F5" w:rsidRPr="00524435">
        <w:t>IACHR’s technology</w:t>
      </w:r>
      <w:r w:rsidRPr="00524435">
        <w:t xml:space="preserve"> systems.  </w:t>
      </w:r>
    </w:p>
    <w:p w14:paraId="1474C282" w14:textId="77777777" w:rsidR="0067161C" w:rsidRPr="00524435" w:rsidRDefault="0067161C" w:rsidP="004D0F77">
      <w:pPr>
        <w:pStyle w:val="Heading1"/>
      </w:pPr>
      <w:r w:rsidRPr="00524435">
        <w:t>Admissibility and inadmissibility decisions</w:t>
      </w:r>
    </w:p>
    <w:p w14:paraId="5E56B9A2" w14:textId="609DD125" w:rsidR="0067161C" w:rsidRPr="00524435" w:rsidRDefault="0067161C" w:rsidP="0067161C">
      <w:pPr>
        <w:pStyle w:val="ListParagraph"/>
      </w:pPr>
      <w:r w:rsidRPr="00524435">
        <w:t>During 2021, the increase in the preparation and approval of reports on the admissibility of petitions continued, in accordance with Article 36 of the IACHR Rules of Procedure. Thus, in 2021, the IACHR approved a total of</w:t>
      </w:r>
      <w:r w:rsidR="00844CA7" w:rsidRPr="00524435">
        <w:t xml:space="preserve"> 345</w:t>
      </w:r>
      <w:r w:rsidRPr="00524435">
        <w:t xml:space="preserve"> admissibility reports, </w:t>
      </w:r>
      <w:r w:rsidR="00844CA7" w:rsidRPr="00524435">
        <w:t>264</w:t>
      </w:r>
      <w:r w:rsidRPr="00524435">
        <w:t xml:space="preserve"> of </w:t>
      </w:r>
      <w:r w:rsidR="00F946F5" w:rsidRPr="00524435">
        <w:t>which were</w:t>
      </w:r>
      <w:r w:rsidRPr="00524435">
        <w:t xml:space="preserve"> admissibility decisions </w:t>
      </w:r>
      <w:r w:rsidR="009B5F71" w:rsidRPr="00524435">
        <w:t xml:space="preserve">and </w:t>
      </w:r>
      <w:r w:rsidR="00844CA7" w:rsidRPr="00524435">
        <w:t>81</w:t>
      </w:r>
      <w:r w:rsidRPr="00524435">
        <w:t xml:space="preserve"> were inadmissibility decisions.</w:t>
      </w:r>
    </w:p>
    <w:p w14:paraId="401C75D6" w14:textId="216D5D13" w:rsidR="0067161C" w:rsidRPr="00524435" w:rsidRDefault="0067161C" w:rsidP="0067161C">
      <w:pPr>
        <w:pStyle w:val="ListParagraph"/>
      </w:pPr>
      <w:proofErr w:type="gramStart"/>
      <w:r w:rsidRPr="00524435">
        <w:t>In order to</w:t>
      </w:r>
      <w:proofErr w:type="gramEnd"/>
      <w:r w:rsidRPr="00524435">
        <w:t xml:space="preserve"> appreciate the impact of this year's results, it is worth comparing them with those of previous years. During 2016--the year prior to the implementation of the 2017-2021 Strategic Plan--the IACHR adopted a total of 45 admissibility reports (43 admissible and 2 inadmissible); that figure rose in 2017 to 120 reports (114 admissible and 6 inadmissible); in 2018 to 133 (118 admissible and 15 inadmissible); in 2019 it reached 146 (123 admissible and 23 inadmissible); and in 2020 it almost doubled with the adoption of 290 reports (246 admissible and 44 inadmissible). </w:t>
      </w:r>
    </w:p>
    <w:p w14:paraId="1EE1617F" w14:textId="77777777" w:rsidR="0067161C" w:rsidRPr="00524435" w:rsidRDefault="0067161C" w:rsidP="0067161C">
      <w:pPr>
        <w:pStyle w:val="ListParagraph"/>
      </w:pPr>
      <w:r w:rsidRPr="00524435">
        <w:t xml:space="preserve">This steady increase has been achieved thanks to several measures, including an increase in the number of staff dedicated to legal work in the initial study and admissibility sections of the IACHR; the specialization of professionals in these areas; the improvement of work methodologies and the consistency of criteria, an area in which the adoption and application of the IACHR Digest on admissibility and competence criteria proved to be very important. Mention should also be made of the decisive collaboration provided to the </w:t>
      </w:r>
      <w:r w:rsidRPr="00524435">
        <w:lastRenderedPageBreak/>
        <w:t xml:space="preserve">legal team by the Processing and Support Section and the User Service and Information Management Section, respectively.  </w:t>
      </w:r>
    </w:p>
    <w:p w14:paraId="4765F4F1" w14:textId="21E0934F" w:rsidR="0067161C" w:rsidRPr="00524435" w:rsidRDefault="0067161C" w:rsidP="0067161C">
      <w:pPr>
        <w:pStyle w:val="ListParagraph"/>
      </w:pPr>
      <w:r w:rsidRPr="00524435">
        <w:t xml:space="preserve">In this way, quantitatively, the IACHR </w:t>
      </w:r>
      <w:r w:rsidR="00F946F5" w:rsidRPr="00524435">
        <w:t>has addressed</w:t>
      </w:r>
      <w:r w:rsidRPr="00524435">
        <w:t xml:space="preserve"> a broader universe of alleged victims. At the same time, it should be noted that a significant number of the petitions that reached the merits stage in 2021refer to serious human rights violations, structural situations in the region, or address various issues that merit new developments in jurisprudence in the inter-American system. </w:t>
      </w:r>
    </w:p>
    <w:p w14:paraId="2D72970C" w14:textId="7B985334" w:rsidR="0067161C" w:rsidRPr="00524435" w:rsidRDefault="0067161C" w:rsidP="0067161C">
      <w:pPr>
        <w:pStyle w:val="ListParagraph"/>
      </w:pPr>
      <w:r w:rsidRPr="00524435">
        <w:t xml:space="preserve">The Inter-American Commission adopted reports on the termination of pregnancy in victims of sexual violence or in cases of therapeutic abortion for girls and adolescents; respect for the life and integrity of migrants detained by law enforcement officials; reparations for gross human rights violations perpetrated during dictatorships; same-sex marriage; extrajudicial executions in the context of armed conflicts; labor conditions of workers in the so-called </w:t>
      </w:r>
      <w:r w:rsidRPr="00524435">
        <w:rPr>
          <w:i/>
          <w:iCs/>
        </w:rPr>
        <w:t>maquilas</w:t>
      </w:r>
      <w:r w:rsidRPr="00524435">
        <w:t xml:space="preserve"> (offshore processing industries) in Central America; due diligence in the investigation of human trafficking; regulation and monitoring of assisted reproduction clinics, and the duty to investigate and punish the fraudulent violation of the rights of persons who resort to those methods; the protection of trade union rights in a variety of contexts, among others. The following is a representative example of the summaries of some of the cases declared admissible and which are currently at the merits stage, due to the seriousness of the alleged facts, or because they deal with novel issues that have yet to be extensively addressed in inter-American system case law. </w:t>
      </w:r>
    </w:p>
    <w:p w14:paraId="20196481" w14:textId="77777777" w:rsidR="0067161C" w:rsidRPr="003F238D" w:rsidRDefault="0067161C" w:rsidP="0067161C">
      <w:pPr>
        <w:autoSpaceDE w:val="0"/>
        <w:autoSpaceDN w:val="0"/>
        <w:adjustRightInd w:val="0"/>
        <w:spacing w:after="240" w:line="240" w:lineRule="auto"/>
        <w:ind w:left="720"/>
        <w:jc w:val="both"/>
        <w:rPr>
          <w:rFonts w:ascii="Cambria" w:hAnsi="Cambria" w:cs="Calibri"/>
          <w:b/>
          <w:sz w:val="20"/>
          <w:szCs w:val="20"/>
          <w:lang w:val="es-US"/>
        </w:rPr>
      </w:pPr>
      <w:proofErr w:type="spellStart"/>
      <w:r w:rsidRPr="003F238D">
        <w:rPr>
          <w:rFonts w:ascii="Cambria" w:hAnsi="Cambria"/>
          <w:b/>
          <w:sz w:val="20"/>
          <w:lang w:val="es-US"/>
        </w:rPr>
        <w:t>Report</w:t>
      </w:r>
      <w:proofErr w:type="spellEnd"/>
      <w:r w:rsidRPr="003F238D">
        <w:rPr>
          <w:rFonts w:ascii="Cambria" w:hAnsi="Cambria"/>
          <w:b/>
          <w:sz w:val="20"/>
          <w:lang w:val="es-US"/>
        </w:rPr>
        <w:t xml:space="preserve"> No. 211/21, P-1476-13 Graciela Antonia </w:t>
      </w:r>
      <w:proofErr w:type="spellStart"/>
      <w:r w:rsidRPr="003F238D">
        <w:rPr>
          <w:rFonts w:ascii="Cambria" w:hAnsi="Cambria"/>
          <w:b/>
          <w:sz w:val="20"/>
          <w:lang w:val="es-US"/>
        </w:rPr>
        <w:t>Kozache</w:t>
      </w:r>
      <w:proofErr w:type="spellEnd"/>
      <w:r w:rsidRPr="003F238D">
        <w:rPr>
          <w:rFonts w:ascii="Cambria" w:hAnsi="Cambria"/>
          <w:b/>
          <w:sz w:val="20"/>
          <w:lang w:val="es-US"/>
        </w:rPr>
        <w:t xml:space="preserve"> et al, Argentina</w:t>
      </w:r>
    </w:p>
    <w:p w14:paraId="093164BC" w14:textId="1B8389F4" w:rsidR="0067161C" w:rsidRPr="00524435" w:rsidRDefault="0067161C" w:rsidP="0067161C">
      <w:pPr>
        <w:pStyle w:val="ListParagraph"/>
      </w:pPr>
      <w:r w:rsidRPr="00524435">
        <w:t xml:space="preserve">The IACHR admitted the petition presented by female workers at two public hospitals in the city of Posadas, who allege the violation of their rights due to their prolonged exposure to a highly toxic gas that allegedly leaked persistently from the machines used to sterilize hospital instruments. They claim that the machines had been improperly handled and consequently caused accidental leaks, without the employees being provided with the necessary protective equipment; nor had any preventive or remedial measures been taken. This exposure allegedly caused serious health problems for </w:t>
      </w:r>
      <w:proofErr w:type="gramStart"/>
      <w:r w:rsidRPr="00524435">
        <w:t>a large number of</w:t>
      </w:r>
      <w:proofErr w:type="gramEnd"/>
      <w:r w:rsidRPr="00524435">
        <w:t xml:space="preserve"> female hospital </w:t>
      </w:r>
      <w:r w:rsidR="006D5F49" w:rsidRPr="00524435">
        <w:t>employees and</w:t>
      </w:r>
      <w:r w:rsidRPr="00524435">
        <w:t xml:space="preserve"> resulted in the death of two of them. The petitioning party also claims that the Argentine hospital, administrative, and judicial authorities failed to act in response to the serious situation described above. The IACHR declared the petition admissible in relation to the rights to life, personal integrity, judicial guarantees, judicial </w:t>
      </w:r>
      <w:proofErr w:type="gramStart"/>
      <w:r w:rsidRPr="00524435">
        <w:t>protection</w:t>
      </w:r>
      <w:proofErr w:type="gramEnd"/>
      <w:r w:rsidRPr="00524435">
        <w:t xml:space="preserve"> and economic, social, and cultural rights, including the rights to health and to work in decent conditions.</w:t>
      </w:r>
    </w:p>
    <w:p w14:paraId="46F238CB" w14:textId="77777777" w:rsidR="0067161C" w:rsidRPr="003F238D" w:rsidRDefault="0067161C" w:rsidP="0067161C">
      <w:pPr>
        <w:pStyle w:val="ListParagraph"/>
        <w:numPr>
          <w:ilvl w:val="0"/>
          <w:numId w:val="0"/>
        </w:numPr>
        <w:ind w:left="720"/>
        <w:rPr>
          <w:lang w:val="es-US"/>
        </w:rPr>
      </w:pPr>
      <w:proofErr w:type="spellStart"/>
      <w:r w:rsidRPr="003F238D">
        <w:rPr>
          <w:b/>
          <w:lang w:val="es-US"/>
        </w:rPr>
        <w:t>Report</w:t>
      </w:r>
      <w:proofErr w:type="spellEnd"/>
      <w:r w:rsidRPr="003F238D">
        <w:rPr>
          <w:b/>
          <w:lang w:val="es-US"/>
        </w:rPr>
        <w:t xml:space="preserve"> No. 90/21, P-2011-13 Alexandra </w:t>
      </w:r>
      <w:proofErr w:type="spellStart"/>
      <w:r w:rsidRPr="003F238D">
        <w:rPr>
          <w:b/>
          <w:lang w:val="es-US"/>
        </w:rPr>
        <w:t>Benado</w:t>
      </w:r>
      <w:proofErr w:type="spellEnd"/>
      <w:r w:rsidRPr="003F238D">
        <w:rPr>
          <w:b/>
          <w:lang w:val="es-US"/>
        </w:rPr>
        <w:t xml:space="preserve"> Vergara, Alejandra Gallo Poblete et al, Chile</w:t>
      </w:r>
    </w:p>
    <w:p w14:paraId="55799BF0" w14:textId="77777777" w:rsidR="0067161C" w:rsidRPr="00524435" w:rsidRDefault="0067161C" w:rsidP="0067161C">
      <w:pPr>
        <w:pStyle w:val="ListParagraph"/>
      </w:pPr>
      <w:r w:rsidRPr="00524435">
        <w:t>The case refers to two women who were allegedly discriminated against because of their sex and sexual orientation, since the state authorities denied one of them legal registration as the mother of their children. They complain that the Chilean State did not recognize the filial relationship between mothers and children conceived through assisted human reproduction techniques, differently from heterosexual couples. They consider that this results in unequal treatment, since domestic legislation does not contemplate the possibility that a person may be registered by two mothers at the same time, since maternity is determined by childbirth. At the merits stage, the IACHR will be able to analyze whether the situation denounced is part of a context of structural gender and sexual orientation-based discrimination in the country, including the lack of a regulatory framework for the right to filiation for persons of both sexes.</w:t>
      </w:r>
    </w:p>
    <w:p w14:paraId="35601803" w14:textId="77777777" w:rsidR="0067161C" w:rsidRPr="00524435" w:rsidRDefault="0067161C" w:rsidP="0067161C">
      <w:pPr>
        <w:pStyle w:val="ListParagraph"/>
        <w:numPr>
          <w:ilvl w:val="0"/>
          <w:numId w:val="0"/>
        </w:numPr>
        <w:ind w:left="720"/>
        <w:rPr>
          <w:b/>
          <w:bCs/>
        </w:rPr>
      </w:pPr>
      <w:r w:rsidRPr="00524435">
        <w:rPr>
          <w:b/>
        </w:rPr>
        <w:t>Report No. 254/21, P-1846-11 Giovanni Guzman Perez et al</w:t>
      </w:r>
    </w:p>
    <w:p w14:paraId="4285EC0E" w14:textId="57B99D0F" w:rsidR="0067161C" w:rsidRPr="00524435" w:rsidRDefault="0067161C" w:rsidP="0067161C">
      <w:pPr>
        <w:pStyle w:val="ListParagraph"/>
      </w:pPr>
      <w:r w:rsidRPr="00524435">
        <w:rPr>
          <w:b/>
        </w:rPr>
        <w:t xml:space="preserve"> </w:t>
      </w:r>
      <w:r w:rsidRPr="00524435">
        <w:t xml:space="preserve">The Inter-American Commission admitted the petition presented by the relatives of nine persons who were allegedly victims of kidnapping, torture, extrajudicial execution, and forced disappearance during the so-called "Massacre of Puerto </w:t>
      </w:r>
      <w:proofErr w:type="spellStart"/>
      <w:r w:rsidRPr="00524435">
        <w:t>Patiño</w:t>
      </w:r>
      <w:proofErr w:type="spellEnd"/>
      <w:r w:rsidRPr="00524435">
        <w:t xml:space="preserve">" in January 1995, in the town of the same name, located in the municipality of </w:t>
      </w:r>
      <w:proofErr w:type="spellStart"/>
      <w:r w:rsidRPr="00524435">
        <w:t>Aguachica</w:t>
      </w:r>
      <w:proofErr w:type="spellEnd"/>
      <w:r w:rsidRPr="00524435">
        <w:t xml:space="preserve">, Department of Cesar. The petitioners present evidence that purportedly demonstrates that the massacre was perpetrated by a contingent of armed men, supposedly composed of </w:t>
      </w:r>
      <w:r w:rsidRPr="00524435">
        <w:lastRenderedPageBreak/>
        <w:t xml:space="preserve">paramilitaries and agents of the security forces, and therefore allege that the Colombian State is responsible for those events by virtue of the action, omission, and tolerance or acquiescence of its agents in the criminal conduct of the paramilitary groups in that region of the country. The petitioners also complain about the impunity surrounding the events, </w:t>
      </w:r>
      <w:proofErr w:type="gramStart"/>
      <w:r w:rsidRPr="00524435">
        <w:t>since,</w:t>
      </w:r>
      <w:proofErr w:type="gramEnd"/>
      <w:r w:rsidRPr="00524435">
        <w:t xml:space="preserve"> more than 25 years later, only some of the paramilitary leaders who committed the massacre -- and none of the army agents allegedly responsible </w:t>
      </w:r>
      <w:r w:rsidR="006D5F49" w:rsidRPr="00524435">
        <w:t>-- have</w:t>
      </w:r>
      <w:r w:rsidRPr="00524435">
        <w:t xml:space="preserve"> been convicted. The IACHR declared the petition admissible in relation to the rights to life, personal integrity, personal liberty, recognition of juridical personality, freedom of movement and residence, honor and dignity, judicial </w:t>
      </w:r>
      <w:proofErr w:type="gramStart"/>
      <w:r w:rsidRPr="00524435">
        <w:t>guarantees</w:t>
      </w:r>
      <w:proofErr w:type="gramEnd"/>
      <w:r w:rsidRPr="00524435">
        <w:t xml:space="preserve"> and judicial protection, recognized in the American Convention on Human Rights. The IACHR likewise declare the admissibility of the corresponding rights guaranteed by the Inter-American Convention to Prevent and Punish Torture and the Inter-American Convention on Forced Disappearance of Persons.  </w:t>
      </w:r>
    </w:p>
    <w:p w14:paraId="26BD9B12" w14:textId="77777777" w:rsidR="0067161C" w:rsidRPr="00524435" w:rsidRDefault="0067161C" w:rsidP="0067161C">
      <w:pPr>
        <w:pStyle w:val="ListParagraph"/>
        <w:numPr>
          <w:ilvl w:val="0"/>
          <w:numId w:val="0"/>
        </w:numPr>
        <w:ind w:left="720"/>
        <w:rPr>
          <w:b/>
          <w:bCs/>
        </w:rPr>
      </w:pPr>
      <w:r w:rsidRPr="00524435">
        <w:rPr>
          <w:b/>
        </w:rPr>
        <w:t>Report No. 255-21, P-225-12 Luis Felipe Velez and family, Colombia</w:t>
      </w:r>
    </w:p>
    <w:p w14:paraId="52F2CE0A" w14:textId="20502717" w:rsidR="0067161C" w:rsidRPr="00524435" w:rsidRDefault="0067161C" w:rsidP="0067161C">
      <w:pPr>
        <w:pStyle w:val="ListParagraph"/>
      </w:pPr>
      <w:r w:rsidRPr="00524435">
        <w:t xml:space="preserve">The IACHR admitted the petition presented by the relatives of Luis Felipe </w:t>
      </w:r>
      <w:proofErr w:type="spellStart"/>
      <w:r w:rsidRPr="00524435">
        <w:t>Vélez</w:t>
      </w:r>
      <w:proofErr w:type="spellEnd"/>
      <w:r w:rsidRPr="00524435">
        <w:t xml:space="preserve"> Herrera, a teacher, activist, and trade unionist whose murder in 1987 is attributed to agents of the security </w:t>
      </w:r>
      <w:proofErr w:type="gramStart"/>
      <w:r w:rsidRPr="00524435">
        <w:t>forces, and</w:t>
      </w:r>
      <w:proofErr w:type="gramEnd"/>
      <w:r w:rsidRPr="00524435">
        <w:t xml:space="preserve"> was reportedly part of a bloody pattern of violence against members of the Antioquia teachers' union (ADIDA) and teachers and students at the University of Antioquia, which continued for months following the murder with numerous other murders, threats, and persecutions. Reportedly, those acts formed part of the so-called "dirty war" against trade unionists, social leaders, and political opponents, and of the emergence of paramilitary organizations in Colombia; petitioners likewise protest the impunity still surrounding </w:t>
      </w:r>
      <w:proofErr w:type="spellStart"/>
      <w:r w:rsidRPr="00524435">
        <w:t>Vélez’s</w:t>
      </w:r>
      <w:proofErr w:type="spellEnd"/>
      <w:r w:rsidRPr="00524435">
        <w:t xml:space="preserve"> murder. The report declares the following rights admissible: to life, personal integrity, personal liberty, judicial guarantees, honor and dignity, freedom of thought and expression, freedom of association, family protection, and judicial protection.</w:t>
      </w:r>
    </w:p>
    <w:p w14:paraId="47D740EE" w14:textId="77777777" w:rsidR="0067161C" w:rsidRPr="003F238D" w:rsidRDefault="0067161C" w:rsidP="0067161C">
      <w:pPr>
        <w:pStyle w:val="ListParagraph"/>
        <w:numPr>
          <w:ilvl w:val="0"/>
          <w:numId w:val="0"/>
        </w:numPr>
        <w:ind w:left="720"/>
        <w:rPr>
          <w:b/>
          <w:bCs/>
          <w:lang w:val="es-US"/>
        </w:rPr>
      </w:pPr>
      <w:proofErr w:type="spellStart"/>
      <w:r w:rsidRPr="003F238D">
        <w:rPr>
          <w:b/>
          <w:lang w:val="es-US"/>
        </w:rPr>
        <w:t>Report</w:t>
      </w:r>
      <w:proofErr w:type="spellEnd"/>
      <w:r w:rsidRPr="003F238D">
        <w:rPr>
          <w:b/>
          <w:lang w:val="es-US"/>
        </w:rPr>
        <w:t xml:space="preserve"> No. 249/21, P-1185-17 Jorge Alberto Rodriguez Romero and Francisco Milton Romero Sequeira, El Salvador</w:t>
      </w:r>
    </w:p>
    <w:p w14:paraId="27E2C87F" w14:textId="78BFEF06" w:rsidR="0067161C" w:rsidRPr="00524435" w:rsidRDefault="0067161C" w:rsidP="0067161C">
      <w:pPr>
        <w:pStyle w:val="ListParagraph"/>
      </w:pPr>
      <w:r w:rsidRPr="00524435">
        <w:t xml:space="preserve">The petitioner Jimmy Francisco Ortiz Rodríguez claims that his rights and those of his relatives were violated by the Salvadoran State due to the forced disappearance of the brothers Jorge Alberto Rodríguez Romero and Francisco Milton Romero </w:t>
      </w:r>
      <w:proofErr w:type="spellStart"/>
      <w:r w:rsidRPr="00524435">
        <w:t>Sequeira</w:t>
      </w:r>
      <w:proofErr w:type="spellEnd"/>
      <w:r w:rsidRPr="00524435">
        <w:t xml:space="preserve"> during the armed conflict in that country; and due to the lack of a proper investigation and punishment of the facts, perpetrated forty years ago. He indicates that the disappearance of the youths was attributed to the Armed Forces of El Salvador following the granting of a habeas corpus nearly in favor of the youths on January 4, </w:t>
      </w:r>
      <w:proofErr w:type="gramStart"/>
      <w:r w:rsidRPr="00524435">
        <w:t>2016</w:t>
      </w:r>
      <w:proofErr w:type="gramEnd"/>
      <w:r w:rsidRPr="00524435">
        <w:t xml:space="preserve"> by the Supreme Court of Justice. Likewise, on November 25, 2016, the Office of the Human Rights Ombudsman issued a resolution declaring the forced disappearance of the two young men and classifying it as a crime against humanity. The petitioner concludes that the State has no interest in conducting a serious investigation, which would explain the unwarranted delay. The report concludes that this constitutes</w:t>
      </w:r>
      <w:r w:rsidR="006D5F49" w:rsidRPr="00524435">
        <w:t xml:space="preserve"> </w:t>
      </w:r>
      <w:r w:rsidRPr="00524435">
        <w:t xml:space="preserve">the exception established in Article 46.2(c) of the American Convention and the possible violation of the rights recognized in Articles 3, 4, 5, 7, 8, 11, 24 and 25 of the Convention.  </w:t>
      </w:r>
    </w:p>
    <w:p w14:paraId="42328867" w14:textId="77777777" w:rsidR="0067161C" w:rsidRPr="003F238D" w:rsidRDefault="0067161C" w:rsidP="0067161C">
      <w:pPr>
        <w:pStyle w:val="ListParagraph"/>
        <w:numPr>
          <w:ilvl w:val="0"/>
          <w:numId w:val="0"/>
        </w:numPr>
        <w:ind w:left="720"/>
        <w:rPr>
          <w:b/>
          <w:bCs/>
          <w:lang w:val="es-US"/>
        </w:rPr>
      </w:pPr>
      <w:proofErr w:type="spellStart"/>
      <w:r w:rsidRPr="003F238D">
        <w:rPr>
          <w:b/>
          <w:lang w:val="es-US"/>
        </w:rPr>
        <w:t>Report</w:t>
      </w:r>
      <w:proofErr w:type="spellEnd"/>
      <w:r w:rsidRPr="003F238D">
        <w:rPr>
          <w:b/>
          <w:lang w:val="es-US"/>
        </w:rPr>
        <w:t xml:space="preserve"> No. 126/21, P-1529-13 Agustín Román Sánchez et al, Guatemala</w:t>
      </w:r>
    </w:p>
    <w:p w14:paraId="27A7B036" w14:textId="77777777" w:rsidR="0067161C" w:rsidRPr="00524435" w:rsidRDefault="0067161C" w:rsidP="0067161C">
      <w:pPr>
        <w:pStyle w:val="ListParagraph"/>
      </w:pPr>
      <w:r w:rsidRPr="00524435">
        <w:t xml:space="preserve">The complaint alleges that the </w:t>
      </w:r>
      <w:proofErr w:type="spellStart"/>
      <w:r w:rsidRPr="00524435">
        <w:t>Achí</w:t>
      </w:r>
      <w:proofErr w:type="spellEnd"/>
      <w:r w:rsidRPr="00524435">
        <w:t xml:space="preserve"> Mayan linguistic community had to move (i.e., be displaced) due to the extermination plan against it based on ethnicity by state agents in the context of the armed conflict in Guatemala. The petition was filed by the Association for the Integral Development of Victims in the </w:t>
      </w:r>
      <w:proofErr w:type="spellStart"/>
      <w:r w:rsidRPr="00524435">
        <w:t>Verapaces</w:t>
      </w:r>
      <w:proofErr w:type="spellEnd"/>
      <w:r w:rsidRPr="00524435">
        <w:t xml:space="preserve"> Maya </w:t>
      </w:r>
      <w:proofErr w:type="spellStart"/>
      <w:r w:rsidRPr="00524435">
        <w:t>Achí</w:t>
      </w:r>
      <w:proofErr w:type="spellEnd"/>
      <w:r w:rsidRPr="00524435">
        <w:t xml:space="preserve"> on behalf of eighty-one survivors of those events, nine of whom are now deceased. The main issue before the IACHR, to be resolved in the merits stage, consists of determining whether the recognition and return of the alleged victims to their territory is in harmony with applicable Inter-American standards; and whether the Guatemalan justice system has complied with its duty to investigate, </w:t>
      </w:r>
      <w:proofErr w:type="gramStart"/>
      <w:r w:rsidRPr="00524435">
        <w:t>punish</w:t>
      </w:r>
      <w:proofErr w:type="gramEnd"/>
      <w:r w:rsidRPr="00524435">
        <w:t xml:space="preserve"> and provide reparation, in a manner compatible with the American Convention. </w:t>
      </w:r>
    </w:p>
    <w:p w14:paraId="2A2106F4" w14:textId="77777777" w:rsidR="000A2CF2" w:rsidRPr="00524435" w:rsidRDefault="000A2CF2">
      <w:pPr>
        <w:rPr>
          <w:rFonts w:ascii="Cambria" w:eastAsia="Calibri" w:hAnsi="Cambria" w:cs="Calibri"/>
          <w:b/>
          <w:sz w:val="20"/>
          <w:szCs w:val="20"/>
        </w:rPr>
      </w:pPr>
      <w:r w:rsidRPr="00524435">
        <w:rPr>
          <w:rFonts w:ascii="Cambria" w:hAnsi="Cambria"/>
          <w:b/>
        </w:rPr>
        <w:br w:type="page"/>
      </w:r>
    </w:p>
    <w:p w14:paraId="671FC475" w14:textId="764AAECE" w:rsidR="0067161C" w:rsidRPr="00524435" w:rsidRDefault="0067161C" w:rsidP="0067161C">
      <w:pPr>
        <w:pStyle w:val="ListParagraph"/>
        <w:numPr>
          <w:ilvl w:val="0"/>
          <w:numId w:val="0"/>
        </w:numPr>
        <w:ind w:left="720"/>
        <w:rPr>
          <w:b/>
          <w:bCs/>
        </w:rPr>
      </w:pPr>
      <w:r w:rsidRPr="00524435">
        <w:rPr>
          <w:b/>
        </w:rPr>
        <w:lastRenderedPageBreak/>
        <w:t xml:space="preserve">Report No. 187/21, P-457-13 Gemma </w:t>
      </w:r>
      <w:proofErr w:type="spellStart"/>
      <w:r w:rsidRPr="00524435">
        <w:rPr>
          <w:b/>
        </w:rPr>
        <w:t>Mávil</w:t>
      </w:r>
      <w:proofErr w:type="spellEnd"/>
      <w:r w:rsidRPr="00524435">
        <w:rPr>
          <w:b/>
        </w:rPr>
        <w:t xml:space="preserve"> Hernández and family members, Mexico </w:t>
      </w:r>
    </w:p>
    <w:p w14:paraId="48C0A93A" w14:textId="77777777" w:rsidR="0067161C" w:rsidRPr="00524435" w:rsidRDefault="0067161C" w:rsidP="0067161C">
      <w:pPr>
        <w:pStyle w:val="ListParagraph"/>
      </w:pPr>
      <w:r w:rsidRPr="00524435">
        <w:t>The case refers to the kidnapping for ransom of a young woman, as well as the lack of due diligence in the investigation of the facts, the disappearance of her remains, and the impunity regarding her alleged rape and femicide. The young woman was allegedly kidnapped in May 2011, after which her father was asked to pay for her release. The petitioner alleges that the facts were reported to the authorities, but that the Public Prosecutors' Office was negligent in releasing several persons captured in connection with the extortion. In August 2011, the remains of the young woman were found by the Public Prosecutors' Office and subsequently lost. The admissibility report reiterates the standards of enhanced due diligence in contexts of violence and the forced disappearance of women in Mexico. The Inter-American Commission will analyze in the merits stage the allegations regarding violation of the rights recognized in Articles 4, 5, 7, 8, 17, 24, and 25 of the American Convention.</w:t>
      </w:r>
    </w:p>
    <w:p w14:paraId="2228DF0D" w14:textId="6E976B89" w:rsidR="0067161C" w:rsidRPr="00524435" w:rsidRDefault="0067161C" w:rsidP="0067161C">
      <w:pPr>
        <w:pStyle w:val="ListParagraph"/>
        <w:numPr>
          <w:ilvl w:val="0"/>
          <w:numId w:val="0"/>
        </w:numPr>
        <w:ind w:left="720"/>
        <w:rPr>
          <w:b/>
          <w:bCs/>
        </w:rPr>
      </w:pPr>
      <w:r w:rsidRPr="00524435">
        <w:rPr>
          <w:b/>
        </w:rPr>
        <w:t xml:space="preserve">Report No. </w:t>
      </w:r>
      <w:r w:rsidR="006D5B45" w:rsidRPr="00524435">
        <w:rPr>
          <w:b/>
        </w:rPr>
        <w:t>279</w:t>
      </w:r>
      <w:r w:rsidRPr="00524435">
        <w:rPr>
          <w:b/>
        </w:rPr>
        <w:t xml:space="preserve">/21, P-2106-12 Three communities of the </w:t>
      </w:r>
      <w:proofErr w:type="spellStart"/>
      <w:r w:rsidRPr="00524435">
        <w:rPr>
          <w:b/>
        </w:rPr>
        <w:t>Rarámuri</w:t>
      </w:r>
      <w:proofErr w:type="spellEnd"/>
      <w:r w:rsidRPr="00524435">
        <w:rPr>
          <w:b/>
        </w:rPr>
        <w:t xml:space="preserve"> Indigenous People, Mexico</w:t>
      </w:r>
    </w:p>
    <w:p w14:paraId="1501CC6B" w14:textId="77777777" w:rsidR="0067161C" w:rsidRPr="00524435" w:rsidRDefault="0067161C" w:rsidP="0067161C">
      <w:pPr>
        <w:pStyle w:val="ListParagraph"/>
      </w:pPr>
      <w:r w:rsidRPr="00524435">
        <w:t xml:space="preserve">The IACHR admitted the complaint filed by three communities of the </w:t>
      </w:r>
      <w:proofErr w:type="spellStart"/>
      <w:r w:rsidRPr="00524435">
        <w:t>Rarámuri</w:t>
      </w:r>
      <w:proofErr w:type="spellEnd"/>
      <w:r w:rsidRPr="00524435">
        <w:t xml:space="preserve"> Indigenous People of Chihuahua alleging the implementation of a tourism project in their ancestral territory, without due prior consultation, as well as environmental damage due to the contamination of water wells for domestic use. The report analyzes the appeals filed by each of the communities with respect to the three main claims: lack of recognition and titling of indigenous collective property, lack of prior consultation, and lack of potable water. The Inter-American Commission finds that the exception of lack of due process of law with respect to the titling of the property is applicable. It also analyzes the creation of the Regional Advisory Council in the context of an amparo proceeding, reiterates the Inter-American standards on prior consultation and the right to water and a healthy environment, and concludes that there is still a controversy regarding compliance with those standards in the specific case.</w:t>
      </w:r>
    </w:p>
    <w:p w14:paraId="010BDE6C" w14:textId="06831F9F" w:rsidR="0067161C" w:rsidRPr="007A5442" w:rsidRDefault="0067161C" w:rsidP="0067161C">
      <w:pPr>
        <w:pStyle w:val="ListParagraph"/>
        <w:numPr>
          <w:ilvl w:val="0"/>
          <w:numId w:val="0"/>
        </w:numPr>
        <w:ind w:left="720"/>
        <w:rPr>
          <w:b/>
          <w:bCs/>
          <w:lang w:val="pt-PT"/>
        </w:rPr>
      </w:pPr>
      <w:r w:rsidRPr="007A5442">
        <w:rPr>
          <w:b/>
          <w:lang w:val="pt-PT"/>
        </w:rPr>
        <w:t xml:space="preserve">Report No. </w:t>
      </w:r>
      <w:r w:rsidR="006D5B45" w:rsidRPr="007A5442">
        <w:rPr>
          <w:b/>
          <w:lang w:val="pt-PT"/>
        </w:rPr>
        <w:t>278</w:t>
      </w:r>
      <w:r w:rsidRPr="007A5442">
        <w:rPr>
          <w:b/>
          <w:lang w:val="pt-PT"/>
        </w:rPr>
        <w:t>/21, P-1234-18 Ángel Eduardo Gahona López, Nicaragua</w:t>
      </w:r>
    </w:p>
    <w:p w14:paraId="3F607587" w14:textId="77777777" w:rsidR="0067161C" w:rsidRPr="00524435" w:rsidRDefault="0067161C" w:rsidP="0067161C">
      <w:pPr>
        <w:pStyle w:val="ListParagraph"/>
      </w:pPr>
      <w:r w:rsidRPr="00524435">
        <w:t xml:space="preserve">The case concerns the lack of effective investigation into the murder of journalist </w:t>
      </w:r>
      <w:proofErr w:type="spellStart"/>
      <w:r w:rsidRPr="00524435">
        <w:t>Ángel</w:t>
      </w:r>
      <w:proofErr w:type="spellEnd"/>
      <w:r w:rsidRPr="00524435">
        <w:t xml:space="preserve"> Eduardo </w:t>
      </w:r>
      <w:proofErr w:type="spellStart"/>
      <w:r w:rsidRPr="00524435">
        <w:t>Gahona</w:t>
      </w:r>
      <w:proofErr w:type="spellEnd"/>
      <w:r w:rsidRPr="00524435">
        <w:t xml:space="preserve"> López in connection with police repressions of protests carried out in Nicaragua in 2018. Although criminal proceedings were initiated against two demonstrators who were present at the time, the petitioner points out that the evidence suggests that the pellet that caused the journalist's death was fired by police officers. The Nicaraguan State affirms that investigations were carried out to clarify the facts, and that no evidence was found showing that the death had been caused by police officers. The main problem to be resolved by the IACHR at the merits stage consists of determining whether the investigations conducted by the State to throw light on the facts are compatible with Inter-American standards. </w:t>
      </w:r>
    </w:p>
    <w:p w14:paraId="7289A0E5" w14:textId="51CD61A1" w:rsidR="0067161C" w:rsidRPr="00524435" w:rsidRDefault="0067161C" w:rsidP="0067161C">
      <w:pPr>
        <w:pStyle w:val="ListParagraph"/>
        <w:numPr>
          <w:ilvl w:val="0"/>
          <w:numId w:val="0"/>
        </w:numPr>
        <w:ind w:left="720"/>
        <w:rPr>
          <w:b/>
          <w:bCs/>
        </w:rPr>
      </w:pPr>
      <w:r w:rsidRPr="00524435">
        <w:rPr>
          <w:b/>
        </w:rPr>
        <w:t xml:space="preserve">Report No. </w:t>
      </w:r>
      <w:r w:rsidR="006D5B45" w:rsidRPr="00524435">
        <w:rPr>
          <w:b/>
        </w:rPr>
        <w:t>322</w:t>
      </w:r>
      <w:r w:rsidRPr="00524435">
        <w:rPr>
          <w:b/>
        </w:rPr>
        <w:t>/21, P-1108-20 Members of CENIDH, Nicaragua</w:t>
      </w:r>
    </w:p>
    <w:p w14:paraId="2C2F4DD5" w14:textId="47A5B35C" w:rsidR="00F549CA" w:rsidRPr="00524435" w:rsidRDefault="0067161C" w:rsidP="0067161C">
      <w:pPr>
        <w:pStyle w:val="ListParagraph"/>
      </w:pPr>
      <w:r w:rsidRPr="00524435">
        <w:t xml:space="preserve">The petition refers to the continuous threats, harassment, </w:t>
      </w:r>
      <w:proofErr w:type="gramStart"/>
      <w:r w:rsidRPr="00524435">
        <w:t>criminalization</w:t>
      </w:r>
      <w:proofErr w:type="gramEnd"/>
      <w:r w:rsidRPr="00524435">
        <w:t xml:space="preserve"> and attacks against members of the Nicaraguan Center for Human Rights (CENIDH) for their role as human rights defenders in that country. It also denounces the arbitrary cancellation of that organization’s legal standing, as well the raid and robbery perpetrated in its facilities, as a kind of revenge for defending victims of human rights violations. The attacks on CENIDH reportedly increased </w:t>
      </w:r>
      <w:proofErr w:type="gramStart"/>
      <w:r w:rsidRPr="00524435">
        <w:t>as a result of</w:t>
      </w:r>
      <w:proofErr w:type="gramEnd"/>
      <w:r w:rsidRPr="00524435">
        <w:t xml:space="preserve"> the repression of demonstrators, journalists, and human rights defenders in connection with the protests in the country in 2018. The State claims that the cancellation of CENIDH’s status as a legal entity was due to its noncompliance with specific requirements established in Nicaraguan law. At the merits stage, the Commission will seek to determine whether any form of protest by society in general, and human </w:t>
      </w:r>
      <w:proofErr w:type="gramStart"/>
      <w:r w:rsidRPr="00524435">
        <w:t>rights defenders in particular, has</w:t>
      </w:r>
      <w:proofErr w:type="gramEnd"/>
      <w:r w:rsidRPr="00524435">
        <w:t xml:space="preserve"> been criminalized and prosecuted.</w:t>
      </w:r>
    </w:p>
    <w:p w14:paraId="0C858B46" w14:textId="0F9A1E79" w:rsidR="00977CC8" w:rsidRPr="00524435" w:rsidRDefault="00977CC8" w:rsidP="0009324C">
      <w:pPr>
        <w:pStyle w:val="Heading1"/>
        <w:numPr>
          <w:ilvl w:val="0"/>
          <w:numId w:val="10"/>
        </w:numPr>
      </w:pPr>
      <w:r w:rsidRPr="00524435">
        <w:t xml:space="preserve">Admissibility and inadmissibility decisions and </w:t>
      </w:r>
      <w:r w:rsidR="00622342" w:rsidRPr="00524435">
        <w:t>archiving</w:t>
      </w:r>
    </w:p>
    <w:p w14:paraId="7A3CAF3A" w14:textId="7CE47F50" w:rsidR="00977CC8" w:rsidRPr="00524435" w:rsidRDefault="00977CC8" w:rsidP="004F6572">
      <w:pPr>
        <w:pStyle w:val="ListParagraph"/>
      </w:pPr>
      <w:r w:rsidRPr="00524435">
        <w:t xml:space="preserve">This section contains a total of </w:t>
      </w:r>
      <w:r w:rsidR="000A2CF2" w:rsidRPr="00524435">
        <w:t xml:space="preserve">345 </w:t>
      </w:r>
      <w:r w:rsidR="00622342" w:rsidRPr="00524435">
        <w:t>reports</w:t>
      </w:r>
      <w:r w:rsidR="000A2CF2" w:rsidRPr="00524435">
        <w:t xml:space="preserve"> on</w:t>
      </w:r>
      <w:r w:rsidRPr="00524435">
        <w:t xml:space="preserve"> </w:t>
      </w:r>
      <w:proofErr w:type="gramStart"/>
      <w:r w:rsidRPr="00524435">
        <w:t>admissibility;</w:t>
      </w:r>
      <w:proofErr w:type="gramEnd"/>
      <w:r w:rsidRPr="00524435">
        <w:t xml:space="preserve"> </w:t>
      </w:r>
      <w:r w:rsidR="000A2CF2" w:rsidRPr="00524435">
        <w:t xml:space="preserve">264 admissibility </w:t>
      </w:r>
      <w:r w:rsidRPr="00524435">
        <w:t xml:space="preserve">and </w:t>
      </w:r>
      <w:r w:rsidR="006D5B45" w:rsidRPr="00524435">
        <w:t>81</w:t>
      </w:r>
      <w:r w:rsidRPr="00524435">
        <w:t xml:space="preserve"> inadmissibility reports. It also contains a list of </w:t>
      </w:r>
      <w:r w:rsidR="006D5B45" w:rsidRPr="00524435">
        <w:t>183</w:t>
      </w:r>
      <w:r w:rsidRPr="00524435">
        <w:t xml:space="preserve"> petitions and cases archived by the IACHR.</w:t>
      </w:r>
    </w:p>
    <w:p w14:paraId="00BC6946" w14:textId="06D764F7" w:rsidR="0067161C" w:rsidRPr="00524435" w:rsidRDefault="0067161C" w:rsidP="00E82663">
      <w:pPr>
        <w:pStyle w:val="Heading3"/>
        <w:numPr>
          <w:ilvl w:val="0"/>
          <w:numId w:val="11"/>
        </w:numPr>
      </w:pPr>
      <w:r w:rsidRPr="00524435">
        <w:lastRenderedPageBreak/>
        <w:t>Admissibility reports</w:t>
      </w:r>
    </w:p>
    <w:p w14:paraId="1BDCF511" w14:textId="3393CB75"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10/21, Petition 632-13, Marianela </w:t>
      </w:r>
      <w:proofErr w:type="spellStart"/>
      <w:r w:rsidRPr="00524435">
        <w:t>Jesica</w:t>
      </w:r>
      <w:proofErr w:type="spellEnd"/>
      <w:r w:rsidRPr="00524435">
        <w:t xml:space="preserve"> </w:t>
      </w:r>
      <w:proofErr w:type="spellStart"/>
      <w:r w:rsidRPr="00524435">
        <w:t>Villafañe</w:t>
      </w:r>
      <w:proofErr w:type="spellEnd"/>
      <w:r w:rsidRPr="00524435">
        <w:t xml:space="preserve"> </w:t>
      </w:r>
      <w:r w:rsidR="00922DF3" w:rsidRPr="00524435">
        <w:t>and relatives</w:t>
      </w:r>
      <w:r w:rsidRPr="00524435">
        <w:t xml:space="preserve"> (Argentina)</w:t>
      </w:r>
    </w:p>
    <w:p w14:paraId="06B248F9" w14:textId="003A942B"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25/21, Petition 673-09, Claudio Alberto </w:t>
      </w:r>
      <w:proofErr w:type="spellStart"/>
      <w:r w:rsidRPr="00524435">
        <w:t>Ogolma</w:t>
      </w:r>
      <w:proofErr w:type="spellEnd"/>
      <w:r w:rsidRPr="00524435">
        <w:t xml:space="preserve"> </w:t>
      </w:r>
      <w:r w:rsidR="00922DF3" w:rsidRPr="00524435">
        <w:t>and family</w:t>
      </w:r>
      <w:r w:rsidRPr="00524435">
        <w:t xml:space="preserve"> (Argentina)</w:t>
      </w:r>
    </w:p>
    <w:p w14:paraId="00A629FD" w14:textId="5BAE1D73"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26/21, Petition 187-11, Roque Sebastián Villagra </w:t>
      </w:r>
      <w:r w:rsidR="00922DF3" w:rsidRPr="00524435">
        <w:t>and family</w:t>
      </w:r>
      <w:r w:rsidRPr="00524435">
        <w:t xml:space="preserve"> (Argentina)</w:t>
      </w:r>
    </w:p>
    <w:p w14:paraId="01A584DD" w14:textId="09906AFE"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44/21, </w:t>
      </w:r>
      <w:proofErr w:type="spellStart"/>
      <w:r w:rsidRPr="003F238D">
        <w:rPr>
          <w:lang w:val="es-US"/>
        </w:rPr>
        <w:t>Petition</w:t>
      </w:r>
      <w:proofErr w:type="spellEnd"/>
      <w:r w:rsidRPr="003F238D">
        <w:rPr>
          <w:lang w:val="es-US"/>
        </w:rPr>
        <w:t xml:space="preserve"> 1522-11, Esteban Braulio Bravo (Argentina)</w:t>
      </w:r>
    </w:p>
    <w:p w14:paraId="45E6BD5F" w14:textId="1CCC285C"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57/21, </w:t>
      </w:r>
      <w:proofErr w:type="spellStart"/>
      <w:r w:rsidRPr="003F238D">
        <w:rPr>
          <w:lang w:val="es-US"/>
        </w:rPr>
        <w:t>Petition</w:t>
      </w:r>
      <w:proofErr w:type="spellEnd"/>
      <w:r w:rsidRPr="003F238D">
        <w:rPr>
          <w:lang w:val="es-US"/>
        </w:rPr>
        <w:t xml:space="preserve"> 2185-12, Celia de los Ángeles Martínez Chao </w:t>
      </w:r>
      <w:r w:rsidR="00922DF3" w:rsidRPr="003F238D">
        <w:rPr>
          <w:lang w:val="es-US"/>
        </w:rPr>
        <w:t>and</w:t>
      </w:r>
      <w:r w:rsidRPr="003F238D">
        <w:rPr>
          <w:lang w:val="es-US"/>
        </w:rPr>
        <w:t xml:space="preserve"> Priscilla de las Nieves Guido Martínez (Argentina)</w:t>
      </w:r>
    </w:p>
    <w:p w14:paraId="3FFBB57F" w14:textId="36DD6BC3" w:rsidR="002B0ECE" w:rsidRPr="007A5442" w:rsidRDefault="002B0ECE" w:rsidP="0009324C">
      <w:pPr>
        <w:pStyle w:val="ListParagraph"/>
        <w:numPr>
          <w:ilvl w:val="0"/>
          <w:numId w:val="12"/>
        </w:numPr>
        <w:spacing w:after="0"/>
        <w:ind w:left="1260" w:hanging="540"/>
        <w:rPr>
          <w:rFonts w:eastAsiaTheme="minorHAnsi" w:cstheme="minorBidi"/>
          <w:lang w:val="pt-PT"/>
        </w:rPr>
      </w:pPr>
      <w:r w:rsidRPr="007A5442">
        <w:rPr>
          <w:lang w:val="pt-PT"/>
        </w:rPr>
        <w:t>Report No. 58/21, Petition 1548-10, Eduardo Hugo Molina Zequeira (Argentina)</w:t>
      </w:r>
    </w:p>
    <w:p w14:paraId="366E9B69" w14:textId="1683ADF3"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104/21, </w:t>
      </w:r>
      <w:proofErr w:type="spellStart"/>
      <w:r w:rsidRPr="003F238D">
        <w:rPr>
          <w:lang w:val="es-US"/>
        </w:rPr>
        <w:t>Petition</w:t>
      </w:r>
      <w:proofErr w:type="spellEnd"/>
      <w:r w:rsidRPr="003F238D">
        <w:rPr>
          <w:lang w:val="es-US"/>
        </w:rPr>
        <w:t xml:space="preserve"> 1331-08, Alejandro Marcos Cerviño (Argentina)</w:t>
      </w:r>
    </w:p>
    <w:p w14:paraId="4C4CCF8E" w14:textId="3F22E800"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172/21, </w:t>
      </w:r>
      <w:proofErr w:type="spellStart"/>
      <w:r w:rsidRPr="003F238D">
        <w:rPr>
          <w:lang w:val="es-US"/>
        </w:rPr>
        <w:t>Petition</w:t>
      </w:r>
      <w:proofErr w:type="spellEnd"/>
      <w:r w:rsidRPr="003F238D">
        <w:rPr>
          <w:lang w:val="es-US"/>
        </w:rPr>
        <w:t xml:space="preserve"> 334-09, Diego Gabriel Lizardo (Argentina)</w:t>
      </w:r>
    </w:p>
    <w:p w14:paraId="39C34E35" w14:textId="442BC465"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173/21, Petition 1365-09, Vicente </w:t>
      </w:r>
      <w:proofErr w:type="spellStart"/>
      <w:r w:rsidRPr="00524435">
        <w:t>Zizzetta</w:t>
      </w:r>
      <w:proofErr w:type="spellEnd"/>
      <w:r w:rsidRPr="00524435">
        <w:t xml:space="preserve"> (Argentina)</w:t>
      </w:r>
    </w:p>
    <w:p w14:paraId="149C1602" w14:textId="2B661E5E" w:rsidR="002B0ECE" w:rsidRPr="00524435" w:rsidRDefault="002B0ECE" w:rsidP="0009324C">
      <w:pPr>
        <w:pStyle w:val="ListParagraph"/>
        <w:numPr>
          <w:ilvl w:val="0"/>
          <w:numId w:val="12"/>
        </w:numPr>
        <w:spacing w:after="0"/>
        <w:ind w:left="1260" w:hanging="540"/>
        <w:rPr>
          <w:rFonts w:eastAsiaTheme="minorHAnsi" w:cstheme="minorBidi"/>
        </w:rPr>
      </w:pPr>
      <w:r w:rsidRPr="00524435">
        <w:t>Report No. 175/21, Petition 655-09, Gustavo Fabián Cardozo (Argentina)</w:t>
      </w:r>
    </w:p>
    <w:p w14:paraId="4304FA88" w14:textId="3E69F843"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189/21, </w:t>
      </w:r>
      <w:proofErr w:type="spellStart"/>
      <w:r w:rsidRPr="003F238D">
        <w:rPr>
          <w:lang w:val="es-US"/>
        </w:rPr>
        <w:t>Petition</w:t>
      </w:r>
      <w:proofErr w:type="spellEnd"/>
      <w:r w:rsidRPr="003F238D">
        <w:rPr>
          <w:lang w:val="es-US"/>
        </w:rPr>
        <w:t xml:space="preserve"> 1359-10, Carlos Arias Ordóñez (Argentina)</w:t>
      </w:r>
    </w:p>
    <w:p w14:paraId="310C08E7" w14:textId="1CBC2B91"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190/21, Petition 1516-10, Mariano </w:t>
      </w:r>
      <w:proofErr w:type="spellStart"/>
      <w:r w:rsidRPr="00524435">
        <w:t>Bejarano</w:t>
      </w:r>
      <w:proofErr w:type="spellEnd"/>
      <w:r w:rsidRPr="00524435">
        <w:t xml:space="preserve"> (Argentina)</w:t>
      </w:r>
    </w:p>
    <w:p w14:paraId="35BE430F" w14:textId="65934EBA" w:rsidR="002B0ECE" w:rsidRPr="00524435" w:rsidRDefault="002B0ECE" w:rsidP="0009324C">
      <w:pPr>
        <w:pStyle w:val="ListParagraph"/>
        <w:numPr>
          <w:ilvl w:val="0"/>
          <w:numId w:val="12"/>
        </w:numPr>
        <w:spacing w:after="0"/>
        <w:ind w:left="1260" w:hanging="540"/>
        <w:rPr>
          <w:rFonts w:eastAsiaTheme="minorHAnsi" w:cstheme="minorBidi"/>
        </w:rPr>
      </w:pPr>
      <w:proofErr w:type="spellStart"/>
      <w:r w:rsidRPr="003F238D">
        <w:rPr>
          <w:lang w:val="es-US"/>
        </w:rPr>
        <w:t>Report</w:t>
      </w:r>
      <w:proofErr w:type="spellEnd"/>
      <w:r w:rsidRPr="003F238D">
        <w:rPr>
          <w:lang w:val="es-US"/>
        </w:rPr>
        <w:t xml:space="preserve"> No. 211/21, </w:t>
      </w:r>
      <w:proofErr w:type="spellStart"/>
      <w:r w:rsidRPr="003F238D">
        <w:rPr>
          <w:lang w:val="es-US"/>
        </w:rPr>
        <w:t>Petition</w:t>
      </w:r>
      <w:proofErr w:type="spellEnd"/>
      <w:r w:rsidRPr="003F238D">
        <w:rPr>
          <w:lang w:val="es-US"/>
        </w:rPr>
        <w:t xml:space="preserve"> 1476-13, Graciela Antonia </w:t>
      </w:r>
      <w:proofErr w:type="spellStart"/>
      <w:r w:rsidRPr="003F238D">
        <w:rPr>
          <w:lang w:val="es-US"/>
        </w:rPr>
        <w:t>Kozache</w:t>
      </w:r>
      <w:proofErr w:type="spellEnd"/>
      <w:r w:rsidRPr="003F238D">
        <w:rPr>
          <w:lang w:val="es-US"/>
        </w:rPr>
        <w:t xml:space="preserve"> </w:t>
      </w:r>
      <w:r w:rsidR="00922DF3" w:rsidRPr="003F238D">
        <w:rPr>
          <w:lang w:val="es-US"/>
        </w:rPr>
        <w:t>et al.</w:t>
      </w:r>
      <w:r w:rsidRPr="003F238D">
        <w:rPr>
          <w:lang w:val="es-US"/>
        </w:rPr>
        <w:t xml:space="preserve"> </w:t>
      </w:r>
      <w:r w:rsidRPr="00524435">
        <w:t>(Argentina)</w:t>
      </w:r>
    </w:p>
    <w:p w14:paraId="5F1F78AE" w14:textId="3A50A1AB" w:rsidR="002B0ECE" w:rsidRPr="00524435" w:rsidRDefault="002B0ECE" w:rsidP="0009324C">
      <w:pPr>
        <w:pStyle w:val="ListParagraph"/>
        <w:numPr>
          <w:ilvl w:val="0"/>
          <w:numId w:val="12"/>
        </w:numPr>
        <w:spacing w:after="0"/>
        <w:ind w:left="1260" w:hanging="540"/>
        <w:rPr>
          <w:rFonts w:eastAsiaTheme="minorHAnsi" w:cstheme="minorBidi"/>
        </w:rPr>
      </w:pPr>
      <w:r w:rsidRPr="00524435">
        <w:t>Report No. 235/21, Petition 1507-10, Francisco Samuel Naishtat (Argentina)</w:t>
      </w:r>
    </w:p>
    <w:p w14:paraId="55658A12" w14:textId="1BA95FEC" w:rsidR="002B0ECE" w:rsidRPr="00524435" w:rsidRDefault="002B0ECE" w:rsidP="0009324C">
      <w:pPr>
        <w:pStyle w:val="ListParagraph"/>
        <w:numPr>
          <w:ilvl w:val="0"/>
          <w:numId w:val="12"/>
        </w:numPr>
        <w:spacing w:after="0"/>
        <w:ind w:left="1260" w:hanging="540"/>
        <w:rPr>
          <w:rFonts w:eastAsiaTheme="minorHAnsi" w:cstheme="minorBidi"/>
        </w:rPr>
      </w:pPr>
      <w:r w:rsidRPr="00524435">
        <w:t>Report No. 270/21, Petition 1222-10, Mary Beatriz Guerra Peña (Argentina)</w:t>
      </w:r>
    </w:p>
    <w:p w14:paraId="336EACBB" w14:textId="460C80CD"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280/21, Petition 345-15, </w:t>
      </w:r>
      <w:proofErr w:type="spellStart"/>
      <w:r w:rsidRPr="00524435">
        <w:t>Praxedes</w:t>
      </w:r>
      <w:proofErr w:type="spellEnd"/>
      <w:r w:rsidRPr="00524435">
        <w:t xml:space="preserve"> </w:t>
      </w:r>
      <w:proofErr w:type="spellStart"/>
      <w:r w:rsidRPr="00524435">
        <w:t>Candelmo</w:t>
      </w:r>
      <w:proofErr w:type="spellEnd"/>
      <w:r w:rsidRPr="00524435">
        <w:t xml:space="preserve"> Correa (Argentina)</w:t>
      </w:r>
    </w:p>
    <w:p w14:paraId="37E553C2" w14:textId="2C1D1668"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299/21, Petition 1781-10, Fanny Lea </w:t>
      </w:r>
      <w:proofErr w:type="spellStart"/>
      <w:r w:rsidRPr="00524435">
        <w:t>Mijalevich</w:t>
      </w:r>
      <w:proofErr w:type="spellEnd"/>
      <w:r w:rsidRPr="00524435">
        <w:t xml:space="preserve"> (Argentina)</w:t>
      </w:r>
    </w:p>
    <w:p w14:paraId="73CAFA70" w14:textId="3357BAD0"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300/21, Petition 19-11, Juana </w:t>
      </w:r>
      <w:proofErr w:type="spellStart"/>
      <w:r w:rsidRPr="00524435">
        <w:t>Belfer</w:t>
      </w:r>
      <w:proofErr w:type="spellEnd"/>
      <w:r w:rsidRPr="00524435">
        <w:t xml:space="preserve"> (Argentina)</w:t>
      </w:r>
    </w:p>
    <w:p w14:paraId="4CF68709" w14:textId="33C2B5ED" w:rsidR="002B0ECE" w:rsidRPr="00524435" w:rsidRDefault="002B0ECE" w:rsidP="0009324C">
      <w:pPr>
        <w:pStyle w:val="ListParagraph"/>
        <w:numPr>
          <w:ilvl w:val="0"/>
          <w:numId w:val="12"/>
        </w:numPr>
        <w:spacing w:after="0"/>
        <w:ind w:left="1260" w:hanging="540"/>
        <w:rPr>
          <w:rFonts w:eastAsiaTheme="minorHAnsi" w:cstheme="minorBidi"/>
        </w:rPr>
      </w:pPr>
      <w:r w:rsidRPr="00524435">
        <w:t>Report No. 301/21, Petition 107-11,</w:t>
      </w:r>
      <w:r w:rsidR="000A2CF2" w:rsidRPr="00524435">
        <w:t xml:space="preserve"> </w:t>
      </w:r>
      <w:r w:rsidRPr="00524435">
        <w:t xml:space="preserve">Claudia Laura Kleinman </w:t>
      </w:r>
      <w:r w:rsidR="00922DF3" w:rsidRPr="00524435">
        <w:t>and</w:t>
      </w:r>
      <w:r w:rsidRPr="00524435">
        <w:t xml:space="preserve"> Ana María Kleinman (Argentina)</w:t>
      </w:r>
    </w:p>
    <w:p w14:paraId="28A730EC" w14:textId="663926FD"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302/21, </w:t>
      </w:r>
      <w:proofErr w:type="spellStart"/>
      <w:r w:rsidRPr="003F238D">
        <w:rPr>
          <w:lang w:val="es-US"/>
        </w:rPr>
        <w:t>Petition</w:t>
      </w:r>
      <w:proofErr w:type="spellEnd"/>
      <w:r w:rsidRPr="003F238D">
        <w:rPr>
          <w:lang w:val="es-US"/>
        </w:rPr>
        <w:t xml:space="preserve"> 610-11, Alicia María </w:t>
      </w:r>
      <w:proofErr w:type="spellStart"/>
      <w:r w:rsidRPr="003F238D">
        <w:rPr>
          <w:lang w:val="es-US"/>
        </w:rPr>
        <w:t>Jardel</w:t>
      </w:r>
      <w:proofErr w:type="spellEnd"/>
      <w:r w:rsidRPr="003F238D">
        <w:rPr>
          <w:lang w:val="es-US"/>
        </w:rPr>
        <w:t xml:space="preserve"> (Argentina)</w:t>
      </w:r>
    </w:p>
    <w:p w14:paraId="310CA09B" w14:textId="5595AC1C"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303/21, Petition 1320-11, Lilia </w:t>
      </w:r>
      <w:proofErr w:type="spellStart"/>
      <w:r w:rsidRPr="00524435">
        <w:t>Etcheverry</w:t>
      </w:r>
      <w:proofErr w:type="spellEnd"/>
      <w:r w:rsidRPr="00524435">
        <w:t xml:space="preserve"> (</w:t>
      </w:r>
      <w:proofErr w:type="spellStart"/>
      <w:r w:rsidRPr="00524435">
        <w:t>Argenitna</w:t>
      </w:r>
      <w:proofErr w:type="spellEnd"/>
      <w:r w:rsidRPr="00524435">
        <w:t>)</w:t>
      </w:r>
    </w:p>
    <w:p w14:paraId="4C7A301A" w14:textId="7D55FA78"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304/21. Petition 1323-11, Graciela Edit </w:t>
      </w:r>
      <w:proofErr w:type="spellStart"/>
      <w:r w:rsidRPr="00524435">
        <w:t>Abecasis</w:t>
      </w:r>
      <w:proofErr w:type="spellEnd"/>
      <w:r w:rsidRPr="00524435">
        <w:t xml:space="preserve"> (Argentina)</w:t>
      </w:r>
    </w:p>
    <w:p w14:paraId="06942E77" w14:textId="732A063D" w:rsidR="002B0ECE" w:rsidRPr="00524435" w:rsidRDefault="002B0ECE" w:rsidP="0009324C">
      <w:pPr>
        <w:pStyle w:val="ListParagraph"/>
        <w:numPr>
          <w:ilvl w:val="0"/>
          <w:numId w:val="12"/>
        </w:numPr>
        <w:spacing w:after="0"/>
        <w:ind w:left="1260" w:hanging="540"/>
        <w:rPr>
          <w:rFonts w:eastAsiaTheme="minorHAnsi" w:cstheme="minorBidi"/>
        </w:rPr>
      </w:pPr>
      <w:r w:rsidRPr="00524435">
        <w:t>Report No. 305/21, Petition 1425-11, Álvaro Milburn Minelli (Argentina)</w:t>
      </w:r>
    </w:p>
    <w:p w14:paraId="7DC7369C" w14:textId="254CC9BE" w:rsidR="002B0ECE" w:rsidRPr="00DF0CD0" w:rsidRDefault="002B0ECE" w:rsidP="0009324C">
      <w:pPr>
        <w:pStyle w:val="ListParagraph"/>
        <w:numPr>
          <w:ilvl w:val="0"/>
          <w:numId w:val="12"/>
        </w:numPr>
        <w:spacing w:after="0"/>
        <w:ind w:left="1260" w:hanging="540"/>
        <w:rPr>
          <w:rFonts w:eastAsiaTheme="minorHAnsi" w:cstheme="minorBidi"/>
          <w:lang w:val="fr-CA"/>
        </w:rPr>
      </w:pPr>
      <w:r w:rsidRPr="00DF0CD0">
        <w:rPr>
          <w:lang w:val="fr-CA"/>
        </w:rPr>
        <w:t xml:space="preserve">Report No. 306/21, </w:t>
      </w:r>
      <w:proofErr w:type="spellStart"/>
      <w:r w:rsidRPr="00DF0CD0">
        <w:rPr>
          <w:lang w:val="fr-CA"/>
        </w:rPr>
        <w:t>Petition</w:t>
      </w:r>
      <w:proofErr w:type="spellEnd"/>
      <w:r w:rsidRPr="00DF0CD0">
        <w:rPr>
          <w:lang w:val="fr-CA"/>
        </w:rPr>
        <w:t xml:space="preserve"> 688-12, Carmen Sánchez </w:t>
      </w:r>
      <w:proofErr w:type="spellStart"/>
      <w:r w:rsidRPr="00DF0CD0">
        <w:rPr>
          <w:lang w:val="fr-CA"/>
        </w:rPr>
        <w:t>Sánchez</w:t>
      </w:r>
      <w:proofErr w:type="spellEnd"/>
      <w:r w:rsidRPr="00DF0CD0">
        <w:rPr>
          <w:lang w:val="fr-CA"/>
        </w:rPr>
        <w:t xml:space="preserve"> (Argentina)</w:t>
      </w:r>
    </w:p>
    <w:p w14:paraId="5E870564" w14:textId="087C53F5"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307/21, </w:t>
      </w:r>
      <w:proofErr w:type="spellStart"/>
      <w:r w:rsidRPr="003F238D">
        <w:rPr>
          <w:lang w:val="es-US"/>
        </w:rPr>
        <w:t>Petition</w:t>
      </w:r>
      <w:proofErr w:type="spellEnd"/>
      <w:r w:rsidRPr="003F238D">
        <w:rPr>
          <w:lang w:val="es-US"/>
        </w:rPr>
        <w:t xml:space="preserve"> 182-13, Luis Carlos </w:t>
      </w:r>
      <w:proofErr w:type="spellStart"/>
      <w:r w:rsidRPr="003F238D">
        <w:rPr>
          <w:lang w:val="es-US"/>
        </w:rPr>
        <w:t>Abregu</w:t>
      </w:r>
      <w:proofErr w:type="spellEnd"/>
      <w:r w:rsidRPr="003F238D">
        <w:rPr>
          <w:lang w:val="es-US"/>
        </w:rPr>
        <w:t xml:space="preserve"> (Argentina)</w:t>
      </w:r>
    </w:p>
    <w:p w14:paraId="7CE6BDF1" w14:textId="061A58CF"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315/21, Petition 1212-12, Antonio </w:t>
      </w:r>
      <w:proofErr w:type="gramStart"/>
      <w:r w:rsidRPr="00524435">
        <w:t>Quintana</w:t>
      </w:r>
      <w:proofErr w:type="gramEnd"/>
      <w:r w:rsidRPr="00524435">
        <w:t xml:space="preserve"> </w:t>
      </w:r>
      <w:r w:rsidR="00922DF3" w:rsidRPr="00524435">
        <w:t>and daughters</w:t>
      </w:r>
      <w:r w:rsidRPr="00524435">
        <w:t xml:space="preserve"> (Argentina)</w:t>
      </w:r>
    </w:p>
    <w:p w14:paraId="3B11C6FA" w14:textId="18DCBF43"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338/21, </w:t>
      </w:r>
      <w:proofErr w:type="spellStart"/>
      <w:r w:rsidRPr="003F238D">
        <w:rPr>
          <w:lang w:val="es-US"/>
        </w:rPr>
        <w:t>Petition</w:t>
      </w:r>
      <w:proofErr w:type="spellEnd"/>
      <w:r w:rsidRPr="003F238D">
        <w:rPr>
          <w:lang w:val="es-US"/>
        </w:rPr>
        <w:t xml:space="preserve"> 673-14, Ana María Salas (Argentina)</w:t>
      </w:r>
    </w:p>
    <w:p w14:paraId="340B4B8C" w14:textId="55DF74E9" w:rsidR="002B0ECE" w:rsidRPr="00524435" w:rsidRDefault="002B0ECE" w:rsidP="0009324C">
      <w:pPr>
        <w:pStyle w:val="ListParagraph"/>
        <w:numPr>
          <w:ilvl w:val="0"/>
          <w:numId w:val="12"/>
        </w:numPr>
        <w:spacing w:after="0"/>
        <w:ind w:left="1260" w:hanging="540"/>
        <w:rPr>
          <w:rFonts w:eastAsiaTheme="minorHAnsi" w:cstheme="minorBidi"/>
        </w:rPr>
      </w:pPr>
      <w:r w:rsidRPr="00524435">
        <w:t>Report No. 339/21, Petition 775-14, Ricardo Mirabile (Argentina)</w:t>
      </w:r>
    </w:p>
    <w:p w14:paraId="305E14D3" w14:textId="04DB40E3"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354/21, </w:t>
      </w:r>
      <w:proofErr w:type="spellStart"/>
      <w:r w:rsidRPr="003F238D">
        <w:rPr>
          <w:lang w:val="es-US"/>
        </w:rPr>
        <w:t>Petition</w:t>
      </w:r>
      <w:proofErr w:type="spellEnd"/>
      <w:r w:rsidRPr="003F238D">
        <w:rPr>
          <w:lang w:val="es-US"/>
        </w:rPr>
        <w:t xml:space="preserve"> 1310-14, Carlos Alberto Perlo (Argentina)</w:t>
      </w:r>
    </w:p>
    <w:p w14:paraId="2451A9C3" w14:textId="55D30B96"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409/21, Petition 1679-10, </w:t>
      </w:r>
      <w:proofErr w:type="spellStart"/>
      <w:r w:rsidRPr="00524435">
        <w:t>Matías</w:t>
      </w:r>
      <w:proofErr w:type="spellEnd"/>
      <w:r w:rsidRPr="00524435">
        <w:t xml:space="preserve"> Gabriel </w:t>
      </w:r>
      <w:proofErr w:type="spellStart"/>
      <w:r w:rsidRPr="00524435">
        <w:t>Bres</w:t>
      </w:r>
      <w:proofErr w:type="spellEnd"/>
      <w:r w:rsidRPr="00524435">
        <w:t xml:space="preserve"> (Argentina)</w:t>
      </w:r>
    </w:p>
    <w:p w14:paraId="6BEA5FC6" w14:textId="1ACB31CF" w:rsidR="002B0ECE" w:rsidRPr="00524435" w:rsidRDefault="002B0ECE" w:rsidP="0009324C">
      <w:pPr>
        <w:pStyle w:val="ListParagraph"/>
        <w:numPr>
          <w:ilvl w:val="0"/>
          <w:numId w:val="12"/>
        </w:numPr>
        <w:spacing w:after="0"/>
        <w:ind w:left="1260" w:hanging="540"/>
        <w:rPr>
          <w:rFonts w:eastAsiaTheme="minorHAnsi" w:cstheme="minorBidi"/>
        </w:rPr>
      </w:pPr>
      <w:proofErr w:type="spellStart"/>
      <w:r w:rsidRPr="003F238D">
        <w:rPr>
          <w:lang w:val="es-US"/>
        </w:rPr>
        <w:t>Report</w:t>
      </w:r>
      <w:proofErr w:type="spellEnd"/>
      <w:r w:rsidRPr="003F238D">
        <w:rPr>
          <w:lang w:val="es-US"/>
        </w:rPr>
        <w:t xml:space="preserve"> No. 410/21, </w:t>
      </w:r>
      <w:proofErr w:type="spellStart"/>
      <w:r w:rsidRPr="003F238D">
        <w:rPr>
          <w:lang w:val="es-US"/>
        </w:rPr>
        <w:t>Petition</w:t>
      </w:r>
      <w:proofErr w:type="spellEnd"/>
      <w:r w:rsidRPr="003F238D">
        <w:rPr>
          <w:lang w:val="es-US"/>
        </w:rPr>
        <w:t xml:space="preserve"> 1274-09, Benedicta </w:t>
      </w:r>
      <w:proofErr w:type="spellStart"/>
      <w:r w:rsidRPr="003F238D">
        <w:rPr>
          <w:lang w:val="es-US"/>
        </w:rPr>
        <w:t>Avedaño</w:t>
      </w:r>
      <w:proofErr w:type="spellEnd"/>
      <w:r w:rsidRPr="003F238D">
        <w:rPr>
          <w:lang w:val="es-US"/>
        </w:rPr>
        <w:t xml:space="preserve"> de Ogalde </w:t>
      </w:r>
      <w:r w:rsidR="003366DE" w:rsidRPr="003F238D">
        <w:rPr>
          <w:lang w:val="es-US"/>
        </w:rPr>
        <w:t xml:space="preserve">et al. </w:t>
      </w:r>
      <w:r w:rsidRPr="00524435">
        <w:t>(Argentina)</w:t>
      </w:r>
    </w:p>
    <w:p w14:paraId="19692924" w14:textId="73D90D41"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411/21, Petition 1565-09, Mario Alberto </w:t>
      </w:r>
      <w:proofErr w:type="spellStart"/>
      <w:r w:rsidRPr="00524435">
        <w:t>Fleisman</w:t>
      </w:r>
      <w:proofErr w:type="spellEnd"/>
      <w:r w:rsidRPr="00524435">
        <w:t xml:space="preserve"> (Argentina)</w:t>
      </w:r>
    </w:p>
    <w:p w14:paraId="725C0771" w14:textId="371F9D17"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412/21, </w:t>
      </w:r>
      <w:proofErr w:type="spellStart"/>
      <w:r w:rsidRPr="003F238D">
        <w:rPr>
          <w:lang w:val="es-US"/>
        </w:rPr>
        <w:t>Petition</w:t>
      </w:r>
      <w:proofErr w:type="spellEnd"/>
      <w:r w:rsidRPr="003F238D">
        <w:rPr>
          <w:lang w:val="es-US"/>
        </w:rPr>
        <w:t xml:space="preserve"> 628-11, Lilia Ana Villagra (Argentina)</w:t>
      </w:r>
    </w:p>
    <w:p w14:paraId="4F967130" w14:textId="1CAFD497"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413/21, Petition 954-11, Lydia Cristina </w:t>
      </w:r>
      <w:proofErr w:type="spellStart"/>
      <w:r w:rsidRPr="00524435">
        <w:t>Vieyra</w:t>
      </w:r>
      <w:proofErr w:type="spellEnd"/>
      <w:r w:rsidRPr="00524435">
        <w:t xml:space="preserve"> (Argentina)</w:t>
      </w:r>
    </w:p>
    <w:p w14:paraId="59811115" w14:textId="3790DFB3"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414/21, </w:t>
      </w:r>
      <w:proofErr w:type="spellStart"/>
      <w:r w:rsidRPr="003F238D">
        <w:rPr>
          <w:lang w:val="es-US"/>
        </w:rPr>
        <w:t>Petition</w:t>
      </w:r>
      <w:proofErr w:type="spellEnd"/>
      <w:r w:rsidRPr="003F238D">
        <w:rPr>
          <w:lang w:val="es-US"/>
        </w:rPr>
        <w:t xml:space="preserve"> 568-12, Elizabeth Eduviges </w:t>
      </w:r>
      <w:proofErr w:type="spellStart"/>
      <w:r w:rsidRPr="003F238D">
        <w:rPr>
          <w:lang w:val="es-US"/>
        </w:rPr>
        <w:t>Paller</w:t>
      </w:r>
      <w:proofErr w:type="spellEnd"/>
      <w:r w:rsidRPr="003F238D">
        <w:rPr>
          <w:lang w:val="es-US"/>
        </w:rPr>
        <w:t xml:space="preserve"> Rodriguez (Argentina) </w:t>
      </w:r>
    </w:p>
    <w:p w14:paraId="477939E1" w14:textId="4E73F802"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415/21, </w:t>
      </w:r>
      <w:proofErr w:type="spellStart"/>
      <w:r w:rsidRPr="003F238D">
        <w:rPr>
          <w:lang w:val="es-US"/>
        </w:rPr>
        <w:t>Petition</w:t>
      </w:r>
      <w:proofErr w:type="spellEnd"/>
      <w:r w:rsidRPr="003F238D">
        <w:rPr>
          <w:lang w:val="es-US"/>
        </w:rPr>
        <w:t xml:space="preserve"> 1367-13, Edgardo Luis </w:t>
      </w:r>
      <w:proofErr w:type="spellStart"/>
      <w:r w:rsidRPr="003F238D">
        <w:rPr>
          <w:lang w:val="es-US"/>
        </w:rPr>
        <w:t>Pogonza</w:t>
      </w:r>
      <w:proofErr w:type="spellEnd"/>
      <w:r w:rsidRPr="003F238D">
        <w:rPr>
          <w:lang w:val="es-US"/>
        </w:rPr>
        <w:t xml:space="preserve"> (Argentina)</w:t>
      </w:r>
    </w:p>
    <w:p w14:paraId="10AE521F" w14:textId="205D01BD"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416/21, </w:t>
      </w:r>
      <w:proofErr w:type="spellStart"/>
      <w:r w:rsidRPr="003F238D">
        <w:rPr>
          <w:lang w:val="es-US"/>
        </w:rPr>
        <w:t>Petition</w:t>
      </w:r>
      <w:proofErr w:type="spellEnd"/>
      <w:r w:rsidRPr="003F238D">
        <w:rPr>
          <w:lang w:val="es-US"/>
        </w:rPr>
        <w:t xml:space="preserve"> 258-14, Angélica Esmeralda Toledo (Argentina) </w:t>
      </w:r>
    </w:p>
    <w:p w14:paraId="0A911986" w14:textId="7C90919C"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417/21, </w:t>
      </w:r>
      <w:proofErr w:type="spellStart"/>
      <w:r w:rsidRPr="003F238D">
        <w:rPr>
          <w:lang w:val="es-US"/>
        </w:rPr>
        <w:t>Petition</w:t>
      </w:r>
      <w:proofErr w:type="spellEnd"/>
      <w:r w:rsidRPr="003F238D">
        <w:rPr>
          <w:lang w:val="es-US"/>
        </w:rPr>
        <w:t xml:space="preserve"> 638-14, Violeta del Carmen </w:t>
      </w:r>
      <w:proofErr w:type="spellStart"/>
      <w:r w:rsidRPr="003F238D">
        <w:rPr>
          <w:lang w:val="es-US"/>
        </w:rPr>
        <w:t>Artymyzyn</w:t>
      </w:r>
      <w:proofErr w:type="spellEnd"/>
      <w:r w:rsidRPr="003F238D">
        <w:rPr>
          <w:lang w:val="es-US"/>
        </w:rPr>
        <w:t xml:space="preserve"> (Argentina)</w:t>
      </w:r>
    </w:p>
    <w:p w14:paraId="7B8CEE3C" w14:textId="2BB34361"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59/21, </w:t>
      </w:r>
      <w:proofErr w:type="spellStart"/>
      <w:r w:rsidRPr="003F238D">
        <w:rPr>
          <w:lang w:val="es-US"/>
        </w:rPr>
        <w:t>Petition</w:t>
      </w:r>
      <w:proofErr w:type="spellEnd"/>
      <w:r w:rsidRPr="003F238D">
        <w:rPr>
          <w:lang w:val="es-US"/>
        </w:rPr>
        <w:t xml:space="preserve"> 193-11, Gaby Esperanza Candia de Mercado, (Bolivia)</w:t>
      </w:r>
    </w:p>
    <w:p w14:paraId="689C7BB7" w14:textId="26538C53"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97/21, Petition 911-08, Manfred Reyes Villa </w:t>
      </w:r>
      <w:proofErr w:type="spellStart"/>
      <w:r w:rsidRPr="00524435">
        <w:t>Bacigalupi</w:t>
      </w:r>
      <w:proofErr w:type="spellEnd"/>
      <w:r w:rsidRPr="00524435">
        <w:t xml:space="preserve"> (Bolivia)</w:t>
      </w:r>
    </w:p>
    <w:p w14:paraId="56430880" w14:textId="6A843D1A"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105/21, </w:t>
      </w:r>
      <w:proofErr w:type="spellStart"/>
      <w:r w:rsidRPr="003F238D">
        <w:rPr>
          <w:lang w:val="es-US"/>
        </w:rPr>
        <w:t>Petition</w:t>
      </w:r>
      <w:proofErr w:type="spellEnd"/>
      <w:r w:rsidRPr="003F238D">
        <w:rPr>
          <w:lang w:val="es-US"/>
        </w:rPr>
        <w:t xml:space="preserve"> 359-11, Asencio Cruz Nina (Bolivia)</w:t>
      </w:r>
    </w:p>
    <w:p w14:paraId="64A9FB5A" w14:textId="382F4776"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117/21, Petition 1178-13, Ronald Enrique </w:t>
      </w:r>
      <w:proofErr w:type="spellStart"/>
      <w:r w:rsidRPr="00524435">
        <w:t>Castedo</w:t>
      </w:r>
      <w:proofErr w:type="spellEnd"/>
      <w:r w:rsidRPr="00524435">
        <w:t xml:space="preserve"> </w:t>
      </w:r>
      <w:proofErr w:type="spellStart"/>
      <w:r w:rsidRPr="00524435">
        <w:t>Allerding</w:t>
      </w:r>
      <w:proofErr w:type="spellEnd"/>
      <w:r w:rsidRPr="00524435">
        <w:t xml:space="preserve"> (Bolivia)</w:t>
      </w:r>
    </w:p>
    <w:p w14:paraId="681C9844" w14:textId="78753564"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118/21, </w:t>
      </w:r>
      <w:proofErr w:type="spellStart"/>
      <w:r w:rsidRPr="003F238D">
        <w:rPr>
          <w:lang w:val="es-US"/>
        </w:rPr>
        <w:t>Petition</w:t>
      </w:r>
      <w:proofErr w:type="spellEnd"/>
      <w:r w:rsidRPr="003F238D">
        <w:rPr>
          <w:lang w:val="es-US"/>
        </w:rPr>
        <w:t xml:space="preserve"> 1311-04, Alejandro </w:t>
      </w:r>
      <w:proofErr w:type="spellStart"/>
      <w:r w:rsidRPr="003F238D">
        <w:rPr>
          <w:lang w:val="es-US"/>
        </w:rPr>
        <w:t>Gelafio</w:t>
      </w:r>
      <w:proofErr w:type="spellEnd"/>
      <w:r w:rsidRPr="003F238D">
        <w:rPr>
          <w:lang w:val="es-US"/>
        </w:rPr>
        <w:t xml:space="preserve"> Santiesteban </w:t>
      </w:r>
      <w:proofErr w:type="spellStart"/>
      <w:r w:rsidRPr="003F238D">
        <w:rPr>
          <w:lang w:val="es-US"/>
        </w:rPr>
        <w:t>Stroebel</w:t>
      </w:r>
      <w:proofErr w:type="spellEnd"/>
      <w:r w:rsidRPr="003F238D">
        <w:rPr>
          <w:lang w:val="es-US"/>
        </w:rPr>
        <w:t xml:space="preserve"> (Bolivia)</w:t>
      </w:r>
    </w:p>
    <w:p w14:paraId="2C0A4A1D" w14:textId="15CC6FF8" w:rsidR="002B0ECE" w:rsidRPr="00524435" w:rsidRDefault="002B0ECE" w:rsidP="0009324C">
      <w:pPr>
        <w:pStyle w:val="ListParagraph"/>
        <w:numPr>
          <w:ilvl w:val="0"/>
          <w:numId w:val="12"/>
        </w:numPr>
        <w:spacing w:after="0"/>
        <w:ind w:left="1260" w:hanging="540"/>
        <w:rPr>
          <w:rFonts w:eastAsiaTheme="minorHAnsi" w:cstheme="minorBidi"/>
        </w:rPr>
      </w:pPr>
      <w:proofErr w:type="spellStart"/>
      <w:r w:rsidRPr="003F238D">
        <w:rPr>
          <w:lang w:val="es-US"/>
        </w:rPr>
        <w:t>Report</w:t>
      </w:r>
      <w:proofErr w:type="spellEnd"/>
      <w:r w:rsidRPr="003F238D">
        <w:rPr>
          <w:lang w:val="es-US"/>
        </w:rPr>
        <w:t xml:space="preserve"> No. 154/21, </w:t>
      </w:r>
      <w:proofErr w:type="spellStart"/>
      <w:r w:rsidRPr="003F238D">
        <w:rPr>
          <w:lang w:val="es-US"/>
        </w:rPr>
        <w:t>Petition</w:t>
      </w:r>
      <w:proofErr w:type="spellEnd"/>
      <w:r w:rsidRPr="003F238D">
        <w:rPr>
          <w:lang w:val="es-US"/>
        </w:rPr>
        <w:t xml:space="preserve"> 1985-15, Gonzalo Durán </w:t>
      </w:r>
      <w:r w:rsidR="003366DE" w:rsidRPr="003F238D">
        <w:rPr>
          <w:lang w:val="es-US"/>
        </w:rPr>
        <w:t xml:space="preserve">et al. </w:t>
      </w:r>
      <w:r w:rsidRPr="00524435">
        <w:t>(Bolivia)</w:t>
      </w:r>
    </w:p>
    <w:p w14:paraId="21C9F31C" w14:textId="23253E6C"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215/21, </w:t>
      </w:r>
      <w:proofErr w:type="spellStart"/>
      <w:r w:rsidRPr="003F238D">
        <w:rPr>
          <w:lang w:val="es-US"/>
        </w:rPr>
        <w:t>Petition</w:t>
      </w:r>
      <w:proofErr w:type="spellEnd"/>
      <w:r w:rsidRPr="003F238D">
        <w:rPr>
          <w:lang w:val="es-US"/>
        </w:rPr>
        <w:t xml:space="preserve"> 564-13, José María Peñaranda Aramayo (Bolivia)</w:t>
      </w:r>
    </w:p>
    <w:p w14:paraId="5B8031F7" w14:textId="123AE50C"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238/21, Petition 1418-14, Juan Carlos </w:t>
      </w:r>
      <w:proofErr w:type="spellStart"/>
      <w:r w:rsidRPr="00524435">
        <w:t>Santistevan</w:t>
      </w:r>
      <w:proofErr w:type="spellEnd"/>
      <w:r w:rsidRPr="00524435">
        <w:t xml:space="preserve"> López </w:t>
      </w:r>
      <w:r w:rsidR="0057284E" w:rsidRPr="00524435">
        <w:t xml:space="preserve">and relatives </w:t>
      </w:r>
      <w:r w:rsidRPr="00524435">
        <w:t>(Bolivia)</w:t>
      </w:r>
    </w:p>
    <w:p w14:paraId="6009C4CB" w14:textId="03BF5518"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271/21, Petition 821-09, “MGAB” </w:t>
      </w:r>
      <w:r w:rsidR="00922DF3" w:rsidRPr="00524435">
        <w:t>and family</w:t>
      </w:r>
      <w:r w:rsidRPr="00524435">
        <w:t xml:space="preserve"> (Bolivia) </w:t>
      </w:r>
    </w:p>
    <w:p w14:paraId="71CF8772" w14:textId="6EA5AA2F"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272/21, </w:t>
      </w:r>
      <w:proofErr w:type="spellStart"/>
      <w:r w:rsidRPr="003F238D">
        <w:rPr>
          <w:lang w:val="es-US"/>
        </w:rPr>
        <w:t>Petition</w:t>
      </w:r>
      <w:proofErr w:type="spellEnd"/>
      <w:r w:rsidRPr="003F238D">
        <w:rPr>
          <w:lang w:val="es-US"/>
        </w:rPr>
        <w:t xml:space="preserve"> 1627-10, Mario </w:t>
      </w:r>
      <w:proofErr w:type="spellStart"/>
      <w:r w:rsidRPr="003F238D">
        <w:rPr>
          <w:lang w:val="es-US"/>
        </w:rPr>
        <w:t>Adel</w:t>
      </w:r>
      <w:proofErr w:type="spellEnd"/>
      <w:r w:rsidRPr="003F238D">
        <w:rPr>
          <w:lang w:val="es-US"/>
        </w:rPr>
        <w:t xml:space="preserve"> </w:t>
      </w:r>
      <w:proofErr w:type="spellStart"/>
      <w:r w:rsidRPr="003F238D">
        <w:rPr>
          <w:lang w:val="es-US"/>
        </w:rPr>
        <w:t>Cossio</w:t>
      </w:r>
      <w:proofErr w:type="spellEnd"/>
      <w:r w:rsidRPr="003F238D">
        <w:rPr>
          <w:lang w:val="es-US"/>
        </w:rPr>
        <w:t xml:space="preserve"> Cortez (Bolivia)</w:t>
      </w:r>
    </w:p>
    <w:p w14:paraId="418C093D" w14:textId="594F5A60"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155/21, Petition 151-15, Marcos Rebello Filho </w:t>
      </w:r>
      <w:r w:rsidR="00922DF3" w:rsidRPr="00524435">
        <w:t>et al.</w:t>
      </w:r>
      <w:r w:rsidRPr="00524435">
        <w:t xml:space="preserve"> (Brazil)</w:t>
      </w:r>
    </w:p>
    <w:p w14:paraId="344B477F" w14:textId="0F659DA8" w:rsidR="002B0ECE" w:rsidRPr="007A5442" w:rsidRDefault="002B0ECE" w:rsidP="0009324C">
      <w:pPr>
        <w:pStyle w:val="ListParagraph"/>
        <w:numPr>
          <w:ilvl w:val="0"/>
          <w:numId w:val="12"/>
        </w:numPr>
        <w:spacing w:after="0"/>
        <w:ind w:left="1260" w:hanging="540"/>
        <w:rPr>
          <w:rFonts w:eastAsiaTheme="minorHAnsi" w:cstheme="minorBidi"/>
          <w:lang w:val="pt-PT"/>
        </w:rPr>
      </w:pPr>
      <w:r w:rsidRPr="007A5442">
        <w:rPr>
          <w:lang w:val="pt-PT"/>
        </w:rPr>
        <w:t>Report No. 168/21, Petition 906-16, Fábio de Jesús Ribeiro (Brazil)</w:t>
      </w:r>
    </w:p>
    <w:p w14:paraId="4702A0EA" w14:textId="60C93F6A" w:rsidR="002B0ECE" w:rsidRPr="00524435" w:rsidRDefault="002B0ECE" w:rsidP="0009324C">
      <w:pPr>
        <w:pStyle w:val="ListParagraph"/>
        <w:numPr>
          <w:ilvl w:val="0"/>
          <w:numId w:val="12"/>
        </w:numPr>
        <w:spacing w:after="0"/>
        <w:ind w:left="1260" w:hanging="540"/>
        <w:rPr>
          <w:rFonts w:eastAsiaTheme="minorHAnsi" w:cstheme="minorBidi"/>
        </w:rPr>
      </w:pPr>
      <w:r w:rsidRPr="00524435">
        <w:lastRenderedPageBreak/>
        <w:t xml:space="preserve">Report No. 240/21, Petition 1204-10, </w:t>
      </w:r>
      <w:proofErr w:type="spellStart"/>
      <w:r w:rsidRPr="00524435">
        <w:t>Quilombola</w:t>
      </w:r>
      <w:proofErr w:type="spellEnd"/>
      <w:r w:rsidRPr="00524435">
        <w:t xml:space="preserve"> Saco Das Almas </w:t>
      </w:r>
      <w:r w:rsidR="00524435">
        <w:t xml:space="preserve">community </w:t>
      </w:r>
      <w:r w:rsidRPr="00524435">
        <w:t>(Brazil)</w:t>
      </w:r>
    </w:p>
    <w:p w14:paraId="4AE3F950" w14:textId="6981199D"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341/21, Petition 441-10 </w:t>
      </w:r>
      <w:r w:rsidR="00922DF3" w:rsidRPr="00524435">
        <w:t xml:space="preserve">Persons deprived of their liberty in public prisons of Minas Gerais </w:t>
      </w:r>
      <w:r w:rsidRPr="00524435">
        <w:t>(Brazil)</w:t>
      </w:r>
    </w:p>
    <w:p w14:paraId="26E056C5" w14:textId="4BC988EF"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357/21, </w:t>
      </w:r>
      <w:proofErr w:type="spellStart"/>
      <w:r w:rsidRPr="003F238D">
        <w:rPr>
          <w:lang w:val="es-US"/>
        </w:rPr>
        <w:t>Petition</w:t>
      </w:r>
      <w:proofErr w:type="spellEnd"/>
      <w:r w:rsidRPr="003F238D">
        <w:rPr>
          <w:lang w:val="es-US"/>
        </w:rPr>
        <w:t xml:space="preserve"> 1091-10, Tania </w:t>
      </w:r>
      <w:proofErr w:type="spellStart"/>
      <w:r w:rsidRPr="003F238D">
        <w:rPr>
          <w:lang w:val="es-US"/>
        </w:rPr>
        <w:t>Suely</w:t>
      </w:r>
      <w:proofErr w:type="spellEnd"/>
      <w:r w:rsidRPr="003F238D">
        <w:rPr>
          <w:lang w:val="es-US"/>
        </w:rPr>
        <w:t xml:space="preserve"> dos Santos Calixto (</w:t>
      </w:r>
      <w:proofErr w:type="spellStart"/>
      <w:r w:rsidRPr="003F238D">
        <w:rPr>
          <w:lang w:val="es-US"/>
        </w:rPr>
        <w:t>Brazil</w:t>
      </w:r>
      <w:proofErr w:type="spellEnd"/>
      <w:r w:rsidRPr="003F238D">
        <w:rPr>
          <w:lang w:val="es-US"/>
        </w:rPr>
        <w:t>)</w:t>
      </w:r>
    </w:p>
    <w:p w14:paraId="076D7BD7" w14:textId="78438EF6"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358/21, Petition 724-13, Daniel </w:t>
      </w:r>
      <w:proofErr w:type="spellStart"/>
      <w:r w:rsidRPr="00524435">
        <w:t>Nitzsche</w:t>
      </w:r>
      <w:proofErr w:type="spellEnd"/>
      <w:r w:rsidRPr="00524435">
        <w:t xml:space="preserve"> Starling (Brazil)</w:t>
      </w:r>
    </w:p>
    <w:p w14:paraId="0E34AA65" w14:textId="0C36D8D5" w:rsidR="002B0ECE" w:rsidRPr="00524435" w:rsidRDefault="002B0ECE" w:rsidP="0009324C">
      <w:pPr>
        <w:pStyle w:val="ListParagraph"/>
        <w:numPr>
          <w:ilvl w:val="0"/>
          <w:numId w:val="12"/>
        </w:numPr>
        <w:spacing w:after="0"/>
        <w:ind w:left="1260" w:hanging="540"/>
        <w:rPr>
          <w:rFonts w:eastAsiaTheme="minorHAnsi" w:cstheme="minorBidi"/>
        </w:rPr>
      </w:pPr>
      <w:proofErr w:type="spellStart"/>
      <w:r w:rsidRPr="003F238D">
        <w:rPr>
          <w:lang w:val="es-US"/>
        </w:rPr>
        <w:t>Report</w:t>
      </w:r>
      <w:proofErr w:type="spellEnd"/>
      <w:r w:rsidRPr="003F238D">
        <w:rPr>
          <w:lang w:val="es-US"/>
        </w:rPr>
        <w:t xml:space="preserve"> No. 360/21, </w:t>
      </w:r>
      <w:proofErr w:type="spellStart"/>
      <w:r w:rsidRPr="003F238D">
        <w:rPr>
          <w:lang w:val="es-US"/>
        </w:rPr>
        <w:t>Petition</w:t>
      </w:r>
      <w:proofErr w:type="spellEnd"/>
      <w:r w:rsidRPr="003F238D">
        <w:rPr>
          <w:lang w:val="es-US"/>
        </w:rPr>
        <w:t xml:space="preserve"> 1111-12, </w:t>
      </w:r>
      <w:proofErr w:type="spellStart"/>
      <w:r w:rsidRPr="003F238D">
        <w:rPr>
          <w:lang w:val="es-US"/>
        </w:rPr>
        <w:t>Elias</w:t>
      </w:r>
      <w:proofErr w:type="spellEnd"/>
      <w:r w:rsidRPr="003F238D">
        <w:rPr>
          <w:lang w:val="es-US"/>
        </w:rPr>
        <w:t xml:space="preserve"> Gonçalves de </w:t>
      </w:r>
      <w:proofErr w:type="spellStart"/>
      <w:r w:rsidRPr="003F238D">
        <w:rPr>
          <w:lang w:val="es-US"/>
        </w:rPr>
        <w:t>Meura</w:t>
      </w:r>
      <w:proofErr w:type="spellEnd"/>
      <w:r w:rsidRPr="003F238D">
        <w:rPr>
          <w:lang w:val="es-US"/>
        </w:rPr>
        <w:t xml:space="preserve"> e</w:t>
      </w:r>
      <w:r w:rsidR="00922DF3" w:rsidRPr="003F238D">
        <w:rPr>
          <w:lang w:val="es-US"/>
        </w:rPr>
        <w:t xml:space="preserve">t al. </w:t>
      </w:r>
      <w:r w:rsidRPr="00524435">
        <w:t>(Brazil)</w:t>
      </w:r>
    </w:p>
    <w:p w14:paraId="15799C84" w14:textId="4FB88F99"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418/21, Petition 759-13, </w:t>
      </w:r>
      <w:proofErr w:type="spellStart"/>
      <w:r w:rsidRPr="00524435">
        <w:t>Cecy</w:t>
      </w:r>
      <w:proofErr w:type="spellEnd"/>
      <w:r w:rsidRPr="00524435">
        <w:t xml:space="preserve"> Tigre (Brazil)</w:t>
      </w:r>
    </w:p>
    <w:p w14:paraId="757633CA" w14:textId="2BE7D923" w:rsidR="002B0ECE" w:rsidRPr="007A5442" w:rsidRDefault="002B0ECE" w:rsidP="0009324C">
      <w:pPr>
        <w:pStyle w:val="ListParagraph"/>
        <w:numPr>
          <w:ilvl w:val="0"/>
          <w:numId w:val="12"/>
        </w:numPr>
        <w:spacing w:after="0"/>
        <w:ind w:left="1260" w:hanging="540"/>
        <w:rPr>
          <w:rFonts w:eastAsiaTheme="minorHAnsi" w:cstheme="minorBidi"/>
          <w:lang w:val="pt-PT"/>
        </w:rPr>
      </w:pPr>
      <w:r w:rsidRPr="007A5442">
        <w:rPr>
          <w:lang w:val="pt-PT"/>
        </w:rPr>
        <w:t xml:space="preserve">Report No. 419/21, Petition 1675-13, Paulo Roberto Moura e Isabela Silveira </w:t>
      </w:r>
      <w:r w:rsidR="008449D1" w:rsidRPr="007A5442">
        <w:rPr>
          <w:lang w:val="pt-PT"/>
        </w:rPr>
        <w:t>and</w:t>
      </w:r>
      <w:r w:rsidRPr="007A5442">
        <w:rPr>
          <w:lang w:val="pt-PT"/>
        </w:rPr>
        <w:t xml:space="preserve"> Isabela Anita Katherine Juleff (Brazil)</w:t>
      </w:r>
    </w:p>
    <w:p w14:paraId="52ADC34B" w14:textId="591DCBD0"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420/21, Petition 1564-14, J.Z </w:t>
      </w:r>
      <w:r w:rsidR="008449D1" w:rsidRPr="00524435">
        <w:t>and</w:t>
      </w:r>
      <w:r w:rsidRPr="00524435">
        <w:t xml:space="preserve"> S.Z. (Brazil)</w:t>
      </w:r>
    </w:p>
    <w:p w14:paraId="6F29F846" w14:textId="651D777E"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28/21, </w:t>
      </w:r>
      <w:proofErr w:type="spellStart"/>
      <w:r w:rsidRPr="003F238D">
        <w:rPr>
          <w:lang w:val="es-US"/>
        </w:rPr>
        <w:t>Petition</w:t>
      </w:r>
      <w:proofErr w:type="spellEnd"/>
      <w:r w:rsidRPr="003F238D">
        <w:rPr>
          <w:lang w:val="es-US"/>
        </w:rPr>
        <w:t xml:space="preserve"> 309-08, Roberto Enrique González Morales (Chile)</w:t>
      </w:r>
    </w:p>
    <w:p w14:paraId="38268214" w14:textId="28497DD0" w:rsidR="002B0ECE" w:rsidRPr="00524435" w:rsidRDefault="002B0ECE" w:rsidP="0009324C">
      <w:pPr>
        <w:pStyle w:val="ListParagraph"/>
        <w:numPr>
          <w:ilvl w:val="0"/>
          <w:numId w:val="12"/>
        </w:numPr>
        <w:spacing w:after="0"/>
        <w:ind w:left="1260" w:hanging="540"/>
        <w:rPr>
          <w:rFonts w:eastAsiaTheme="minorHAnsi" w:cstheme="minorBidi"/>
        </w:rPr>
      </w:pPr>
      <w:proofErr w:type="spellStart"/>
      <w:r w:rsidRPr="003F238D">
        <w:rPr>
          <w:lang w:val="es-US"/>
        </w:rPr>
        <w:t>Report</w:t>
      </w:r>
      <w:proofErr w:type="spellEnd"/>
      <w:r w:rsidRPr="003F238D">
        <w:rPr>
          <w:lang w:val="es-US"/>
        </w:rPr>
        <w:t xml:space="preserve"> No. 90/21, </w:t>
      </w:r>
      <w:proofErr w:type="spellStart"/>
      <w:r w:rsidRPr="003F238D">
        <w:rPr>
          <w:lang w:val="es-US"/>
        </w:rPr>
        <w:t>Petition</w:t>
      </w:r>
      <w:proofErr w:type="spellEnd"/>
      <w:r w:rsidRPr="003F238D">
        <w:rPr>
          <w:lang w:val="es-US"/>
        </w:rPr>
        <w:t xml:space="preserve"> 2011-13, Alexandra </w:t>
      </w:r>
      <w:proofErr w:type="spellStart"/>
      <w:r w:rsidRPr="003F238D">
        <w:rPr>
          <w:lang w:val="es-US"/>
        </w:rPr>
        <w:t>Benado</w:t>
      </w:r>
      <w:proofErr w:type="spellEnd"/>
      <w:r w:rsidRPr="003F238D">
        <w:rPr>
          <w:lang w:val="es-US"/>
        </w:rPr>
        <w:t xml:space="preserve"> Vergara, Alejandra Gallo Poblete </w:t>
      </w:r>
      <w:r w:rsidR="008449D1" w:rsidRPr="003F238D">
        <w:rPr>
          <w:lang w:val="es-US"/>
        </w:rPr>
        <w:t>et al.</w:t>
      </w:r>
      <w:r w:rsidRPr="003F238D">
        <w:rPr>
          <w:lang w:val="es-US"/>
        </w:rPr>
        <w:t xml:space="preserve"> </w:t>
      </w:r>
      <w:r w:rsidRPr="00524435">
        <w:t>(Chile)</w:t>
      </w:r>
    </w:p>
    <w:p w14:paraId="3858FB6E" w14:textId="681C1442" w:rsidR="002B0ECE" w:rsidRPr="00524435" w:rsidRDefault="002B0ECE" w:rsidP="0009324C">
      <w:pPr>
        <w:pStyle w:val="ListParagraph"/>
        <w:numPr>
          <w:ilvl w:val="0"/>
          <w:numId w:val="12"/>
        </w:numPr>
        <w:spacing w:after="0"/>
        <w:ind w:left="1260" w:hanging="540"/>
        <w:rPr>
          <w:rFonts w:eastAsiaTheme="minorHAnsi" w:cstheme="minorBidi"/>
        </w:rPr>
      </w:pPr>
      <w:r w:rsidRPr="00524435">
        <w:t>Report No. 150/21, Petition 172-15, Pueblo Rapa Nui (Chile)</w:t>
      </w:r>
    </w:p>
    <w:p w14:paraId="48B26D59" w14:textId="71A2C7BB" w:rsidR="002B0ECE" w:rsidRPr="00524435" w:rsidRDefault="002B0ECE" w:rsidP="0009324C">
      <w:pPr>
        <w:pStyle w:val="ListParagraph"/>
        <w:numPr>
          <w:ilvl w:val="0"/>
          <w:numId w:val="12"/>
        </w:numPr>
        <w:spacing w:after="0"/>
        <w:ind w:left="1260" w:hanging="540"/>
        <w:rPr>
          <w:rFonts w:eastAsiaTheme="minorHAnsi" w:cstheme="minorBidi"/>
        </w:rPr>
      </w:pPr>
      <w:r w:rsidRPr="00524435">
        <w:t>Report No. 191/21, Petition 902-10</w:t>
      </w:r>
      <w:r w:rsidR="00524435">
        <w:t>,</w:t>
      </w:r>
      <w:r w:rsidRPr="00524435">
        <w:t xml:space="preserve"> Alfredo Rojas </w:t>
      </w:r>
      <w:proofErr w:type="spellStart"/>
      <w:r w:rsidRPr="00524435">
        <w:t>Castañeda</w:t>
      </w:r>
      <w:r w:rsidR="00524435">
        <w:t>’s</w:t>
      </w:r>
      <w:proofErr w:type="spellEnd"/>
      <w:r w:rsidR="00524435">
        <w:t xml:space="preserve"> relatives</w:t>
      </w:r>
      <w:r w:rsidRPr="00524435">
        <w:t xml:space="preserve"> (Chile)</w:t>
      </w:r>
    </w:p>
    <w:p w14:paraId="0019C6A1" w14:textId="02579CE8" w:rsidR="002B0ECE" w:rsidRPr="00524435" w:rsidRDefault="002B0ECE" w:rsidP="0009324C">
      <w:pPr>
        <w:pStyle w:val="ListParagraph"/>
        <w:numPr>
          <w:ilvl w:val="0"/>
          <w:numId w:val="12"/>
        </w:numPr>
        <w:spacing w:after="0"/>
        <w:ind w:left="1260" w:hanging="540"/>
        <w:rPr>
          <w:rFonts w:eastAsiaTheme="minorHAnsi" w:cstheme="minorBidi"/>
        </w:rPr>
      </w:pPr>
      <w:r w:rsidRPr="00524435">
        <w:t>Report No. 217/21, Petition 2532-12, Mario Fernández González</w:t>
      </w:r>
      <w:r w:rsidR="00524435">
        <w:t>’s relatives</w:t>
      </w:r>
      <w:r w:rsidRPr="00524435">
        <w:t xml:space="preserve"> (Chile)</w:t>
      </w:r>
    </w:p>
    <w:p w14:paraId="77E5B30D" w14:textId="4FD45E62"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247/21, </w:t>
      </w:r>
      <w:proofErr w:type="spellStart"/>
      <w:r w:rsidRPr="003F238D">
        <w:rPr>
          <w:lang w:val="es-US"/>
        </w:rPr>
        <w:t>Petition</w:t>
      </w:r>
      <w:proofErr w:type="spellEnd"/>
      <w:r w:rsidRPr="003F238D">
        <w:rPr>
          <w:lang w:val="es-US"/>
        </w:rPr>
        <w:t xml:space="preserve"> 1373-12, Mauricio Edmundo Jorquera Encina (Chile)</w:t>
      </w:r>
    </w:p>
    <w:p w14:paraId="4212EC24" w14:textId="4DBBCE2B" w:rsidR="002B0ECE" w:rsidRPr="00524435" w:rsidRDefault="002B0ECE" w:rsidP="0009324C">
      <w:pPr>
        <w:pStyle w:val="ListParagraph"/>
        <w:numPr>
          <w:ilvl w:val="0"/>
          <w:numId w:val="12"/>
        </w:numPr>
        <w:spacing w:after="0"/>
        <w:ind w:left="1260" w:hanging="540"/>
        <w:rPr>
          <w:rFonts w:eastAsiaTheme="minorHAnsi" w:cstheme="minorBidi"/>
        </w:rPr>
      </w:pPr>
      <w:r w:rsidRPr="00524435">
        <w:t>Report No. 248/21, Petition 1762-14</w:t>
      </w:r>
      <w:r w:rsidR="00524435">
        <w:t>,</w:t>
      </w:r>
      <w:r w:rsidRPr="00524435">
        <w:t xml:space="preserve"> Gabriel Del Rosario Castillo Tapia</w:t>
      </w:r>
      <w:r w:rsidR="00524435">
        <w:t>’s relatives</w:t>
      </w:r>
      <w:r w:rsidRPr="00524435">
        <w:t xml:space="preserve"> (Chile)</w:t>
      </w:r>
    </w:p>
    <w:p w14:paraId="6AF9F046" w14:textId="4BD53301"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257/21, Petition 843-13, Juan Luis </w:t>
      </w:r>
      <w:proofErr w:type="spellStart"/>
      <w:r w:rsidRPr="00524435">
        <w:t>Quiñones</w:t>
      </w:r>
      <w:proofErr w:type="spellEnd"/>
      <w:r w:rsidRPr="00524435">
        <w:t xml:space="preserve"> </w:t>
      </w:r>
      <w:proofErr w:type="spellStart"/>
      <w:r w:rsidRPr="00524435">
        <w:t>Ibaceta</w:t>
      </w:r>
      <w:r w:rsidR="00524435">
        <w:t>’s</w:t>
      </w:r>
      <w:proofErr w:type="spellEnd"/>
      <w:r w:rsidR="00524435">
        <w:t xml:space="preserve"> relatives</w:t>
      </w:r>
      <w:r w:rsidRPr="00524435">
        <w:t xml:space="preserve"> (Chile)</w:t>
      </w:r>
    </w:p>
    <w:p w14:paraId="1183AD69" w14:textId="5CB9B1F7"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258/21, </w:t>
      </w:r>
      <w:proofErr w:type="spellStart"/>
      <w:r w:rsidRPr="003F238D">
        <w:rPr>
          <w:lang w:val="es-US"/>
        </w:rPr>
        <w:t>Petition</w:t>
      </w:r>
      <w:proofErr w:type="spellEnd"/>
      <w:r w:rsidRPr="003F238D">
        <w:rPr>
          <w:lang w:val="es-US"/>
        </w:rPr>
        <w:t xml:space="preserve"> 999-13, Carlos Enrique Gaete </w:t>
      </w:r>
      <w:proofErr w:type="spellStart"/>
      <w:r w:rsidRPr="003F238D">
        <w:rPr>
          <w:lang w:val="es-US"/>
        </w:rPr>
        <w:t>López</w:t>
      </w:r>
      <w:r w:rsidR="00524435" w:rsidRPr="003F238D">
        <w:rPr>
          <w:lang w:val="es-US"/>
        </w:rPr>
        <w:t>’s</w:t>
      </w:r>
      <w:proofErr w:type="spellEnd"/>
      <w:r w:rsidR="00524435" w:rsidRPr="003F238D">
        <w:rPr>
          <w:lang w:val="es-US"/>
        </w:rPr>
        <w:t xml:space="preserve"> relatives</w:t>
      </w:r>
      <w:r w:rsidRPr="003F238D">
        <w:rPr>
          <w:lang w:val="es-US"/>
        </w:rPr>
        <w:t xml:space="preserve"> (Chile)</w:t>
      </w:r>
    </w:p>
    <w:p w14:paraId="03A051EA" w14:textId="34471AC6"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259/21, Petition 1240-13, Elsa Victoria </w:t>
      </w:r>
      <w:proofErr w:type="spellStart"/>
      <w:r w:rsidRPr="00524435">
        <w:t>Leuthner</w:t>
      </w:r>
      <w:proofErr w:type="spellEnd"/>
      <w:r w:rsidRPr="00524435">
        <w:t xml:space="preserve"> Muñoz</w:t>
      </w:r>
      <w:r w:rsidR="00524435">
        <w:t>’s relatives</w:t>
      </w:r>
      <w:r w:rsidRPr="00524435">
        <w:t xml:space="preserve"> (Chile)</w:t>
      </w:r>
    </w:p>
    <w:p w14:paraId="38733D66" w14:textId="7293A267" w:rsidR="002B0ECE" w:rsidRPr="00524435" w:rsidRDefault="002B0ECE" w:rsidP="0009324C">
      <w:pPr>
        <w:pStyle w:val="ListParagraph"/>
        <w:numPr>
          <w:ilvl w:val="0"/>
          <w:numId w:val="12"/>
        </w:numPr>
        <w:spacing w:after="0"/>
        <w:ind w:left="1260" w:hanging="540"/>
        <w:rPr>
          <w:rFonts w:eastAsiaTheme="minorHAnsi" w:cstheme="minorBidi"/>
        </w:rPr>
      </w:pPr>
      <w:r w:rsidRPr="00524435">
        <w:t>Report No. 273/21, Petition 1242-13, Sergio Amador Pantoja Rivera</w:t>
      </w:r>
      <w:r w:rsidR="00524435">
        <w:t>’s relatives</w:t>
      </w:r>
      <w:r w:rsidRPr="00524435">
        <w:t xml:space="preserve"> (Chile)</w:t>
      </w:r>
    </w:p>
    <w:p w14:paraId="38073F28" w14:textId="3AF4AB87"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281/21, Petition 49-13, Rubén Eduardo Morales </w:t>
      </w:r>
      <w:proofErr w:type="spellStart"/>
      <w:r w:rsidRPr="00524435">
        <w:t>Jara</w:t>
      </w:r>
      <w:r w:rsidR="00772E07">
        <w:t>’s</w:t>
      </w:r>
      <w:proofErr w:type="spellEnd"/>
      <w:r w:rsidR="00772E07">
        <w:t xml:space="preserve"> relatives</w:t>
      </w:r>
      <w:r w:rsidRPr="00524435">
        <w:t xml:space="preserve"> (Chile)</w:t>
      </w:r>
    </w:p>
    <w:p w14:paraId="090EB7DA" w14:textId="10FF2AFD"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282/21, </w:t>
      </w:r>
      <w:proofErr w:type="spellStart"/>
      <w:r w:rsidRPr="003F238D">
        <w:rPr>
          <w:lang w:val="es-US"/>
        </w:rPr>
        <w:t>Petition</w:t>
      </w:r>
      <w:proofErr w:type="spellEnd"/>
      <w:r w:rsidRPr="003F238D">
        <w:rPr>
          <w:lang w:val="es-US"/>
        </w:rPr>
        <w:t xml:space="preserve"> 452-14, Antonio Rodrigo Lobos Cordano </w:t>
      </w:r>
      <w:r w:rsidR="008449D1" w:rsidRPr="003F238D">
        <w:rPr>
          <w:lang w:val="es-US"/>
        </w:rPr>
        <w:t>and</w:t>
      </w:r>
      <w:r w:rsidRPr="003F238D">
        <w:rPr>
          <w:lang w:val="es-US"/>
        </w:rPr>
        <w:t xml:space="preserve"> Claudia Angélica Córdova Balboa (Chile)</w:t>
      </w:r>
    </w:p>
    <w:p w14:paraId="14AFE344" w14:textId="7C6465F1"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342/21, Petition 113-14, Diego Fernando </w:t>
      </w:r>
      <w:proofErr w:type="spellStart"/>
      <w:r w:rsidRPr="00524435">
        <w:t>Muñóz</w:t>
      </w:r>
      <w:proofErr w:type="spellEnd"/>
      <w:r w:rsidRPr="00524435">
        <w:t xml:space="preserve"> </w:t>
      </w:r>
      <w:proofErr w:type="spellStart"/>
      <w:proofErr w:type="gramStart"/>
      <w:r w:rsidRPr="00524435">
        <w:t>Jara</w:t>
      </w:r>
      <w:proofErr w:type="spellEnd"/>
      <w:proofErr w:type="gramEnd"/>
      <w:r w:rsidRPr="00524435">
        <w:t xml:space="preserve"> </w:t>
      </w:r>
      <w:r w:rsidR="008449D1" w:rsidRPr="00524435">
        <w:t>and family</w:t>
      </w:r>
      <w:r w:rsidRPr="00524435">
        <w:t xml:space="preserve"> (Chile)</w:t>
      </w:r>
    </w:p>
    <w:p w14:paraId="3AAE5C9A" w14:textId="32B2B80D"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343/21, Petition 1824-13, María Isabel </w:t>
      </w:r>
      <w:proofErr w:type="spellStart"/>
      <w:r w:rsidRPr="00524435">
        <w:t>Porma</w:t>
      </w:r>
      <w:proofErr w:type="spellEnd"/>
      <w:r w:rsidRPr="00524435">
        <w:t xml:space="preserve"> </w:t>
      </w:r>
      <w:proofErr w:type="spellStart"/>
      <w:r w:rsidRPr="00524435">
        <w:t>Melin</w:t>
      </w:r>
      <w:proofErr w:type="spellEnd"/>
      <w:r w:rsidRPr="00524435">
        <w:t xml:space="preserve"> (Chile)</w:t>
      </w:r>
    </w:p>
    <w:p w14:paraId="4E2362ED" w14:textId="21946907"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344/21, </w:t>
      </w:r>
      <w:proofErr w:type="spellStart"/>
      <w:r w:rsidRPr="003F238D">
        <w:rPr>
          <w:lang w:val="es-US"/>
        </w:rPr>
        <w:t>Petition</w:t>
      </w:r>
      <w:proofErr w:type="spellEnd"/>
      <w:r w:rsidRPr="003F238D">
        <w:rPr>
          <w:lang w:val="es-US"/>
        </w:rPr>
        <w:t xml:space="preserve"> 2160-13, Carolina Alejandra Rejas López and Juan Jesús Rejas López (Chile) </w:t>
      </w:r>
    </w:p>
    <w:p w14:paraId="3E96F5EA" w14:textId="29E8ECAE"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347/21, Petition 48-13, Leonardo </w:t>
      </w:r>
      <w:proofErr w:type="spellStart"/>
      <w:r w:rsidRPr="00524435">
        <w:t>Henrichsen</w:t>
      </w:r>
      <w:proofErr w:type="spellEnd"/>
      <w:r w:rsidRPr="00524435">
        <w:t xml:space="preserve"> (Chile)</w:t>
      </w:r>
    </w:p>
    <w:p w14:paraId="4064E75A" w14:textId="645AA7C4"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421/21, Petition 772-09, Claudio </w:t>
      </w:r>
      <w:proofErr w:type="spellStart"/>
      <w:r w:rsidRPr="00524435">
        <w:t>Lavín</w:t>
      </w:r>
      <w:proofErr w:type="spellEnd"/>
      <w:r w:rsidRPr="00524435">
        <w:t xml:space="preserve"> </w:t>
      </w:r>
      <w:proofErr w:type="gramStart"/>
      <w:r w:rsidRPr="00524435">
        <w:t>Loyola</w:t>
      </w:r>
      <w:proofErr w:type="gramEnd"/>
      <w:r w:rsidRPr="00524435">
        <w:t xml:space="preserve"> </w:t>
      </w:r>
      <w:r w:rsidR="000A2CF2" w:rsidRPr="00524435">
        <w:t>and family</w:t>
      </w:r>
      <w:r w:rsidRPr="00524435">
        <w:t xml:space="preserve"> (Chile)</w:t>
      </w:r>
    </w:p>
    <w:p w14:paraId="7A0C3D43" w14:textId="70DD902D" w:rsidR="002B0ECE" w:rsidRPr="00524435" w:rsidRDefault="002B0ECE" w:rsidP="0009324C">
      <w:pPr>
        <w:pStyle w:val="ListParagraph"/>
        <w:numPr>
          <w:ilvl w:val="0"/>
          <w:numId w:val="12"/>
        </w:numPr>
        <w:spacing w:after="0"/>
        <w:ind w:left="1260" w:hanging="540"/>
        <w:rPr>
          <w:rFonts w:eastAsiaTheme="minorHAnsi" w:cstheme="minorBidi"/>
        </w:rPr>
      </w:pPr>
      <w:r w:rsidRPr="00524435">
        <w:t>Report No. 422/21, Petition 1719-02, Julio Arturo Loo Prado</w:t>
      </w:r>
      <w:r w:rsidR="00772E07">
        <w:t>’s relatives</w:t>
      </w:r>
      <w:r w:rsidRPr="00524435">
        <w:t xml:space="preserve"> (Chile)</w:t>
      </w:r>
    </w:p>
    <w:p w14:paraId="42971DD0" w14:textId="056C8529"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423/21, </w:t>
      </w:r>
      <w:proofErr w:type="spellStart"/>
      <w:r w:rsidRPr="003F238D">
        <w:rPr>
          <w:lang w:val="es-US"/>
        </w:rPr>
        <w:t>Petition</w:t>
      </w:r>
      <w:proofErr w:type="spellEnd"/>
      <w:r w:rsidRPr="003F238D">
        <w:rPr>
          <w:lang w:val="es-US"/>
        </w:rPr>
        <w:t xml:space="preserve"> 1273-13, Juan Antonio Molina Lazo (Chile)</w:t>
      </w:r>
    </w:p>
    <w:p w14:paraId="3A5F92BF" w14:textId="55A8B2DE"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424/21, Petition 390-13, Luis Gabriel Ramírez </w:t>
      </w:r>
      <w:proofErr w:type="spellStart"/>
      <w:r w:rsidRPr="00524435">
        <w:t>Gajardo</w:t>
      </w:r>
      <w:proofErr w:type="spellEnd"/>
      <w:r w:rsidRPr="00524435">
        <w:t xml:space="preserve"> (Chile)</w:t>
      </w:r>
    </w:p>
    <w:p w14:paraId="7F8D8F96" w14:textId="6FF580C6"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12/21, </w:t>
      </w:r>
      <w:proofErr w:type="spellStart"/>
      <w:r w:rsidRPr="003F238D">
        <w:rPr>
          <w:lang w:val="es-US"/>
        </w:rPr>
        <w:t>Petition</w:t>
      </w:r>
      <w:proofErr w:type="spellEnd"/>
      <w:r w:rsidRPr="003F238D">
        <w:rPr>
          <w:lang w:val="es-US"/>
        </w:rPr>
        <w:t xml:space="preserve"> 1356-11, Orlando Gómez Rodríguez (Colombia)</w:t>
      </w:r>
    </w:p>
    <w:p w14:paraId="74CA6467" w14:textId="4084AA4E" w:rsidR="002B0ECE" w:rsidRPr="00DF0CD0" w:rsidRDefault="002B0ECE" w:rsidP="0009324C">
      <w:pPr>
        <w:pStyle w:val="ListParagraph"/>
        <w:numPr>
          <w:ilvl w:val="0"/>
          <w:numId w:val="12"/>
        </w:numPr>
        <w:spacing w:after="0"/>
        <w:ind w:left="1260" w:hanging="540"/>
        <w:rPr>
          <w:rFonts w:eastAsiaTheme="minorHAnsi" w:cstheme="minorBidi"/>
          <w:lang w:val="pt-BR"/>
        </w:rPr>
      </w:pPr>
      <w:r w:rsidRPr="00DF0CD0">
        <w:rPr>
          <w:lang w:val="pt-BR"/>
        </w:rPr>
        <w:t xml:space="preserve">Report No. 13/21, Petition 383-09, Ángel Demetrio Casas </w:t>
      </w:r>
      <w:r w:rsidR="0057284E" w:rsidRPr="00DF0CD0">
        <w:rPr>
          <w:lang w:val="pt-BR"/>
        </w:rPr>
        <w:t xml:space="preserve">and relatives </w:t>
      </w:r>
      <w:r w:rsidRPr="00DF0CD0">
        <w:rPr>
          <w:lang w:val="pt-BR"/>
        </w:rPr>
        <w:t>(Colombia)</w:t>
      </w:r>
    </w:p>
    <w:p w14:paraId="137AA773" w14:textId="06C538F9"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14/21, </w:t>
      </w:r>
      <w:proofErr w:type="spellStart"/>
      <w:r w:rsidRPr="003F238D">
        <w:rPr>
          <w:lang w:val="es-US"/>
        </w:rPr>
        <w:t>Petition</w:t>
      </w:r>
      <w:proofErr w:type="spellEnd"/>
      <w:r w:rsidRPr="003F238D">
        <w:rPr>
          <w:lang w:val="es-US"/>
        </w:rPr>
        <w:t xml:space="preserve"> 1575-09, Príncipe Gabriel González Arango (Colombia)</w:t>
      </w:r>
    </w:p>
    <w:p w14:paraId="6376AD22" w14:textId="1D54C21C"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15/21, Petition 953-11, Humberto </w:t>
      </w:r>
      <w:proofErr w:type="spellStart"/>
      <w:r w:rsidRPr="00524435">
        <w:t>Builes</w:t>
      </w:r>
      <w:proofErr w:type="spellEnd"/>
      <w:r w:rsidRPr="00524435">
        <w:t xml:space="preserve"> Correa (Colombia)</w:t>
      </w:r>
    </w:p>
    <w:p w14:paraId="5ADCE0B2" w14:textId="4C3B0766"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31/21, </w:t>
      </w:r>
      <w:proofErr w:type="spellStart"/>
      <w:r w:rsidRPr="003F238D">
        <w:rPr>
          <w:lang w:val="es-US"/>
        </w:rPr>
        <w:t>Petition</w:t>
      </w:r>
      <w:proofErr w:type="spellEnd"/>
      <w:r w:rsidRPr="003F238D">
        <w:rPr>
          <w:lang w:val="es-US"/>
        </w:rPr>
        <w:t xml:space="preserve"> 721-10, </w:t>
      </w:r>
      <w:proofErr w:type="spellStart"/>
      <w:r w:rsidRPr="003F238D">
        <w:rPr>
          <w:lang w:val="es-US"/>
        </w:rPr>
        <w:t>Edilson</w:t>
      </w:r>
      <w:proofErr w:type="spellEnd"/>
      <w:r w:rsidRPr="003F238D">
        <w:rPr>
          <w:lang w:val="es-US"/>
        </w:rPr>
        <w:t xml:space="preserve"> Antonio Osorio (Colombia)</w:t>
      </w:r>
    </w:p>
    <w:p w14:paraId="66A4E35B" w14:textId="0758E9B2"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33/21, Petition 1327-11, Bautista </w:t>
      </w:r>
      <w:proofErr w:type="spellStart"/>
      <w:r w:rsidRPr="00524435">
        <w:t>Leguizamón</w:t>
      </w:r>
      <w:proofErr w:type="spellEnd"/>
      <w:r w:rsidRPr="00524435">
        <w:t xml:space="preserve"> </w:t>
      </w:r>
      <w:proofErr w:type="spellStart"/>
      <w:r w:rsidRPr="00524435">
        <w:t>Riaño</w:t>
      </w:r>
      <w:proofErr w:type="spellEnd"/>
      <w:r w:rsidRPr="00524435">
        <w:t xml:space="preserve"> </w:t>
      </w:r>
      <w:r w:rsidR="0057284E" w:rsidRPr="00524435">
        <w:t xml:space="preserve">and relatives </w:t>
      </w:r>
      <w:r w:rsidRPr="00524435">
        <w:t>(Colombia)</w:t>
      </w:r>
    </w:p>
    <w:p w14:paraId="5EB2F9F7" w14:textId="4852DADC"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46/21, </w:t>
      </w:r>
      <w:proofErr w:type="spellStart"/>
      <w:r w:rsidRPr="003F238D">
        <w:rPr>
          <w:lang w:val="es-US"/>
        </w:rPr>
        <w:t>Petition</w:t>
      </w:r>
      <w:proofErr w:type="spellEnd"/>
      <w:r w:rsidRPr="003F238D">
        <w:rPr>
          <w:lang w:val="es-US"/>
        </w:rPr>
        <w:t xml:space="preserve"> 1165-11, Ciro Ramírez Pinzón (Colombia)</w:t>
      </w:r>
    </w:p>
    <w:p w14:paraId="132C65C1" w14:textId="1B37EC21"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47/21, </w:t>
      </w:r>
      <w:proofErr w:type="spellStart"/>
      <w:r w:rsidRPr="003F238D">
        <w:rPr>
          <w:lang w:val="es-US"/>
        </w:rPr>
        <w:t>Petition</w:t>
      </w:r>
      <w:proofErr w:type="spellEnd"/>
      <w:r w:rsidRPr="003F238D">
        <w:rPr>
          <w:lang w:val="es-US"/>
        </w:rPr>
        <w:t xml:space="preserve"> 1260-11, Luis María Rojas Jara </w:t>
      </w:r>
      <w:r w:rsidR="000A2CF2" w:rsidRPr="003F238D">
        <w:rPr>
          <w:lang w:val="es-US"/>
        </w:rPr>
        <w:t>and relatives</w:t>
      </w:r>
      <w:r w:rsidRPr="003F238D">
        <w:rPr>
          <w:lang w:val="es-US"/>
        </w:rPr>
        <w:t xml:space="preserve"> (Colombia)</w:t>
      </w:r>
    </w:p>
    <w:p w14:paraId="29485B9B" w14:textId="5440FF85"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48/21, Petition 1328-11, José </w:t>
      </w:r>
      <w:proofErr w:type="spellStart"/>
      <w:r w:rsidRPr="00524435">
        <w:t>Desiderio</w:t>
      </w:r>
      <w:proofErr w:type="spellEnd"/>
      <w:r w:rsidRPr="00524435">
        <w:t xml:space="preserve"> Montaña </w:t>
      </w:r>
      <w:proofErr w:type="spellStart"/>
      <w:r w:rsidRPr="00524435">
        <w:t>Humay</w:t>
      </w:r>
      <w:proofErr w:type="spellEnd"/>
      <w:r w:rsidRPr="00524435">
        <w:t xml:space="preserve"> </w:t>
      </w:r>
      <w:r w:rsidR="008449D1" w:rsidRPr="00524435">
        <w:t xml:space="preserve">and relatives </w:t>
      </w:r>
      <w:r w:rsidRPr="00524435">
        <w:t>(Colombia)</w:t>
      </w:r>
    </w:p>
    <w:p w14:paraId="57EF0F84" w14:textId="39E23917"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49/21, Petition 1474-11, Felipe Gerardo Medina </w:t>
      </w:r>
      <w:proofErr w:type="spellStart"/>
      <w:r w:rsidRPr="00524435">
        <w:t>Villafañe</w:t>
      </w:r>
      <w:proofErr w:type="spellEnd"/>
      <w:r w:rsidRPr="00524435">
        <w:t xml:space="preserve"> </w:t>
      </w:r>
      <w:r w:rsidR="008449D1" w:rsidRPr="00524435">
        <w:t xml:space="preserve">and relatives </w:t>
      </w:r>
      <w:r w:rsidRPr="00524435">
        <w:t>(Colombia)</w:t>
      </w:r>
    </w:p>
    <w:p w14:paraId="09331C5D" w14:textId="56CB260E"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55/21, </w:t>
      </w:r>
      <w:proofErr w:type="spellStart"/>
      <w:r w:rsidRPr="003F238D">
        <w:rPr>
          <w:lang w:val="es-US"/>
        </w:rPr>
        <w:t>Petition</w:t>
      </w:r>
      <w:proofErr w:type="spellEnd"/>
      <w:r w:rsidRPr="003F238D">
        <w:rPr>
          <w:lang w:val="es-US"/>
        </w:rPr>
        <w:t xml:space="preserve"> 1884-11, Rafael María Borrero Zambrano </w:t>
      </w:r>
      <w:r w:rsidR="008449D1" w:rsidRPr="003F238D">
        <w:rPr>
          <w:lang w:val="es-US"/>
        </w:rPr>
        <w:t xml:space="preserve">and relatives </w:t>
      </w:r>
      <w:r w:rsidRPr="003F238D">
        <w:rPr>
          <w:lang w:val="es-US"/>
        </w:rPr>
        <w:t>(Colombia)</w:t>
      </w:r>
    </w:p>
    <w:p w14:paraId="08D3D45C" w14:textId="7AA99176"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60/21, </w:t>
      </w:r>
      <w:proofErr w:type="spellStart"/>
      <w:r w:rsidRPr="003F238D">
        <w:rPr>
          <w:lang w:val="es-US"/>
        </w:rPr>
        <w:t>Petition</w:t>
      </w:r>
      <w:proofErr w:type="spellEnd"/>
      <w:r w:rsidRPr="003F238D">
        <w:rPr>
          <w:lang w:val="es-US"/>
        </w:rPr>
        <w:t xml:space="preserve"> 1308-08, Judith Rodríguez Saavedra </w:t>
      </w:r>
      <w:r w:rsidR="008449D1" w:rsidRPr="003F238D">
        <w:rPr>
          <w:lang w:val="es-US"/>
        </w:rPr>
        <w:t>et al.</w:t>
      </w:r>
      <w:r w:rsidRPr="003F238D">
        <w:rPr>
          <w:lang w:val="es-US"/>
        </w:rPr>
        <w:t xml:space="preserve"> (Colombia)</w:t>
      </w:r>
    </w:p>
    <w:p w14:paraId="41868638" w14:textId="2DD29927"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61/21, Petition 548-13, M.M.Y.D., D.A.N.Y. </w:t>
      </w:r>
      <w:r w:rsidR="008449D1" w:rsidRPr="00524435">
        <w:t xml:space="preserve">and relatives </w:t>
      </w:r>
      <w:r w:rsidRPr="00524435">
        <w:t>(Colombia)</w:t>
      </w:r>
    </w:p>
    <w:p w14:paraId="60D7E00B" w14:textId="0BCCC3EE"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63/21, Petition 1294-11, Jorge Castro </w:t>
      </w:r>
      <w:proofErr w:type="spellStart"/>
      <w:r w:rsidRPr="00524435">
        <w:t>Pachecho</w:t>
      </w:r>
      <w:proofErr w:type="spellEnd"/>
      <w:r w:rsidRPr="00524435">
        <w:t xml:space="preserve"> (Colombia)</w:t>
      </w:r>
    </w:p>
    <w:p w14:paraId="54BAEDB2" w14:textId="425C07CB"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64/21, Petition 337-10, José Enrique </w:t>
      </w:r>
      <w:proofErr w:type="gramStart"/>
      <w:r w:rsidRPr="00524435">
        <w:t>Caldas</w:t>
      </w:r>
      <w:proofErr w:type="gramEnd"/>
      <w:r w:rsidRPr="00524435">
        <w:t xml:space="preserve"> </w:t>
      </w:r>
      <w:r w:rsidR="008449D1" w:rsidRPr="00524435">
        <w:t xml:space="preserve">and relatives </w:t>
      </w:r>
      <w:r w:rsidRPr="00524435">
        <w:t>(Colombia)</w:t>
      </w:r>
    </w:p>
    <w:p w14:paraId="223DAE7E" w14:textId="6344DA58"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76/21, </w:t>
      </w:r>
      <w:proofErr w:type="spellStart"/>
      <w:r w:rsidRPr="003F238D">
        <w:rPr>
          <w:lang w:val="es-US"/>
        </w:rPr>
        <w:t>Petition</w:t>
      </w:r>
      <w:proofErr w:type="spellEnd"/>
      <w:r w:rsidRPr="003F238D">
        <w:rPr>
          <w:lang w:val="es-US"/>
        </w:rPr>
        <w:t xml:space="preserve"> 139-10, Teobaldo Enrique Martínez Fuentes </w:t>
      </w:r>
      <w:r w:rsidR="008449D1" w:rsidRPr="003F238D">
        <w:rPr>
          <w:lang w:val="es-US"/>
        </w:rPr>
        <w:t xml:space="preserve">and </w:t>
      </w:r>
      <w:proofErr w:type="spellStart"/>
      <w:r w:rsidR="008449D1" w:rsidRPr="003F238D">
        <w:rPr>
          <w:lang w:val="es-US"/>
        </w:rPr>
        <w:t>family</w:t>
      </w:r>
      <w:proofErr w:type="spellEnd"/>
      <w:r w:rsidRPr="003F238D">
        <w:rPr>
          <w:lang w:val="es-US"/>
        </w:rPr>
        <w:t xml:space="preserve"> (Colombia)</w:t>
      </w:r>
    </w:p>
    <w:p w14:paraId="335BCFAC" w14:textId="176C5C5C" w:rsidR="002B0ECE" w:rsidRPr="00DF0CD0"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77/21, </w:t>
      </w:r>
      <w:proofErr w:type="spellStart"/>
      <w:r w:rsidRPr="003F238D">
        <w:rPr>
          <w:lang w:val="es-US"/>
        </w:rPr>
        <w:t>Petition</w:t>
      </w:r>
      <w:proofErr w:type="spellEnd"/>
      <w:r w:rsidRPr="003F238D">
        <w:rPr>
          <w:lang w:val="es-US"/>
        </w:rPr>
        <w:t xml:space="preserve"> 332-10, Álvaro Castiblanco Delgado, </w:t>
      </w:r>
      <w:proofErr w:type="spellStart"/>
      <w:r w:rsidRPr="003F238D">
        <w:rPr>
          <w:lang w:val="es-US"/>
        </w:rPr>
        <w:t>Jhon</w:t>
      </w:r>
      <w:proofErr w:type="spellEnd"/>
      <w:r w:rsidRPr="003F238D">
        <w:rPr>
          <w:lang w:val="es-US"/>
        </w:rPr>
        <w:t xml:space="preserve"> James Castiblanco Rojas </w:t>
      </w:r>
      <w:r w:rsidR="000A2CF2" w:rsidRPr="003F238D">
        <w:rPr>
          <w:lang w:val="es-US"/>
        </w:rPr>
        <w:t>et al.</w:t>
      </w:r>
      <w:r w:rsidRPr="003F238D">
        <w:rPr>
          <w:lang w:val="es-US"/>
        </w:rPr>
        <w:t xml:space="preserve"> </w:t>
      </w:r>
      <w:r w:rsidRPr="00DF0CD0">
        <w:rPr>
          <w:lang w:val="es-US"/>
        </w:rPr>
        <w:t>(Colombia)</w:t>
      </w:r>
    </w:p>
    <w:p w14:paraId="643AC04A" w14:textId="543C81C4"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78/21, </w:t>
      </w:r>
      <w:proofErr w:type="spellStart"/>
      <w:r w:rsidRPr="003F238D">
        <w:rPr>
          <w:lang w:val="es-US"/>
        </w:rPr>
        <w:t>Petition</w:t>
      </w:r>
      <w:proofErr w:type="spellEnd"/>
      <w:r w:rsidRPr="003F238D">
        <w:rPr>
          <w:lang w:val="es-US"/>
        </w:rPr>
        <w:t xml:space="preserve"> 522-10, José de la Rosa Pinto Díaz </w:t>
      </w:r>
      <w:r w:rsidR="008449D1" w:rsidRPr="003F238D">
        <w:rPr>
          <w:lang w:val="es-US"/>
        </w:rPr>
        <w:t xml:space="preserve">and relatives </w:t>
      </w:r>
      <w:r w:rsidRPr="003F238D">
        <w:rPr>
          <w:lang w:val="es-US"/>
        </w:rPr>
        <w:t>(Colombia)</w:t>
      </w:r>
    </w:p>
    <w:p w14:paraId="3CEFC9AC" w14:textId="59B0B522"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79/21, Petition 1050-10, Luis Eduardo Vives </w:t>
      </w:r>
      <w:proofErr w:type="spellStart"/>
      <w:r w:rsidRPr="00524435">
        <w:t>Lacouture</w:t>
      </w:r>
      <w:proofErr w:type="spellEnd"/>
      <w:r w:rsidRPr="00524435">
        <w:t xml:space="preserve"> (Colombia)</w:t>
      </w:r>
    </w:p>
    <w:p w14:paraId="5618AFD0" w14:textId="0B311EF2"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lastRenderedPageBreak/>
        <w:t>Report</w:t>
      </w:r>
      <w:proofErr w:type="spellEnd"/>
      <w:r w:rsidRPr="003F238D">
        <w:rPr>
          <w:lang w:val="es-US"/>
        </w:rPr>
        <w:t xml:space="preserve"> No. 80/21, </w:t>
      </w:r>
      <w:proofErr w:type="spellStart"/>
      <w:r w:rsidRPr="003F238D">
        <w:rPr>
          <w:lang w:val="es-US"/>
        </w:rPr>
        <w:t>Petition</w:t>
      </w:r>
      <w:proofErr w:type="spellEnd"/>
      <w:r w:rsidRPr="003F238D">
        <w:rPr>
          <w:lang w:val="es-US"/>
        </w:rPr>
        <w:t xml:space="preserve"> 1527-11, Nelson Emilio Ospina Mora (Colombia)</w:t>
      </w:r>
    </w:p>
    <w:p w14:paraId="0C1DA0B9" w14:textId="2E65E117"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88/21, </w:t>
      </w:r>
      <w:proofErr w:type="spellStart"/>
      <w:r w:rsidRPr="003F238D">
        <w:rPr>
          <w:lang w:val="es-US"/>
        </w:rPr>
        <w:t>Petition</w:t>
      </w:r>
      <w:proofErr w:type="spellEnd"/>
      <w:r w:rsidRPr="003F238D">
        <w:rPr>
          <w:lang w:val="es-US"/>
        </w:rPr>
        <w:t xml:space="preserve"> 572-14, Claudia Consuelo Aragón Sarmiento (Colombia)</w:t>
      </w:r>
    </w:p>
    <w:p w14:paraId="67AB8ABC" w14:textId="5BBF3EBC"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107/21, </w:t>
      </w:r>
      <w:proofErr w:type="spellStart"/>
      <w:r w:rsidRPr="003F238D">
        <w:rPr>
          <w:lang w:val="es-US"/>
        </w:rPr>
        <w:t>Petition</w:t>
      </w:r>
      <w:proofErr w:type="spellEnd"/>
      <w:r w:rsidRPr="003F238D">
        <w:rPr>
          <w:lang w:val="es-US"/>
        </w:rPr>
        <w:t xml:space="preserve"> 791-08, </w:t>
      </w:r>
      <w:proofErr w:type="spellStart"/>
      <w:r w:rsidRPr="003F238D">
        <w:rPr>
          <w:lang w:val="es-US"/>
        </w:rPr>
        <w:t>Yisela</w:t>
      </w:r>
      <w:proofErr w:type="spellEnd"/>
      <w:r w:rsidRPr="003F238D">
        <w:rPr>
          <w:lang w:val="es-US"/>
        </w:rPr>
        <w:t xml:space="preserve"> Torres (Colombia)</w:t>
      </w:r>
    </w:p>
    <w:p w14:paraId="3AF62A9C" w14:textId="1059F7E2"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108/21, </w:t>
      </w:r>
      <w:proofErr w:type="spellStart"/>
      <w:r w:rsidRPr="003F238D">
        <w:rPr>
          <w:lang w:val="es-US"/>
        </w:rPr>
        <w:t>Petition</w:t>
      </w:r>
      <w:proofErr w:type="spellEnd"/>
      <w:r w:rsidRPr="003F238D">
        <w:rPr>
          <w:lang w:val="es-US"/>
        </w:rPr>
        <w:t xml:space="preserve"> 87-10, Rodrigo Parra Vargas (Colombia)</w:t>
      </w:r>
    </w:p>
    <w:p w14:paraId="10CD741F" w14:textId="7A865FA1"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109/21, Petition 446-11, Fabián Adolfo Sierra </w:t>
      </w:r>
      <w:proofErr w:type="gramStart"/>
      <w:r w:rsidRPr="00524435">
        <w:t>Cardona</w:t>
      </w:r>
      <w:proofErr w:type="gramEnd"/>
      <w:r w:rsidRPr="00524435">
        <w:t xml:space="preserve"> </w:t>
      </w:r>
      <w:r w:rsidR="008449D1" w:rsidRPr="00524435">
        <w:t xml:space="preserve">and family </w:t>
      </w:r>
      <w:r w:rsidRPr="00524435">
        <w:t>(Colombia)</w:t>
      </w:r>
    </w:p>
    <w:p w14:paraId="34EC8DBF" w14:textId="644EEEA9"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119/21, </w:t>
      </w:r>
      <w:proofErr w:type="spellStart"/>
      <w:r w:rsidRPr="003F238D">
        <w:rPr>
          <w:lang w:val="es-US"/>
        </w:rPr>
        <w:t>Petition</w:t>
      </w:r>
      <w:proofErr w:type="spellEnd"/>
      <w:r w:rsidRPr="003F238D">
        <w:rPr>
          <w:lang w:val="es-US"/>
        </w:rPr>
        <w:t xml:space="preserve"> 847-09, Jesús Salvador Hernández </w:t>
      </w:r>
      <w:r w:rsidR="008449D1" w:rsidRPr="003F238D">
        <w:rPr>
          <w:lang w:val="es-US"/>
        </w:rPr>
        <w:t>et al.</w:t>
      </w:r>
      <w:r w:rsidRPr="003F238D">
        <w:rPr>
          <w:lang w:val="es-US"/>
        </w:rPr>
        <w:t xml:space="preserve"> (Colombia)</w:t>
      </w:r>
    </w:p>
    <w:p w14:paraId="7206B2F9" w14:textId="440D86CC" w:rsidR="002B0ECE" w:rsidRPr="00DF0CD0"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121/21, </w:t>
      </w:r>
      <w:proofErr w:type="spellStart"/>
      <w:r w:rsidRPr="003F238D">
        <w:rPr>
          <w:lang w:val="es-US"/>
        </w:rPr>
        <w:t>Petition</w:t>
      </w:r>
      <w:proofErr w:type="spellEnd"/>
      <w:r w:rsidRPr="003F238D">
        <w:rPr>
          <w:lang w:val="es-US"/>
        </w:rPr>
        <w:t xml:space="preserve"> 336-12, Luis Ernesto Ramírez Correa </w:t>
      </w:r>
      <w:r w:rsidR="008449D1" w:rsidRPr="003F238D">
        <w:rPr>
          <w:lang w:val="es-US"/>
        </w:rPr>
        <w:t xml:space="preserve">et al. </w:t>
      </w:r>
      <w:r w:rsidR="008449D1" w:rsidRPr="00DF0CD0">
        <w:rPr>
          <w:lang w:val="es-US"/>
        </w:rPr>
        <w:t>(</w:t>
      </w:r>
      <w:r w:rsidRPr="00DF0CD0">
        <w:rPr>
          <w:lang w:val="es-US"/>
        </w:rPr>
        <w:t>Colombia)</w:t>
      </w:r>
    </w:p>
    <w:p w14:paraId="060CEB74" w14:textId="7F77B76B"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122/21, Petition 482-12, Amparo Figueroa, </w:t>
      </w:r>
      <w:r w:rsidR="008449D1" w:rsidRPr="00524435">
        <w:t>and relatives and members of</w:t>
      </w:r>
      <w:r w:rsidRPr="00524435">
        <w:t xml:space="preserve"> “ANTHOC” (Colombia)</w:t>
      </w:r>
    </w:p>
    <w:p w14:paraId="38B17152" w14:textId="54146C74"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123/21, Petition 190-15, N.C.V.C. </w:t>
      </w:r>
      <w:r w:rsidR="008449D1" w:rsidRPr="00524435">
        <w:t>and family</w:t>
      </w:r>
      <w:r w:rsidRPr="00524435">
        <w:t xml:space="preserve"> (Colombia)</w:t>
      </w:r>
    </w:p>
    <w:p w14:paraId="0A5528C4" w14:textId="2CEFE335"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131, Petition 784-10, Wilson Mario </w:t>
      </w:r>
      <w:proofErr w:type="spellStart"/>
      <w:r w:rsidRPr="00524435">
        <w:t>Taborda</w:t>
      </w:r>
      <w:proofErr w:type="spellEnd"/>
      <w:r w:rsidRPr="00524435">
        <w:t xml:space="preserve"> Cardona </w:t>
      </w:r>
      <w:r w:rsidR="008449D1" w:rsidRPr="00524435">
        <w:t xml:space="preserve">and </w:t>
      </w:r>
      <w:proofErr w:type="gramStart"/>
      <w:r w:rsidR="008449D1" w:rsidRPr="00524435">
        <w:t xml:space="preserve">family </w:t>
      </w:r>
      <w:r w:rsidRPr="00524435">
        <w:t xml:space="preserve"> (</w:t>
      </w:r>
      <w:proofErr w:type="gramEnd"/>
      <w:r w:rsidRPr="00524435">
        <w:t>Colombia)</w:t>
      </w:r>
    </w:p>
    <w:p w14:paraId="00098FBE" w14:textId="78733F0C"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132/21, </w:t>
      </w:r>
      <w:proofErr w:type="spellStart"/>
      <w:r w:rsidRPr="003F238D">
        <w:rPr>
          <w:lang w:val="es-US"/>
        </w:rPr>
        <w:t>Petition</w:t>
      </w:r>
      <w:proofErr w:type="spellEnd"/>
      <w:r w:rsidRPr="003F238D">
        <w:rPr>
          <w:lang w:val="es-US"/>
        </w:rPr>
        <w:t xml:space="preserve"> 952-11, Mario Eduardo Infante (Colombia)</w:t>
      </w:r>
    </w:p>
    <w:p w14:paraId="09DC29C5" w14:textId="49DB63B8"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148/21, </w:t>
      </w:r>
      <w:proofErr w:type="spellStart"/>
      <w:r w:rsidRPr="003F238D">
        <w:rPr>
          <w:lang w:val="es-US"/>
        </w:rPr>
        <w:t>Petition</w:t>
      </w:r>
      <w:proofErr w:type="spellEnd"/>
      <w:r w:rsidRPr="003F238D">
        <w:rPr>
          <w:lang w:val="es-US"/>
        </w:rPr>
        <w:t xml:space="preserve"> 1595-09, Gabriel Gómez Jaramillo (Colombia)</w:t>
      </w:r>
    </w:p>
    <w:p w14:paraId="5E3B1174" w14:textId="482D6EC4"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153/21, </w:t>
      </w:r>
      <w:proofErr w:type="spellStart"/>
      <w:r w:rsidRPr="003F238D">
        <w:rPr>
          <w:lang w:val="es-US"/>
        </w:rPr>
        <w:t>Petition</w:t>
      </w:r>
      <w:proofErr w:type="spellEnd"/>
      <w:r w:rsidRPr="003F238D">
        <w:rPr>
          <w:lang w:val="es-US"/>
        </w:rPr>
        <w:t xml:space="preserve"> 1216-12, Ángel José Quintero Mesa, Claudia Patricia Monsalve </w:t>
      </w:r>
      <w:proofErr w:type="spellStart"/>
      <w:r w:rsidRPr="003F238D">
        <w:rPr>
          <w:lang w:val="es-US"/>
        </w:rPr>
        <w:t>Pulgarin</w:t>
      </w:r>
      <w:proofErr w:type="spellEnd"/>
      <w:r w:rsidRPr="003F238D">
        <w:rPr>
          <w:lang w:val="es-US"/>
        </w:rPr>
        <w:t xml:space="preserve"> </w:t>
      </w:r>
      <w:r w:rsidR="008449D1" w:rsidRPr="003F238D">
        <w:rPr>
          <w:lang w:val="es-US"/>
        </w:rPr>
        <w:t xml:space="preserve">and relatives </w:t>
      </w:r>
      <w:r w:rsidRPr="003F238D">
        <w:rPr>
          <w:lang w:val="es-US"/>
        </w:rPr>
        <w:t>(Colombia)</w:t>
      </w:r>
    </w:p>
    <w:p w14:paraId="1B19810E" w14:textId="0DBEE7C1"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156/21, </w:t>
      </w:r>
      <w:proofErr w:type="spellStart"/>
      <w:r w:rsidRPr="003F238D">
        <w:rPr>
          <w:lang w:val="es-US"/>
        </w:rPr>
        <w:t>Petition</w:t>
      </w:r>
      <w:proofErr w:type="spellEnd"/>
      <w:r w:rsidRPr="003F238D">
        <w:rPr>
          <w:lang w:val="es-US"/>
        </w:rPr>
        <w:t xml:space="preserve"> 315-14, Claudia Beatriz Moreno Bonilla (Colombia)</w:t>
      </w:r>
    </w:p>
    <w:p w14:paraId="3C78A54B" w14:textId="1672589A"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157/21, </w:t>
      </w:r>
      <w:proofErr w:type="spellStart"/>
      <w:r w:rsidRPr="003F238D">
        <w:rPr>
          <w:lang w:val="es-US"/>
        </w:rPr>
        <w:t>Petition</w:t>
      </w:r>
      <w:proofErr w:type="spellEnd"/>
      <w:r w:rsidRPr="003F238D">
        <w:rPr>
          <w:lang w:val="es-US"/>
        </w:rPr>
        <w:t xml:space="preserve"> 1753-11, Julio Daniel Chaparro Hurtado </w:t>
      </w:r>
      <w:r w:rsidR="008449D1" w:rsidRPr="003F238D">
        <w:rPr>
          <w:lang w:val="es-US"/>
        </w:rPr>
        <w:t>and</w:t>
      </w:r>
      <w:r w:rsidRPr="003F238D">
        <w:rPr>
          <w:lang w:val="es-US"/>
        </w:rPr>
        <w:t xml:space="preserve"> Jorge Enrique Torres Navas y familias (Colombia)</w:t>
      </w:r>
    </w:p>
    <w:p w14:paraId="7B69F25A" w14:textId="7B314F36"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178/21, Petition 1956-12, Nicolás David </w:t>
      </w:r>
      <w:proofErr w:type="spellStart"/>
      <w:r w:rsidRPr="00524435">
        <w:t>Neira</w:t>
      </w:r>
      <w:proofErr w:type="spellEnd"/>
      <w:r w:rsidRPr="00524435">
        <w:t xml:space="preserve"> Álvarez </w:t>
      </w:r>
      <w:r w:rsidR="008449D1" w:rsidRPr="00524435">
        <w:t xml:space="preserve">and relatives </w:t>
      </w:r>
      <w:r w:rsidRPr="00524435">
        <w:t>(Colombia)</w:t>
      </w:r>
    </w:p>
    <w:p w14:paraId="2A836B2C" w14:textId="4299BA24"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192/21, </w:t>
      </w:r>
      <w:proofErr w:type="spellStart"/>
      <w:r w:rsidRPr="003F238D">
        <w:rPr>
          <w:lang w:val="es-US"/>
        </w:rPr>
        <w:t>Petition</w:t>
      </w:r>
      <w:proofErr w:type="spellEnd"/>
      <w:r w:rsidRPr="003F238D">
        <w:rPr>
          <w:lang w:val="es-US"/>
        </w:rPr>
        <w:t xml:space="preserve"> 1522-10, Fernando </w:t>
      </w:r>
      <w:proofErr w:type="spellStart"/>
      <w:r w:rsidRPr="003F238D">
        <w:rPr>
          <w:lang w:val="es-US"/>
        </w:rPr>
        <w:t>Beulo</w:t>
      </w:r>
      <w:proofErr w:type="spellEnd"/>
      <w:r w:rsidRPr="003F238D">
        <w:rPr>
          <w:lang w:val="es-US"/>
        </w:rPr>
        <w:t xml:space="preserve"> López Arias (Colombia) </w:t>
      </w:r>
    </w:p>
    <w:p w14:paraId="0EB32FDC" w14:textId="160A26D2"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194/21, Petition 1882-10, José </w:t>
      </w:r>
      <w:proofErr w:type="spellStart"/>
      <w:r w:rsidRPr="00524435">
        <w:t>Edilberto</w:t>
      </w:r>
      <w:proofErr w:type="spellEnd"/>
      <w:r w:rsidRPr="00524435">
        <w:t xml:space="preserve"> Hurtado </w:t>
      </w:r>
      <w:proofErr w:type="gramStart"/>
      <w:r w:rsidRPr="00524435">
        <w:t>Acevedo</w:t>
      </w:r>
      <w:proofErr w:type="gramEnd"/>
      <w:r w:rsidRPr="00524435">
        <w:t xml:space="preserve"> </w:t>
      </w:r>
      <w:r w:rsidR="008449D1" w:rsidRPr="00524435">
        <w:t>and family</w:t>
      </w:r>
      <w:r w:rsidRPr="00524435">
        <w:t xml:space="preserve"> (Colombia)</w:t>
      </w:r>
    </w:p>
    <w:p w14:paraId="0B3FB93B" w14:textId="316685CE"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218/21, Petition 556-08, José Jair Franco </w:t>
      </w:r>
      <w:proofErr w:type="gramStart"/>
      <w:r w:rsidRPr="00524435">
        <w:t>Perdomo</w:t>
      </w:r>
      <w:proofErr w:type="gramEnd"/>
      <w:r w:rsidRPr="00524435">
        <w:t xml:space="preserve"> </w:t>
      </w:r>
      <w:r w:rsidR="008449D1" w:rsidRPr="00524435">
        <w:t xml:space="preserve">and relatives </w:t>
      </w:r>
      <w:r w:rsidRPr="00524435">
        <w:t>(Colombia)</w:t>
      </w:r>
    </w:p>
    <w:p w14:paraId="26B1C9A7" w14:textId="7FFB399C"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219/21, Petition 710-10, Javier De Jesús </w:t>
      </w:r>
      <w:proofErr w:type="spellStart"/>
      <w:r w:rsidRPr="00524435">
        <w:t>Higuita</w:t>
      </w:r>
      <w:proofErr w:type="spellEnd"/>
      <w:r w:rsidRPr="00524435">
        <w:t xml:space="preserve"> </w:t>
      </w:r>
      <w:proofErr w:type="spellStart"/>
      <w:r w:rsidRPr="00524435">
        <w:t>Roldán</w:t>
      </w:r>
      <w:proofErr w:type="spellEnd"/>
      <w:r w:rsidRPr="00524435">
        <w:t xml:space="preserve"> </w:t>
      </w:r>
      <w:r w:rsidR="008449D1" w:rsidRPr="00524435">
        <w:t>and family</w:t>
      </w:r>
      <w:r w:rsidRPr="00524435">
        <w:t xml:space="preserve"> (Colombia)</w:t>
      </w:r>
    </w:p>
    <w:p w14:paraId="0D91CE82" w14:textId="6BE6AB0B"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220/21, Petition 1374-11, </w:t>
      </w:r>
      <w:proofErr w:type="spellStart"/>
      <w:r w:rsidRPr="00524435">
        <w:t>Jaír</w:t>
      </w:r>
      <w:proofErr w:type="spellEnd"/>
      <w:r w:rsidRPr="00524435">
        <w:t xml:space="preserve"> </w:t>
      </w:r>
      <w:proofErr w:type="spellStart"/>
      <w:r w:rsidRPr="00524435">
        <w:t>Tarache</w:t>
      </w:r>
      <w:proofErr w:type="spellEnd"/>
      <w:r w:rsidRPr="00524435">
        <w:t xml:space="preserve"> Cruz </w:t>
      </w:r>
      <w:r w:rsidR="008449D1" w:rsidRPr="00524435">
        <w:t>and family</w:t>
      </w:r>
      <w:r w:rsidRPr="00524435">
        <w:t xml:space="preserve"> (Colombia)</w:t>
      </w:r>
    </w:p>
    <w:p w14:paraId="2DAC059A" w14:textId="7147D0C1"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228/21, Petition 1529-14, Gilberto Ávila </w:t>
      </w:r>
      <w:proofErr w:type="spellStart"/>
      <w:r w:rsidRPr="00524435">
        <w:t>Bottia</w:t>
      </w:r>
      <w:proofErr w:type="spellEnd"/>
      <w:r w:rsidRPr="00524435">
        <w:t xml:space="preserve"> (Colombia)</w:t>
      </w:r>
    </w:p>
    <w:p w14:paraId="3B5FBD83" w14:textId="2EB5E0FE"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236/21, Petition 1969-12, Simón </w:t>
      </w:r>
      <w:proofErr w:type="spellStart"/>
      <w:r w:rsidRPr="00524435">
        <w:t>Efraín</w:t>
      </w:r>
      <w:proofErr w:type="spellEnd"/>
      <w:r w:rsidRPr="00524435">
        <w:t xml:space="preserve"> González Ramírez </w:t>
      </w:r>
      <w:r w:rsidR="008449D1" w:rsidRPr="00524435">
        <w:t>and family</w:t>
      </w:r>
      <w:r w:rsidRPr="00524435">
        <w:t xml:space="preserve"> (Colombia)</w:t>
      </w:r>
    </w:p>
    <w:p w14:paraId="62F618E3" w14:textId="547F5B1E"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241/21, </w:t>
      </w:r>
      <w:proofErr w:type="spellStart"/>
      <w:r w:rsidRPr="003F238D">
        <w:rPr>
          <w:lang w:val="es-US"/>
        </w:rPr>
        <w:t>Petition</w:t>
      </w:r>
      <w:proofErr w:type="spellEnd"/>
      <w:r w:rsidRPr="003F238D">
        <w:rPr>
          <w:lang w:val="es-US"/>
        </w:rPr>
        <w:t xml:space="preserve"> 762-10, Geovanni Aguirre Soto (Colombia)</w:t>
      </w:r>
    </w:p>
    <w:p w14:paraId="1625B58D" w14:textId="4AB8A108"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243/21, </w:t>
      </w:r>
      <w:proofErr w:type="spellStart"/>
      <w:r w:rsidRPr="003F238D">
        <w:rPr>
          <w:lang w:val="es-US"/>
        </w:rPr>
        <w:t>Petition</w:t>
      </w:r>
      <w:proofErr w:type="spellEnd"/>
      <w:r w:rsidRPr="003F238D">
        <w:rPr>
          <w:lang w:val="es-US"/>
        </w:rPr>
        <w:t xml:space="preserve"> 1791-10, Gonzalo García Angarita (Colombia)</w:t>
      </w:r>
    </w:p>
    <w:p w14:paraId="3FB2AA14" w14:textId="20ED12E2"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245/21, </w:t>
      </w:r>
      <w:proofErr w:type="spellStart"/>
      <w:r w:rsidRPr="003F238D">
        <w:rPr>
          <w:lang w:val="es-US"/>
        </w:rPr>
        <w:t>Petition</w:t>
      </w:r>
      <w:proofErr w:type="spellEnd"/>
      <w:r w:rsidRPr="003F238D">
        <w:rPr>
          <w:lang w:val="es-US"/>
        </w:rPr>
        <w:t xml:space="preserve"> 123-12, Jorge Enrique Tovar Vanegas (Colombia)</w:t>
      </w:r>
    </w:p>
    <w:p w14:paraId="4433A286" w14:textId="6F640372" w:rsidR="002B0ECE" w:rsidRPr="003F238D" w:rsidRDefault="002B0ECE" w:rsidP="0009324C">
      <w:pPr>
        <w:pStyle w:val="ListParagraph"/>
        <w:numPr>
          <w:ilvl w:val="0"/>
          <w:numId w:val="12"/>
        </w:numPr>
        <w:spacing w:after="0"/>
        <w:ind w:left="1260" w:hanging="540"/>
        <w:rPr>
          <w:rFonts w:eastAsiaTheme="minorHAnsi" w:cstheme="minorBidi"/>
          <w:lang w:val="es-US"/>
        </w:rPr>
      </w:pPr>
      <w:r w:rsidRPr="00DF0CD0">
        <w:rPr>
          <w:lang w:val="fr-CA"/>
        </w:rPr>
        <w:t xml:space="preserve">Report No. 254/21, </w:t>
      </w:r>
      <w:proofErr w:type="spellStart"/>
      <w:r w:rsidRPr="00DF0CD0">
        <w:rPr>
          <w:lang w:val="fr-CA"/>
        </w:rPr>
        <w:t>Petition</w:t>
      </w:r>
      <w:proofErr w:type="spellEnd"/>
      <w:r w:rsidRPr="00DF0CD0">
        <w:rPr>
          <w:lang w:val="fr-CA"/>
        </w:rPr>
        <w:t xml:space="preserve"> 1846-11, Giovanni Guzmán Pérez </w:t>
      </w:r>
      <w:r w:rsidR="008449D1" w:rsidRPr="00DF0CD0">
        <w:rPr>
          <w:lang w:val="fr-CA"/>
        </w:rPr>
        <w:t>et al.</w:t>
      </w:r>
      <w:r w:rsidRPr="00DF0CD0">
        <w:rPr>
          <w:lang w:val="fr-CA"/>
        </w:rPr>
        <w:t xml:space="preserve"> </w:t>
      </w:r>
      <w:r w:rsidRPr="003F238D">
        <w:rPr>
          <w:lang w:val="es-US"/>
        </w:rPr>
        <w:t>(Puerto Patiño</w:t>
      </w:r>
      <w:r w:rsidR="008449D1" w:rsidRPr="003F238D">
        <w:rPr>
          <w:lang w:val="es-US"/>
        </w:rPr>
        <w:t xml:space="preserve"> </w:t>
      </w:r>
      <w:proofErr w:type="spellStart"/>
      <w:r w:rsidR="008449D1" w:rsidRPr="003F238D">
        <w:rPr>
          <w:lang w:val="es-US"/>
        </w:rPr>
        <w:t>massacre</w:t>
      </w:r>
      <w:proofErr w:type="spellEnd"/>
      <w:r w:rsidRPr="003F238D">
        <w:rPr>
          <w:lang w:val="es-US"/>
        </w:rPr>
        <w:t>) (Colombia)</w:t>
      </w:r>
    </w:p>
    <w:p w14:paraId="0BEEBFAE" w14:textId="09E9699A"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255/21, Petition 225-12, Luis Felipe </w:t>
      </w:r>
      <w:proofErr w:type="spellStart"/>
      <w:r w:rsidRPr="00524435">
        <w:t>Vélez</w:t>
      </w:r>
      <w:proofErr w:type="spellEnd"/>
      <w:r w:rsidRPr="00524435">
        <w:t xml:space="preserve"> </w:t>
      </w:r>
      <w:proofErr w:type="gramStart"/>
      <w:r w:rsidRPr="00524435">
        <w:t>Herrera</w:t>
      </w:r>
      <w:proofErr w:type="gramEnd"/>
      <w:r w:rsidRPr="00524435">
        <w:t xml:space="preserve"> </w:t>
      </w:r>
      <w:r w:rsidR="008449D1" w:rsidRPr="00524435">
        <w:t>and family</w:t>
      </w:r>
      <w:r w:rsidRPr="00524435">
        <w:t xml:space="preserve"> (Colombia)</w:t>
      </w:r>
    </w:p>
    <w:p w14:paraId="613C373F" w14:textId="59AD8974"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274/21, Petition 329-10, Armando Amaris </w:t>
      </w:r>
      <w:proofErr w:type="spellStart"/>
      <w:proofErr w:type="gramStart"/>
      <w:r w:rsidRPr="00524435">
        <w:t>Pimienta</w:t>
      </w:r>
      <w:proofErr w:type="spellEnd"/>
      <w:proofErr w:type="gramEnd"/>
      <w:r w:rsidRPr="00524435">
        <w:t xml:space="preserve"> </w:t>
      </w:r>
      <w:r w:rsidR="008449D1" w:rsidRPr="00524435">
        <w:t>and family</w:t>
      </w:r>
      <w:r w:rsidRPr="00524435">
        <w:t xml:space="preserve"> (Colombia)</w:t>
      </w:r>
    </w:p>
    <w:p w14:paraId="5E205F33" w14:textId="7CB5A065"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275/21, </w:t>
      </w:r>
      <w:proofErr w:type="spellStart"/>
      <w:r w:rsidRPr="003F238D">
        <w:rPr>
          <w:lang w:val="es-US"/>
        </w:rPr>
        <w:t>Petition</w:t>
      </w:r>
      <w:proofErr w:type="spellEnd"/>
      <w:r w:rsidRPr="003F238D">
        <w:rPr>
          <w:lang w:val="es-US"/>
        </w:rPr>
        <w:t xml:space="preserve"> 494-09, Alberto Velásquez Vélez (Colombia)</w:t>
      </w:r>
    </w:p>
    <w:p w14:paraId="1AF11646" w14:textId="3E3C7FD2"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283/21, </w:t>
      </w:r>
      <w:proofErr w:type="spellStart"/>
      <w:r w:rsidRPr="003F238D">
        <w:rPr>
          <w:lang w:val="es-US"/>
        </w:rPr>
        <w:t>Petition</w:t>
      </w:r>
      <w:proofErr w:type="spellEnd"/>
      <w:r w:rsidRPr="003F238D">
        <w:rPr>
          <w:lang w:val="es-US"/>
        </w:rPr>
        <w:t xml:space="preserve"> 465-14, 467-14, Adelmo </w:t>
      </w:r>
      <w:proofErr w:type="spellStart"/>
      <w:r w:rsidRPr="003F238D">
        <w:rPr>
          <w:lang w:val="es-US"/>
        </w:rPr>
        <w:t>Vitonas</w:t>
      </w:r>
      <w:proofErr w:type="spellEnd"/>
      <w:r w:rsidRPr="003F238D">
        <w:rPr>
          <w:lang w:val="es-US"/>
        </w:rPr>
        <w:t xml:space="preserve"> </w:t>
      </w:r>
      <w:proofErr w:type="spellStart"/>
      <w:r w:rsidRPr="003F238D">
        <w:rPr>
          <w:lang w:val="es-US"/>
        </w:rPr>
        <w:t>Chilhueso</w:t>
      </w:r>
      <w:proofErr w:type="spellEnd"/>
      <w:r w:rsidRPr="003F238D">
        <w:rPr>
          <w:lang w:val="es-US"/>
        </w:rPr>
        <w:t xml:space="preserve"> </w:t>
      </w:r>
      <w:r w:rsidR="003366DE" w:rsidRPr="003F238D">
        <w:rPr>
          <w:lang w:val="es-US"/>
        </w:rPr>
        <w:t xml:space="preserve">et al. </w:t>
      </w:r>
      <w:r w:rsidRPr="003F238D">
        <w:rPr>
          <w:lang w:val="es-US"/>
        </w:rPr>
        <w:t>(Colombia)</w:t>
      </w:r>
    </w:p>
    <w:p w14:paraId="2DF040BD" w14:textId="1E0F7C4C"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284/21, </w:t>
      </w:r>
      <w:proofErr w:type="spellStart"/>
      <w:r w:rsidRPr="003F238D">
        <w:rPr>
          <w:lang w:val="es-US"/>
        </w:rPr>
        <w:t>Petition</w:t>
      </w:r>
      <w:proofErr w:type="spellEnd"/>
      <w:r w:rsidRPr="003F238D">
        <w:rPr>
          <w:lang w:val="es-US"/>
        </w:rPr>
        <w:t xml:space="preserve"> 165-14, José Joaquín Páez Monsalve (Colombia)</w:t>
      </w:r>
    </w:p>
    <w:p w14:paraId="74F06D2C" w14:textId="7A2F5FB3"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285/21, Petition 58-10, Jorge Humberto </w:t>
      </w:r>
      <w:proofErr w:type="spellStart"/>
      <w:r w:rsidRPr="00524435">
        <w:t>Gärtner</w:t>
      </w:r>
      <w:proofErr w:type="spellEnd"/>
      <w:r w:rsidRPr="00524435">
        <w:t xml:space="preserve"> López </w:t>
      </w:r>
      <w:r w:rsidR="0057284E" w:rsidRPr="00524435">
        <w:t xml:space="preserve">and family </w:t>
      </w:r>
      <w:r w:rsidRPr="00524435">
        <w:t>(Colombia)</w:t>
      </w:r>
    </w:p>
    <w:p w14:paraId="46991B02" w14:textId="1897FB7E" w:rsidR="002B0ECE" w:rsidRPr="00524435" w:rsidRDefault="002B0ECE" w:rsidP="0009324C">
      <w:pPr>
        <w:pStyle w:val="ListParagraph"/>
        <w:numPr>
          <w:ilvl w:val="0"/>
          <w:numId w:val="12"/>
        </w:numPr>
        <w:spacing w:after="0"/>
        <w:ind w:left="1260" w:hanging="540"/>
        <w:rPr>
          <w:rFonts w:eastAsiaTheme="minorHAnsi" w:cstheme="minorBidi"/>
        </w:rPr>
      </w:pPr>
      <w:r w:rsidRPr="00524435">
        <w:t>Report No. 309/21, Petition 984-10, J. A. V. V, (Colombia)</w:t>
      </w:r>
    </w:p>
    <w:p w14:paraId="7AADF676" w14:textId="669FCB61" w:rsidR="002B0ECE" w:rsidRPr="00524435" w:rsidRDefault="002B0ECE" w:rsidP="0009324C">
      <w:pPr>
        <w:pStyle w:val="ListParagraph"/>
        <w:numPr>
          <w:ilvl w:val="0"/>
          <w:numId w:val="12"/>
        </w:numPr>
        <w:spacing w:after="0"/>
        <w:ind w:left="1260" w:hanging="540"/>
        <w:rPr>
          <w:rFonts w:eastAsiaTheme="minorHAnsi" w:cstheme="minorBidi"/>
        </w:rPr>
      </w:pPr>
      <w:proofErr w:type="spellStart"/>
      <w:r w:rsidRPr="003F238D">
        <w:rPr>
          <w:lang w:val="es-US"/>
        </w:rPr>
        <w:t>Report</w:t>
      </w:r>
      <w:proofErr w:type="spellEnd"/>
      <w:r w:rsidRPr="003F238D">
        <w:rPr>
          <w:lang w:val="es-US"/>
        </w:rPr>
        <w:t xml:space="preserve"> No. 348/21, </w:t>
      </w:r>
      <w:proofErr w:type="spellStart"/>
      <w:r w:rsidRPr="003F238D">
        <w:rPr>
          <w:lang w:val="es-US"/>
        </w:rPr>
        <w:t>Petition</w:t>
      </w:r>
      <w:proofErr w:type="spellEnd"/>
      <w:r w:rsidRPr="003F238D">
        <w:rPr>
          <w:lang w:val="es-US"/>
        </w:rPr>
        <w:t xml:space="preserve"> 461-14, Soren Ulises Avilés Ángeles </w:t>
      </w:r>
      <w:r w:rsidR="008449D1" w:rsidRPr="003F238D">
        <w:rPr>
          <w:lang w:val="es-US"/>
        </w:rPr>
        <w:t>et al.</w:t>
      </w:r>
      <w:r w:rsidRPr="003F238D">
        <w:rPr>
          <w:lang w:val="es-US"/>
        </w:rPr>
        <w:t xml:space="preserve"> </w:t>
      </w:r>
      <w:r w:rsidRPr="00524435">
        <w:t>(Colombia)</w:t>
      </w:r>
    </w:p>
    <w:p w14:paraId="7ED50BCB" w14:textId="095338F4" w:rsidR="002B0ECE" w:rsidRPr="00524435" w:rsidRDefault="002B0ECE" w:rsidP="0009324C">
      <w:pPr>
        <w:pStyle w:val="ListParagraph"/>
        <w:numPr>
          <w:ilvl w:val="0"/>
          <w:numId w:val="12"/>
        </w:numPr>
        <w:spacing w:after="0"/>
        <w:ind w:left="1260" w:hanging="540"/>
        <w:rPr>
          <w:rFonts w:eastAsiaTheme="minorHAnsi" w:cstheme="minorBidi"/>
        </w:rPr>
      </w:pPr>
      <w:proofErr w:type="spellStart"/>
      <w:r w:rsidRPr="003F238D">
        <w:rPr>
          <w:lang w:val="es-US"/>
        </w:rPr>
        <w:t>Report</w:t>
      </w:r>
      <w:proofErr w:type="spellEnd"/>
      <w:r w:rsidRPr="003F238D">
        <w:rPr>
          <w:lang w:val="es-US"/>
        </w:rPr>
        <w:t xml:space="preserve"> No. 362/21, </w:t>
      </w:r>
      <w:proofErr w:type="spellStart"/>
      <w:r w:rsidRPr="003F238D">
        <w:rPr>
          <w:lang w:val="es-US"/>
        </w:rPr>
        <w:t>Petition</w:t>
      </w:r>
      <w:proofErr w:type="spellEnd"/>
      <w:r w:rsidRPr="003F238D">
        <w:rPr>
          <w:lang w:val="es-US"/>
        </w:rPr>
        <w:t xml:space="preserve"> 638-12, Elizabeth Navarro Pizarro </w:t>
      </w:r>
      <w:r w:rsidR="008449D1" w:rsidRPr="003F238D">
        <w:rPr>
          <w:lang w:val="es-US"/>
        </w:rPr>
        <w:t>et al.</w:t>
      </w:r>
      <w:r w:rsidRPr="003F238D">
        <w:rPr>
          <w:lang w:val="es-US"/>
        </w:rPr>
        <w:t xml:space="preserve"> </w:t>
      </w:r>
      <w:r w:rsidRPr="00524435">
        <w:t>(Colombia)</w:t>
      </w:r>
    </w:p>
    <w:p w14:paraId="4E325F8F" w14:textId="59A47C83"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363/21, Petition 1366-09, </w:t>
      </w:r>
      <w:proofErr w:type="spellStart"/>
      <w:r w:rsidRPr="00524435">
        <w:t>Edualdo</w:t>
      </w:r>
      <w:proofErr w:type="spellEnd"/>
      <w:r w:rsidRPr="00524435">
        <w:t xml:space="preserve"> Léon Díaz </w:t>
      </w:r>
      <w:proofErr w:type="gramStart"/>
      <w:r w:rsidRPr="00524435">
        <w:t>Salgado</w:t>
      </w:r>
      <w:proofErr w:type="gramEnd"/>
      <w:r w:rsidRPr="00524435">
        <w:t xml:space="preserve"> </w:t>
      </w:r>
      <w:r w:rsidR="008449D1" w:rsidRPr="00524435">
        <w:t>and family</w:t>
      </w:r>
      <w:r w:rsidRPr="00524435">
        <w:t xml:space="preserve"> (Colombia)</w:t>
      </w:r>
    </w:p>
    <w:p w14:paraId="7D88D1AE" w14:textId="217CA70C"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364/21, </w:t>
      </w:r>
      <w:proofErr w:type="spellStart"/>
      <w:r w:rsidRPr="003F238D">
        <w:rPr>
          <w:lang w:val="es-US"/>
        </w:rPr>
        <w:t>Petition</w:t>
      </w:r>
      <w:proofErr w:type="spellEnd"/>
      <w:r w:rsidRPr="003F238D">
        <w:rPr>
          <w:lang w:val="es-US"/>
        </w:rPr>
        <w:t xml:space="preserve"> 909-11, José </w:t>
      </w:r>
      <w:proofErr w:type="spellStart"/>
      <w:r w:rsidRPr="003F238D">
        <w:rPr>
          <w:lang w:val="es-US"/>
        </w:rPr>
        <w:t>Roselino</w:t>
      </w:r>
      <w:proofErr w:type="spellEnd"/>
      <w:r w:rsidRPr="003F238D">
        <w:rPr>
          <w:lang w:val="es-US"/>
        </w:rPr>
        <w:t xml:space="preserve"> Granados </w:t>
      </w:r>
      <w:r w:rsidR="008449D1" w:rsidRPr="003F238D">
        <w:rPr>
          <w:lang w:val="es-US"/>
        </w:rPr>
        <w:t>et al.</w:t>
      </w:r>
      <w:r w:rsidRPr="003F238D">
        <w:rPr>
          <w:lang w:val="es-US"/>
        </w:rPr>
        <w:t xml:space="preserve"> (Colombia)</w:t>
      </w:r>
    </w:p>
    <w:p w14:paraId="04E0ED29" w14:textId="0CAD3501"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366/21, Petition 1311-12, José Alirio </w:t>
      </w:r>
      <w:proofErr w:type="spellStart"/>
      <w:r w:rsidRPr="00524435">
        <w:t>Cañas</w:t>
      </w:r>
      <w:proofErr w:type="spellEnd"/>
      <w:r w:rsidRPr="00524435">
        <w:t xml:space="preserve"> </w:t>
      </w:r>
      <w:proofErr w:type="gramStart"/>
      <w:r w:rsidRPr="00524435">
        <w:t>Morales</w:t>
      </w:r>
      <w:proofErr w:type="gramEnd"/>
      <w:r w:rsidRPr="00524435">
        <w:t xml:space="preserve"> </w:t>
      </w:r>
      <w:r w:rsidR="008449D1" w:rsidRPr="00524435">
        <w:t>and family</w:t>
      </w:r>
      <w:r w:rsidRPr="00524435">
        <w:t xml:space="preserve"> (Colombia)</w:t>
      </w:r>
    </w:p>
    <w:p w14:paraId="43F6F591" w14:textId="6B32C8F0" w:rsidR="002B0ECE" w:rsidRPr="00524435" w:rsidRDefault="002B0ECE" w:rsidP="0009324C">
      <w:pPr>
        <w:pStyle w:val="ListParagraph"/>
        <w:numPr>
          <w:ilvl w:val="0"/>
          <w:numId w:val="12"/>
        </w:numPr>
        <w:spacing w:after="0"/>
        <w:ind w:left="1260" w:hanging="540"/>
        <w:rPr>
          <w:rFonts w:eastAsiaTheme="minorHAnsi" w:cstheme="minorBidi"/>
        </w:rPr>
      </w:pPr>
      <w:proofErr w:type="spellStart"/>
      <w:r w:rsidRPr="003F238D">
        <w:rPr>
          <w:lang w:val="es-US"/>
        </w:rPr>
        <w:t>Report</w:t>
      </w:r>
      <w:proofErr w:type="spellEnd"/>
      <w:r w:rsidRPr="003F238D">
        <w:rPr>
          <w:lang w:val="es-US"/>
        </w:rPr>
        <w:t xml:space="preserve"> No. 367/21, </w:t>
      </w:r>
      <w:proofErr w:type="spellStart"/>
      <w:r w:rsidRPr="003F238D">
        <w:rPr>
          <w:lang w:val="es-US"/>
        </w:rPr>
        <w:t>Petition</w:t>
      </w:r>
      <w:proofErr w:type="spellEnd"/>
      <w:r w:rsidRPr="003F238D">
        <w:rPr>
          <w:lang w:val="es-US"/>
        </w:rPr>
        <w:t xml:space="preserve"> 1490-12, José Aníbal </w:t>
      </w:r>
      <w:proofErr w:type="spellStart"/>
      <w:r w:rsidRPr="003F238D">
        <w:rPr>
          <w:lang w:val="es-US"/>
        </w:rPr>
        <w:t>Garcerant</w:t>
      </w:r>
      <w:proofErr w:type="spellEnd"/>
      <w:r w:rsidRPr="003F238D">
        <w:rPr>
          <w:lang w:val="es-US"/>
        </w:rPr>
        <w:t xml:space="preserve"> Mejía, Julio Contreras </w:t>
      </w:r>
      <w:proofErr w:type="gramStart"/>
      <w:r w:rsidRPr="003F238D">
        <w:rPr>
          <w:lang w:val="es-US"/>
        </w:rPr>
        <w:t xml:space="preserve">Rincones  </w:t>
      </w:r>
      <w:r w:rsidR="003366DE" w:rsidRPr="003F238D">
        <w:rPr>
          <w:lang w:val="es-US"/>
        </w:rPr>
        <w:t>et al.</w:t>
      </w:r>
      <w:proofErr w:type="gramEnd"/>
      <w:r w:rsidRPr="003F238D">
        <w:rPr>
          <w:lang w:val="es-US"/>
        </w:rPr>
        <w:t xml:space="preserve">  </w:t>
      </w:r>
      <w:r w:rsidRPr="00524435">
        <w:t>(Villanueva</w:t>
      </w:r>
      <w:r w:rsidR="003366DE" w:rsidRPr="00524435">
        <w:t xml:space="preserve"> massacre</w:t>
      </w:r>
      <w:r w:rsidRPr="00524435">
        <w:t>) (Colombia)</w:t>
      </w:r>
    </w:p>
    <w:p w14:paraId="743793F0" w14:textId="522F3E7E" w:rsidR="002B0ECE" w:rsidRPr="00524435" w:rsidRDefault="002B0ECE" w:rsidP="0009324C">
      <w:pPr>
        <w:pStyle w:val="ListParagraph"/>
        <w:numPr>
          <w:ilvl w:val="0"/>
          <w:numId w:val="12"/>
        </w:numPr>
        <w:spacing w:after="0"/>
        <w:ind w:left="1260" w:hanging="540"/>
        <w:rPr>
          <w:rFonts w:eastAsiaTheme="minorHAnsi" w:cstheme="minorBidi"/>
          <w:color w:val="000000"/>
        </w:rPr>
      </w:pPr>
      <w:r w:rsidRPr="00DF0CD0">
        <w:rPr>
          <w:color w:val="000000"/>
          <w:lang w:val="pt-BR"/>
        </w:rPr>
        <w:t>Report No. 368/21, Petition 1466-13,</w:t>
      </w:r>
      <w:r w:rsidRPr="00DF0CD0">
        <w:rPr>
          <w:lang w:val="pt-BR"/>
        </w:rPr>
        <w:t xml:space="preserve"> </w:t>
      </w:r>
      <w:r w:rsidRPr="00DF0CD0">
        <w:rPr>
          <w:color w:val="000000"/>
          <w:lang w:val="pt-BR"/>
        </w:rPr>
        <w:t xml:space="preserve">Cruz Maria Méndez Arana </w:t>
      </w:r>
      <w:r w:rsidR="003366DE" w:rsidRPr="00DF0CD0">
        <w:rPr>
          <w:color w:val="000000"/>
          <w:lang w:val="pt-BR"/>
        </w:rPr>
        <w:t>et al.</w:t>
      </w:r>
      <w:r w:rsidRPr="00DF0CD0">
        <w:rPr>
          <w:color w:val="000000"/>
          <w:lang w:val="pt-BR"/>
        </w:rPr>
        <w:t xml:space="preserve"> </w:t>
      </w:r>
      <w:proofErr w:type="gramStart"/>
      <w:r w:rsidRPr="00524435">
        <w:rPr>
          <w:color w:val="000000"/>
        </w:rPr>
        <w:t>( San</w:t>
      </w:r>
      <w:proofErr w:type="gramEnd"/>
      <w:r w:rsidRPr="00524435">
        <w:rPr>
          <w:color w:val="000000"/>
        </w:rPr>
        <w:t xml:space="preserve"> Salvador</w:t>
      </w:r>
      <w:r w:rsidR="003366DE" w:rsidRPr="00524435">
        <w:rPr>
          <w:color w:val="000000"/>
        </w:rPr>
        <w:t xml:space="preserve"> massacre</w:t>
      </w:r>
      <w:r w:rsidRPr="00524435">
        <w:rPr>
          <w:color w:val="000000"/>
        </w:rPr>
        <w:t>) (Colombia)</w:t>
      </w:r>
    </w:p>
    <w:p w14:paraId="13335D58" w14:textId="4058D1EA"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369/21, </w:t>
      </w:r>
      <w:proofErr w:type="spellStart"/>
      <w:r w:rsidRPr="003F238D">
        <w:rPr>
          <w:lang w:val="es-US"/>
        </w:rPr>
        <w:t>Petition</w:t>
      </w:r>
      <w:proofErr w:type="spellEnd"/>
      <w:r w:rsidRPr="003F238D">
        <w:rPr>
          <w:lang w:val="es-US"/>
        </w:rPr>
        <w:t xml:space="preserve"> 1922-12, Alix Fabián Vargas Hernández </w:t>
      </w:r>
      <w:r w:rsidR="003366DE" w:rsidRPr="003F238D">
        <w:rPr>
          <w:lang w:val="es-US"/>
        </w:rPr>
        <w:t>et al.</w:t>
      </w:r>
      <w:r w:rsidRPr="003F238D">
        <w:rPr>
          <w:lang w:val="es-US"/>
        </w:rPr>
        <w:t xml:space="preserve"> (Colombia)</w:t>
      </w:r>
    </w:p>
    <w:p w14:paraId="3490B5E3" w14:textId="61CA8E78"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370/21, </w:t>
      </w:r>
      <w:proofErr w:type="spellStart"/>
      <w:r w:rsidRPr="003F238D">
        <w:rPr>
          <w:lang w:val="es-US"/>
        </w:rPr>
        <w:t>Petition</w:t>
      </w:r>
      <w:proofErr w:type="spellEnd"/>
      <w:r w:rsidRPr="003F238D">
        <w:rPr>
          <w:lang w:val="es-US"/>
        </w:rPr>
        <w:t xml:space="preserve"> 1958-12, </w:t>
      </w:r>
      <w:proofErr w:type="spellStart"/>
      <w:r w:rsidRPr="003F238D">
        <w:rPr>
          <w:lang w:val="es-US"/>
        </w:rPr>
        <w:t>Dionila</w:t>
      </w:r>
      <w:proofErr w:type="spellEnd"/>
      <w:r w:rsidRPr="003F238D">
        <w:rPr>
          <w:lang w:val="es-US"/>
        </w:rPr>
        <w:t xml:space="preserve"> </w:t>
      </w:r>
      <w:proofErr w:type="spellStart"/>
      <w:r w:rsidRPr="003F238D">
        <w:rPr>
          <w:lang w:val="es-US"/>
        </w:rPr>
        <w:t>Vitonas</w:t>
      </w:r>
      <w:proofErr w:type="spellEnd"/>
      <w:r w:rsidRPr="003F238D">
        <w:rPr>
          <w:lang w:val="es-US"/>
        </w:rPr>
        <w:t xml:space="preserve"> </w:t>
      </w:r>
      <w:proofErr w:type="spellStart"/>
      <w:r w:rsidRPr="003F238D">
        <w:rPr>
          <w:lang w:val="es-US"/>
        </w:rPr>
        <w:t>Chulhueso</w:t>
      </w:r>
      <w:proofErr w:type="spellEnd"/>
      <w:r w:rsidRPr="003F238D">
        <w:rPr>
          <w:lang w:val="es-US"/>
        </w:rPr>
        <w:t xml:space="preserve"> (Colombia)</w:t>
      </w:r>
    </w:p>
    <w:p w14:paraId="2E9E92CB" w14:textId="20C8AA6E"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371/21, Petition 2011-12, Jorge Alexander Bustamante </w:t>
      </w:r>
      <w:proofErr w:type="spellStart"/>
      <w:r w:rsidRPr="00524435">
        <w:t>Goez</w:t>
      </w:r>
      <w:proofErr w:type="spellEnd"/>
      <w:r w:rsidRPr="00524435">
        <w:t xml:space="preserve"> </w:t>
      </w:r>
      <w:r w:rsidR="003366DE" w:rsidRPr="00524435">
        <w:t>et al.</w:t>
      </w:r>
      <w:r w:rsidRPr="00524435">
        <w:t xml:space="preserve"> (Colombia)</w:t>
      </w:r>
    </w:p>
    <w:p w14:paraId="14723A9C" w14:textId="3EFCA6CE"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372/21, </w:t>
      </w:r>
      <w:proofErr w:type="spellStart"/>
      <w:r w:rsidRPr="003F238D">
        <w:rPr>
          <w:lang w:val="es-US"/>
        </w:rPr>
        <w:t>Petition</w:t>
      </w:r>
      <w:proofErr w:type="spellEnd"/>
      <w:r w:rsidRPr="003F238D">
        <w:rPr>
          <w:lang w:val="es-US"/>
        </w:rPr>
        <w:t xml:space="preserve"> 439-13, José Orlando Muñoz Valencia, Roberto Enrique Bastidas Muñoz </w:t>
      </w:r>
      <w:r w:rsidR="003366DE" w:rsidRPr="003F238D">
        <w:rPr>
          <w:lang w:val="es-US"/>
        </w:rPr>
        <w:t>and relatives</w:t>
      </w:r>
      <w:r w:rsidRPr="003F238D">
        <w:rPr>
          <w:lang w:val="es-US"/>
        </w:rPr>
        <w:t xml:space="preserve"> (Colombia)</w:t>
      </w:r>
    </w:p>
    <w:p w14:paraId="7D3F235F" w14:textId="4ABB1E3D"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373/21, Petition 590-13, Oscar Darío Soto </w:t>
      </w:r>
      <w:proofErr w:type="gramStart"/>
      <w:r w:rsidRPr="00524435">
        <w:t>Polo</w:t>
      </w:r>
      <w:proofErr w:type="gramEnd"/>
      <w:r w:rsidRPr="00524435">
        <w:t xml:space="preserve"> </w:t>
      </w:r>
      <w:r w:rsidR="003366DE" w:rsidRPr="00524435">
        <w:t xml:space="preserve">and relatives </w:t>
      </w:r>
      <w:r w:rsidRPr="00524435">
        <w:t>(Colombia)</w:t>
      </w:r>
    </w:p>
    <w:p w14:paraId="7A3CF642" w14:textId="681F7912"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374/21, Petition 1533-13, Cirilo Caldera </w:t>
      </w:r>
      <w:proofErr w:type="spellStart"/>
      <w:proofErr w:type="gramStart"/>
      <w:r w:rsidRPr="00524435">
        <w:t>Uriana</w:t>
      </w:r>
      <w:proofErr w:type="spellEnd"/>
      <w:proofErr w:type="gramEnd"/>
      <w:r w:rsidRPr="00524435">
        <w:t xml:space="preserve"> </w:t>
      </w:r>
      <w:r w:rsidR="003366DE" w:rsidRPr="00524435">
        <w:t xml:space="preserve">and relatives </w:t>
      </w:r>
      <w:r w:rsidRPr="00524435">
        <w:t>(Colombia)</w:t>
      </w:r>
    </w:p>
    <w:p w14:paraId="0FC040D5" w14:textId="6A35FACF"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lastRenderedPageBreak/>
        <w:t>Report</w:t>
      </w:r>
      <w:proofErr w:type="spellEnd"/>
      <w:r w:rsidRPr="003F238D">
        <w:rPr>
          <w:lang w:val="es-US"/>
        </w:rPr>
        <w:t xml:space="preserve"> No. 375/21, </w:t>
      </w:r>
      <w:proofErr w:type="spellStart"/>
      <w:r w:rsidRPr="003F238D">
        <w:rPr>
          <w:lang w:val="es-US"/>
        </w:rPr>
        <w:t>Petition</w:t>
      </w:r>
      <w:proofErr w:type="spellEnd"/>
      <w:r w:rsidRPr="003F238D">
        <w:rPr>
          <w:lang w:val="es-US"/>
        </w:rPr>
        <w:t xml:space="preserve"> 450-14, Diego Felipe Becerra Lizarazo </w:t>
      </w:r>
      <w:r w:rsidR="003366DE" w:rsidRPr="003F238D">
        <w:rPr>
          <w:lang w:val="es-US"/>
        </w:rPr>
        <w:t xml:space="preserve">and </w:t>
      </w:r>
      <w:proofErr w:type="spellStart"/>
      <w:r w:rsidR="003366DE" w:rsidRPr="003F238D">
        <w:rPr>
          <w:lang w:val="es-US"/>
        </w:rPr>
        <w:t>family</w:t>
      </w:r>
      <w:proofErr w:type="spellEnd"/>
      <w:r w:rsidRPr="003F238D">
        <w:rPr>
          <w:lang w:val="es-US"/>
        </w:rPr>
        <w:t xml:space="preserve"> (Colombia)</w:t>
      </w:r>
    </w:p>
    <w:p w14:paraId="5D83F2C9" w14:textId="0329B130"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425/21, Petition 900-11, </w:t>
      </w:r>
      <w:proofErr w:type="spellStart"/>
      <w:r w:rsidRPr="00524435">
        <w:t>Olinto</w:t>
      </w:r>
      <w:proofErr w:type="spellEnd"/>
      <w:r w:rsidRPr="00524435">
        <w:t xml:space="preserve"> Arias Díaz </w:t>
      </w:r>
      <w:r w:rsidR="003366DE" w:rsidRPr="00524435">
        <w:t xml:space="preserve">and relatives </w:t>
      </w:r>
      <w:r w:rsidRPr="00524435">
        <w:t>(Colombia)</w:t>
      </w:r>
    </w:p>
    <w:p w14:paraId="2A05E6D5" w14:textId="28B4FA91"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426/21, </w:t>
      </w:r>
      <w:proofErr w:type="spellStart"/>
      <w:r w:rsidRPr="003F238D">
        <w:rPr>
          <w:lang w:val="es-US"/>
        </w:rPr>
        <w:t>Petition</w:t>
      </w:r>
      <w:proofErr w:type="spellEnd"/>
      <w:r w:rsidRPr="003F238D">
        <w:rPr>
          <w:lang w:val="es-US"/>
        </w:rPr>
        <w:t xml:space="preserve"> 78-12, Óscar de Jesús López Cadavid (Colombia)</w:t>
      </w:r>
    </w:p>
    <w:p w14:paraId="3F753CBD" w14:textId="30D42D51"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427/21, </w:t>
      </w:r>
      <w:proofErr w:type="spellStart"/>
      <w:r w:rsidRPr="003F238D">
        <w:rPr>
          <w:lang w:val="es-US"/>
        </w:rPr>
        <w:t>Petition</w:t>
      </w:r>
      <w:proofErr w:type="spellEnd"/>
      <w:r w:rsidRPr="003F238D">
        <w:rPr>
          <w:lang w:val="es-US"/>
        </w:rPr>
        <w:t xml:space="preserve"> 140-12, Odín Horacio Sánchez Montes de Oca (Colombia)</w:t>
      </w:r>
    </w:p>
    <w:p w14:paraId="0FA803D1" w14:textId="35E59342"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430/21, </w:t>
      </w:r>
      <w:proofErr w:type="spellStart"/>
      <w:r w:rsidRPr="003F238D">
        <w:rPr>
          <w:lang w:val="es-US"/>
        </w:rPr>
        <w:t>Petition</w:t>
      </w:r>
      <w:proofErr w:type="spellEnd"/>
      <w:r w:rsidRPr="003F238D">
        <w:rPr>
          <w:lang w:val="es-US"/>
        </w:rPr>
        <w:t xml:space="preserve"> 1846-12, Oscar </w:t>
      </w:r>
      <w:proofErr w:type="spellStart"/>
      <w:r w:rsidRPr="003F238D">
        <w:rPr>
          <w:lang w:val="es-US"/>
        </w:rPr>
        <w:t>Leonidas</w:t>
      </w:r>
      <w:proofErr w:type="spellEnd"/>
      <w:r w:rsidRPr="003F238D">
        <w:rPr>
          <w:lang w:val="es-US"/>
        </w:rPr>
        <w:t xml:space="preserve"> </w:t>
      </w:r>
      <w:proofErr w:type="spellStart"/>
      <w:r w:rsidRPr="003F238D">
        <w:rPr>
          <w:lang w:val="es-US"/>
        </w:rPr>
        <w:t>Wilchez</w:t>
      </w:r>
      <w:proofErr w:type="spellEnd"/>
      <w:r w:rsidRPr="003F238D">
        <w:rPr>
          <w:lang w:val="es-US"/>
        </w:rPr>
        <w:t xml:space="preserve"> Carreño (Colombia)</w:t>
      </w:r>
    </w:p>
    <w:p w14:paraId="3BA724A5" w14:textId="4C614D53"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50/21, </w:t>
      </w:r>
      <w:proofErr w:type="spellStart"/>
      <w:r w:rsidRPr="003F238D">
        <w:rPr>
          <w:lang w:val="es-US"/>
        </w:rPr>
        <w:t>Petition</w:t>
      </w:r>
      <w:proofErr w:type="spellEnd"/>
      <w:r w:rsidRPr="003F238D">
        <w:rPr>
          <w:lang w:val="es-US"/>
        </w:rPr>
        <w:t xml:space="preserve"> 2208-12, Trabajadores del Sindicato UPINS (Costa Rica)</w:t>
      </w:r>
    </w:p>
    <w:p w14:paraId="16359EDE" w14:textId="75AA999D"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65/21, Petition 354-12, </w:t>
      </w:r>
      <w:proofErr w:type="spellStart"/>
      <w:r w:rsidRPr="00524435">
        <w:t>Evgeny</w:t>
      </w:r>
      <w:proofErr w:type="spellEnd"/>
      <w:r w:rsidRPr="00524435">
        <w:t xml:space="preserve"> </w:t>
      </w:r>
      <w:proofErr w:type="spellStart"/>
      <w:r w:rsidRPr="00524435">
        <w:t>Konstantinovich</w:t>
      </w:r>
      <w:proofErr w:type="spellEnd"/>
      <w:r w:rsidRPr="00524435">
        <w:t xml:space="preserve"> Otto (Costa Rica)</w:t>
      </w:r>
    </w:p>
    <w:p w14:paraId="221C64B8" w14:textId="609C9E49"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165/21, </w:t>
      </w:r>
      <w:proofErr w:type="spellStart"/>
      <w:r w:rsidRPr="003F238D">
        <w:rPr>
          <w:lang w:val="es-US"/>
        </w:rPr>
        <w:t>Petition</w:t>
      </w:r>
      <w:proofErr w:type="spellEnd"/>
      <w:r w:rsidRPr="003F238D">
        <w:rPr>
          <w:lang w:val="es-US"/>
        </w:rPr>
        <w:t xml:space="preserve"> 1183-08, Dennis Rodríguez Cadena (Costa Rica)</w:t>
      </w:r>
    </w:p>
    <w:p w14:paraId="3650B7EB" w14:textId="3771575F"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276/21, </w:t>
      </w:r>
      <w:proofErr w:type="spellStart"/>
      <w:r w:rsidRPr="003F238D">
        <w:rPr>
          <w:lang w:val="es-US"/>
        </w:rPr>
        <w:t>Petition</w:t>
      </w:r>
      <w:proofErr w:type="spellEnd"/>
      <w:r w:rsidRPr="003F238D">
        <w:rPr>
          <w:lang w:val="es-US"/>
        </w:rPr>
        <w:t xml:space="preserve"> 443-11, Ángel Domingo Ortiz Morales </w:t>
      </w:r>
      <w:r w:rsidR="00772E07" w:rsidRPr="003F238D">
        <w:rPr>
          <w:lang w:val="es-US"/>
        </w:rPr>
        <w:t>and</w:t>
      </w:r>
      <w:r w:rsidRPr="003F238D">
        <w:rPr>
          <w:lang w:val="es-US"/>
        </w:rPr>
        <w:t xml:space="preserve"> Edvin Ortiz Torres (Costa Rica)</w:t>
      </w:r>
    </w:p>
    <w:p w14:paraId="51AC7A60" w14:textId="26DB585B"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317/21, Petition 1842-14, M </w:t>
      </w:r>
      <w:r w:rsidR="003366DE" w:rsidRPr="00524435">
        <w:t>and</w:t>
      </w:r>
      <w:r w:rsidRPr="00524435">
        <w:t xml:space="preserve"> C (Costa Rica)</w:t>
      </w:r>
    </w:p>
    <w:p w14:paraId="60DFA411" w14:textId="13A54B9E"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34/21, </w:t>
      </w:r>
      <w:proofErr w:type="spellStart"/>
      <w:r w:rsidRPr="003F238D">
        <w:rPr>
          <w:lang w:val="es-US"/>
        </w:rPr>
        <w:t>Petition</w:t>
      </w:r>
      <w:proofErr w:type="spellEnd"/>
      <w:r w:rsidRPr="003F238D">
        <w:rPr>
          <w:lang w:val="es-US"/>
        </w:rPr>
        <w:t xml:space="preserve"> 1270-10, Marco Eugenio Bravo Sarmiento (Ecuador)</w:t>
      </w:r>
    </w:p>
    <w:p w14:paraId="7EA60F4A" w14:textId="48A0DC7A"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35/21, Petition 572-09, Milton Nelson </w:t>
      </w:r>
      <w:proofErr w:type="spellStart"/>
      <w:r w:rsidRPr="00524435">
        <w:t>Chacaguasay</w:t>
      </w:r>
      <w:proofErr w:type="spellEnd"/>
      <w:r w:rsidRPr="00524435">
        <w:t xml:space="preserve"> Flores (Ecuador)</w:t>
      </w:r>
    </w:p>
    <w:p w14:paraId="43A59866" w14:textId="58690FD6" w:rsidR="002B0ECE" w:rsidRPr="00524435" w:rsidRDefault="002B0ECE" w:rsidP="0009324C">
      <w:pPr>
        <w:pStyle w:val="ListParagraph"/>
        <w:numPr>
          <w:ilvl w:val="0"/>
          <w:numId w:val="12"/>
        </w:numPr>
        <w:spacing w:after="0"/>
        <w:ind w:left="1260" w:hanging="540"/>
        <w:rPr>
          <w:rFonts w:eastAsiaTheme="minorHAnsi" w:cstheme="minorBidi"/>
        </w:rPr>
      </w:pPr>
      <w:proofErr w:type="spellStart"/>
      <w:r w:rsidRPr="003F238D">
        <w:rPr>
          <w:lang w:val="es-US"/>
        </w:rPr>
        <w:t>Report</w:t>
      </w:r>
      <w:proofErr w:type="spellEnd"/>
      <w:r w:rsidRPr="003F238D">
        <w:rPr>
          <w:lang w:val="es-US"/>
        </w:rPr>
        <w:t xml:space="preserve"> No. 124/21, </w:t>
      </w:r>
      <w:proofErr w:type="spellStart"/>
      <w:r w:rsidRPr="003F238D">
        <w:rPr>
          <w:lang w:val="es-US"/>
        </w:rPr>
        <w:t>Petition</w:t>
      </w:r>
      <w:proofErr w:type="spellEnd"/>
      <w:r w:rsidRPr="003F238D">
        <w:rPr>
          <w:lang w:val="es-US"/>
        </w:rPr>
        <w:t xml:space="preserve"> 341-09, María Fernanda Peñafiel Salgado </w:t>
      </w:r>
      <w:r w:rsidR="003366DE" w:rsidRPr="003F238D">
        <w:rPr>
          <w:lang w:val="es-US"/>
        </w:rPr>
        <w:t xml:space="preserve">et al. </w:t>
      </w:r>
      <w:r w:rsidRPr="00524435">
        <w:t>(Ecuador)</w:t>
      </w:r>
    </w:p>
    <w:p w14:paraId="42D4471D" w14:textId="0A11CE76"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125/21, </w:t>
      </w:r>
      <w:proofErr w:type="spellStart"/>
      <w:r w:rsidRPr="003F238D">
        <w:rPr>
          <w:lang w:val="es-US"/>
        </w:rPr>
        <w:t>Petition</w:t>
      </w:r>
      <w:proofErr w:type="spellEnd"/>
      <w:r w:rsidRPr="003F238D">
        <w:rPr>
          <w:lang w:val="es-US"/>
        </w:rPr>
        <w:t xml:space="preserve"> 1869-12, Mónica </w:t>
      </w:r>
      <w:proofErr w:type="spellStart"/>
      <w:r w:rsidRPr="003F238D">
        <w:rPr>
          <w:lang w:val="es-US"/>
        </w:rPr>
        <w:t>Chuji</w:t>
      </w:r>
      <w:proofErr w:type="spellEnd"/>
      <w:r w:rsidRPr="003F238D">
        <w:rPr>
          <w:lang w:val="es-US"/>
        </w:rPr>
        <w:t xml:space="preserve"> </w:t>
      </w:r>
      <w:proofErr w:type="spellStart"/>
      <w:r w:rsidRPr="003F238D">
        <w:rPr>
          <w:lang w:val="es-US"/>
        </w:rPr>
        <w:t>Gualinga</w:t>
      </w:r>
      <w:proofErr w:type="spellEnd"/>
      <w:r w:rsidRPr="003F238D">
        <w:rPr>
          <w:lang w:val="es-US"/>
        </w:rPr>
        <w:t xml:space="preserve"> (Ecuador)</w:t>
      </w:r>
    </w:p>
    <w:p w14:paraId="64B8F701" w14:textId="3750132D"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158/21, </w:t>
      </w:r>
      <w:proofErr w:type="spellStart"/>
      <w:r w:rsidRPr="003F238D">
        <w:rPr>
          <w:lang w:val="es-US"/>
        </w:rPr>
        <w:t>Petition</w:t>
      </w:r>
      <w:proofErr w:type="spellEnd"/>
      <w:r w:rsidRPr="003F238D">
        <w:rPr>
          <w:lang w:val="es-US"/>
        </w:rPr>
        <w:t xml:space="preserve"> 1855-16, </w:t>
      </w:r>
      <w:proofErr w:type="spellStart"/>
      <w:r w:rsidRPr="003F238D">
        <w:rPr>
          <w:lang w:val="es-US"/>
        </w:rPr>
        <w:t>Dayris</w:t>
      </w:r>
      <w:proofErr w:type="spellEnd"/>
      <w:r w:rsidRPr="003F238D">
        <w:rPr>
          <w:lang w:val="es-US"/>
        </w:rPr>
        <w:t xml:space="preserve"> Estrella Estévez Carrera (Ecuador)</w:t>
      </w:r>
    </w:p>
    <w:p w14:paraId="26E8C88B" w14:textId="315EC4D6"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179/21, Petition 1319-11, M.P.M. </w:t>
      </w:r>
      <w:r w:rsidR="003366DE" w:rsidRPr="00524435">
        <w:t>and</w:t>
      </w:r>
      <w:r w:rsidRPr="00524435">
        <w:t xml:space="preserve"> N.E.M (Ecuador)</w:t>
      </w:r>
    </w:p>
    <w:p w14:paraId="4B62348B" w14:textId="415041F1"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195/21, </w:t>
      </w:r>
      <w:proofErr w:type="spellStart"/>
      <w:r w:rsidRPr="003F238D">
        <w:rPr>
          <w:lang w:val="es-US"/>
        </w:rPr>
        <w:t>Petition</w:t>
      </w:r>
      <w:proofErr w:type="spellEnd"/>
      <w:r w:rsidRPr="003F238D">
        <w:rPr>
          <w:lang w:val="es-US"/>
        </w:rPr>
        <w:t xml:space="preserve"> 2377-17, Edwin Leonardo Jarrín </w:t>
      </w:r>
      <w:proofErr w:type="spellStart"/>
      <w:r w:rsidRPr="003F238D">
        <w:rPr>
          <w:lang w:val="es-US"/>
        </w:rPr>
        <w:t>Jarrín</w:t>
      </w:r>
      <w:proofErr w:type="spellEnd"/>
      <w:r w:rsidRPr="003F238D">
        <w:rPr>
          <w:lang w:val="es-US"/>
        </w:rPr>
        <w:t xml:space="preserve">, Tania Elizabeth </w:t>
      </w:r>
      <w:proofErr w:type="spellStart"/>
      <w:r w:rsidRPr="003F238D">
        <w:rPr>
          <w:lang w:val="es-US"/>
        </w:rPr>
        <w:t>Pauker</w:t>
      </w:r>
      <w:proofErr w:type="spellEnd"/>
      <w:r w:rsidRPr="003F238D">
        <w:rPr>
          <w:lang w:val="es-US"/>
        </w:rPr>
        <w:t xml:space="preserve"> Cueva </w:t>
      </w:r>
      <w:r w:rsidR="003366DE" w:rsidRPr="003F238D">
        <w:rPr>
          <w:lang w:val="es-US"/>
        </w:rPr>
        <w:t>and</w:t>
      </w:r>
      <w:r w:rsidRPr="003F238D">
        <w:rPr>
          <w:lang w:val="es-US"/>
        </w:rPr>
        <w:t xml:space="preserve"> Sonia Gabriela Vera García (Ecuador)</w:t>
      </w:r>
    </w:p>
    <w:p w14:paraId="11868D3E" w14:textId="59D9BAC7"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319/21, </w:t>
      </w:r>
      <w:proofErr w:type="spellStart"/>
      <w:r w:rsidRPr="003F238D">
        <w:rPr>
          <w:lang w:val="es-US"/>
        </w:rPr>
        <w:t>Petition</w:t>
      </w:r>
      <w:proofErr w:type="spellEnd"/>
      <w:r w:rsidRPr="003F238D">
        <w:rPr>
          <w:lang w:val="es-US"/>
        </w:rPr>
        <w:t xml:space="preserve"> 1726-15, Cesar </w:t>
      </w:r>
      <w:proofErr w:type="gramStart"/>
      <w:r w:rsidRPr="003F238D">
        <w:rPr>
          <w:lang w:val="es-US"/>
        </w:rPr>
        <w:t>Coronel</w:t>
      </w:r>
      <w:proofErr w:type="gramEnd"/>
      <w:r w:rsidRPr="003F238D">
        <w:rPr>
          <w:lang w:val="es-US"/>
        </w:rPr>
        <w:t xml:space="preserve"> (Ecuador) </w:t>
      </w:r>
    </w:p>
    <w:p w14:paraId="71E547B5" w14:textId="62E6076A"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320/21, </w:t>
      </w:r>
      <w:proofErr w:type="spellStart"/>
      <w:r w:rsidRPr="003F238D">
        <w:rPr>
          <w:lang w:val="es-US"/>
        </w:rPr>
        <w:t>Petition</w:t>
      </w:r>
      <w:proofErr w:type="spellEnd"/>
      <w:r w:rsidRPr="003F238D">
        <w:rPr>
          <w:lang w:val="es-US"/>
        </w:rPr>
        <w:t xml:space="preserve"> 986-11, Carlos Pérez Barriga (Ecuador)</w:t>
      </w:r>
    </w:p>
    <w:p w14:paraId="03FCCFD6" w14:textId="6B3E2EE1" w:rsidR="002B0ECE" w:rsidRPr="00524435" w:rsidRDefault="002B0ECE" w:rsidP="0009324C">
      <w:pPr>
        <w:pStyle w:val="ListParagraph"/>
        <w:numPr>
          <w:ilvl w:val="0"/>
          <w:numId w:val="12"/>
        </w:numPr>
        <w:spacing w:after="0"/>
        <w:ind w:left="1260" w:hanging="540"/>
        <w:rPr>
          <w:rFonts w:eastAsiaTheme="minorHAnsi" w:cstheme="minorBidi"/>
        </w:rPr>
      </w:pPr>
      <w:proofErr w:type="spellStart"/>
      <w:r w:rsidRPr="003F238D">
        <w:rPr>
          <w:lang w:val="es-US"/>
        </w:rPr>
        <w:t>Report</w:t>
      </w:r>
      <w:proofErr w:type="spellEnd"/>
      <w:r w:rsidRPr="003F238D">
        <w:rPr>
          <w:lang w:val="es-US"/>
        </w:rPr>
        <w:t xml:space="preserve"> No. 376/21, </w:t>
      </w:r>
      <w:proofErr w:type="spellStart"/>
      <w:r w:rsidRPr="003F238D">
        <w:rPr>
          <w:lang w:val="es-US"/>
        </w:rPr>
        <w:t>Petition</w:t>
      </w:r>
      <w:proofErr w:type="spellEnd"/>
      <w:r w:rsidRPr="003F238D">
        <w:rPr>
          <w:lang w:val="es-US"/>
        </w:rPr>
        <w:t xml:space="preserve"> 833-09, Martha Cecilia Esparza, Abdón Napoleón Albán Alarcón </w:t>
      </w:r>
      <w:r w:rsidR="003366DE" w:rsidRPr="003F238D">
        <w:rPr>
          <w:lang w:val="es-US"/>
        </w:rPr>
        <w:t>et al.</w:t>
      </w:r>
      <w:r w:rsidRPr="003F238D">
        <w:rPr>
          <w:lang w:val="es-US"/>
        </w:rPr>
        <w:t xml:space="preserve"> </w:t>
      </w:r>
      <w:r w:rsidRPr="00524435">
        <w:t>(Ecuador)</w:t>
      </w:r>
    </w:p>
    <w:p w14:paraId="14BDF992" w14:textId="5B9F7EA3"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378/21, </w:t>
      </w:r>
      <w:proofErr w:type="spellStart"/>
      <w:r w:rsidRPr="003F238D">
        <w:rPr>
          <w:lang w:val="es-US"/>
        </w:rPr>
        <w:t>Petition</w:t>
      </w:r>
      <w:proofErr w:type="spellEnd"/>
      <w:r w:rsidRPr="003F238D">
        <w:rPr>
          <w:lang w:val="es-US"/>
        </w:rPr>
        <w:t xml:space="preserve"> 1835-14, Juan Antonio Miralles Fernández </w:t>
      </w:r>
      <w:r w:rsidR="003366DE" w:rsidRPr="003F238D">
        <w:rPr>
          <w:lang w:val="es-US"/>
        </w:rPr>
        <w:t>and</w:t>
      </w:r>
      <w:r w:rsidRPr="003F238D">
        <w:rPr>
          <w:lang w:val="es-US"/>
        </w:rPr>
        <w:t xml:space="preserve"> E.L.M.F. (Ecuador)</w:t>
      </w:r>
    </w:p>
    <w:p w14:paraId="571C0BB0" w14:textId="22ED47F1"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431/21, </w:t>
      </w:r>
      <w:proofErr w:type="spellStart"/>
      <w:r w:rsidRPr="003F238D">
        <w:rPr>
          <w:lang w:val="es-US"/>
        </w:rPr>
        <w:t>Petition</w:t>
      </w:r>
      <w:proofErr w:type="spellEnd"/>
      <w:r w:rsidRPr="003F238D">
        <w:rPr>
          <w:lang w:val="es-US"/>
        </w:rPr>
        <w:t xml:space="preserve"> 1143-13, </w:t>
      </w:r>
      <w:r w:rsidRPr="003F238D">
        <w:rPr>
          <w:highlight w:val="yellow"/>
          <w:lang w:val="es-US"/>
        </w:rPr>
        <w:t>Integrantes de la Red Amazónica por la Vida</w:t>
      </w:r>
      <w:r w:rsidRPr="003F238D">
        <w:rPr>
          <w:lang w:val="es-US"/>
        </w:rPr>
        <w:t xml:space="preserve"> (Ecuador)</w:t>
      </w:r>
    </w:p>
    <w:p w14:paraId="69F93ADF" w14:textId="29FFA186"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432/21, Petition 1461-13, Wilson </w:t>
      </w:r>
      <w:proofErr w:type="spellStart"/>
      <w:r w:rsidRPr="00524435">
        <w:t>Arley</w:t>
      </w:r>
      <w:proofErr w:type="spellEnd"/>
      <w:r w:rsidRPr="00524435">
        <w:t xml:space="preserve"> </w:t>
      </w:r>
      <w:proofErr w:type="spellStart"/>
      <w:r w:rsidRPr="00524435">
        <w:t>Idarraga</w:t>
      </w:r>
      <w:proofErr w:type="spellEnd"/>
      <w:r w:rsidRPr="00524435">
        <w:t xml:space="preserve"> García </w:t>
      </w:r>
      <w:r w:rsidR="003366DE" w:rsidRPr="00524435">
        <w:t>and family</w:t>
      </w:r>
      <w:r w:rsidRPr="00524435">
        <w:t xml:space="preserve"> (Ecuador)</w:t>
      </w:r>
    </w:p>
    <w:p w14:paraId="19547859" w14:textId="1D8D3914" w:rsidR="002B0ECE" w:rsidRPr="00524435" w:rsidRDefault="002B0ECE" w:rsidP="0009324C">
      <w:pPr>
        <w:pStyle w:val="ListParagraph"/>
        <w:numPr>
          <w:ilvl w:val="0"/>
          <w:numId w:val="12"/>
        </w:numPr>
        <w:spacing w:after="0"/>
        <w:ind w:left="1260" w:hanging="540"/>
        <w:rPr>
          <w:rFonts w:eastAsiaTheme="minorHAnsi" w:cstheme="minorBidi"/>
        </w:rPr>
      </w:pPr>
      <w:proofErr w:type="spellStart"/>
      <w:r w:rsidRPr="003F238D">
        <w:rPr>
          <w:lang w:val="es-US"/>
        </w:rPr>
        <w:t>Report</w:t>
      </w:r>
      <w:proofErr w:type="spellEnd"/>
      <w:r w:rsidRPr="003F238D">
        <w:rPr>
          <w:lang w:val="es-US"/>
        </w:rPr>
        <w:t xml:space="preserve"> No. 452/21, </w:t>
      </w:r>
      <w:proofErr w:type="spellStart"/>
      <w:r w:rsidRPr="003F238D">
        <w:rPr>
          <w:lang w:val="es-US"/>
        </w:rPr>
        <w:t>Petition</w:t>
      </w:r>
      <w:proofErr w:type="spellEnd"/>
      <w:r w:rsidRPr="003F238D">
        <w:rPr>
          <w:lang w:val="es-US"/>
        </w:rPr>
        <w:t xml:space="preserve"> 460-14, Soren Ulises Avilés Ángeles </w:t>
      </w:r>
      <w:r w:rsidR="003366DE" w:rsidRPr="003F238D">
        <w:rPr>
          <w:lang w:val="es-US"/>
        </w:rPr>
        <w:t>et al.</w:t>
      </w:r>
      <w:r w:rsidRPr="003F238D">
        <w:rPr>
          <w:lang w:val="es-US"/>
        </w:rPr>
        <w:t xml:space="preserve"> </w:t>
      </w:r>
      <w:r w:rsidRPr="00524435">
        <w:t>(Ecuador)</w:t>
      </w:r>
    </w:p>
    <w:p w14:paraId="5899A10F" w14:textId="4D4C01E4"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149/21, </w:t>
      </w:r>
      <w:proofErr w:type="spellStart"/>
      <w:r w:rsidRPr="003F238D">
        <w:rPr>
          <w:lang w:val="es-US"/>
        </w:rPr>
        <w:t>Petition</w:t>
      </w:r>
      <w:proofErr w:type="spellEnd"/>
      <w:r w:rsidRPr="003F238D">
        <w:rPr>
          <w:lang w:val="es-US"/>
        </w:rPr>
        <w:t xml:space="preserve"> 1699-13, José Salomón Padilla (El Salvador)</w:t>
      </w:r>
    </w:p>
    <w:p w14:paraId="18C4952B" w14:textId="2AF24B04" w:rsidR="002B0ECE" w:rsidRPr="00DF0CD0" w:rsidRDefault="002B0ECE" w:rsidP="0009324C">
      <w:pPr>
        <w:pStyle w:val="ListParagraph"/>
        <w:numPr>
          <w:ilvl w:val="0"/>
          <w:numId w:val="12"/>
        </w:numPr>
        <w:spacing w:after="0"/>
        <w:ind w:left="1260" w:hanging="540"/>
        <w:rPr>
          <w:rFonts w:eastAsiaTheme="minorHAnsi" w:cstheme="minorBidi"/>
          <w:lang w:val="pt-BR"/>
        </w:rPr>
      </w:pPr>
      <w:r w:rsidRPr="00DF0CD0">
        <w:rPr>
          <w:lang w:val="pt-BR"/>
        </w:rPr>
        <w:t xml:space="preserve">Report No. 249/21, Petition 1185-17, Jorge Alberto Rodríguez Romero, Francisco Milton Romero Sequeira </w:t>
      </w:r>
      <w:r w:rsidR="003366DE" w:rsidRPr="00DF0CD0">
        <w:rPr>
          <w:lang w:val="pt-BR"/>
        </w:rPr>
        <w:t xml:space="preserve">and relatives </w:t>
      </w:r>
      <w:r w:rsidRPr="00DF0CD0">
        <w:rPr>
          <w:lang w:val="pt-BR"/>
        </w:rPr>
        <w:t>(El Salvador)</w:t>
      </w:r>
    </w:p>
    <w:p w14:paraId="489B487F" w14:textId="4419BB6D"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277/21, </w:t>
      </w:r>
      <w:proofErr w:type="spellStart"/>
      <w:r w:rsidRPr="003F238D">
        <w:rPr>
          <w:lang w:val="es-US"/>
        </w:rPr>
        <w:t>Petition</w:t>
      </w:r>
      <w:proofErr w:type="spellEnd"/>
      <w:r w:rsidRPr="003F238D">
        <w:rPr>
          <w:lang w:val="es-US"/>
        </w:rPr>
        <w:t xml:space="preserve"> 1555-11, Félix Antonio Ulloa (El Salvador)</w:t>
      </w:r>
    </w:p>
    <w:p w14:paraId="0838FA9F" w14:textId="3208DCFC"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349/21, </w:t>
      </w:r>
      <w:proofErr w:type="spellStart"/>
      <w:r w:rsidRPr="003F238D">
        <w:rPr>
          <w:lang w:val="es-US"/>
        </w:rPr>
        <w:t>Petition</w:t>
      </w:r>
      <w:proofErr w:type="spellEnd"/>
      <w:r w:rsidRPr="003F238D">
        <w:rPr>
          <w:lang w:val="es-US"/>
        </w:rPr>
        <w:t xml:space="preserve"> 1557-11, Francisco Arnulfo Ventura Reyes </w:t>
      </w:r>
      <w:r w:rsidR="003366DE" w:rsidRPr="003F238D">
        <w:rPr>
          <w:lang w:val="es-US"/>
        </w:rPr>
        <w:t>and</w:t>
      </w:r>
      <w:r w:rsidRPr="003F238D">
        <w:rPr>
          <w:lang w:val="es-US"/>
        </w:rPr>
        <w:t xml:space="preserve"> José Humberto Mejía (El Salvador)</w:t>
      </w:r>
    </w:p>
    <w:p w14:paraId="0CF34802" w14:textId="395D3325"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379/21, </w:t>
      </w:r>
      <w:proofErr w:type="spellStart"/>
      <w:r w:rsidRPr="003F238D">
        <w:rPr>
          <w:lang w:val="es-US"/>
        </w:rPr>
        <w:t>Petition</w:t>
      </w:r>
      <w:proofErr w:type="spellEnd"/>
      <w:r w:rsidRPr="003F238D">
        <w:rPr>
          <w:lang w:val="es-US"/>
        </w:rPr>
        <w:t xml:space="preserve"> 1530-11, Roque Antonio García Dalton, Aída Cañas, Jorge Dalton Cañas </w:t>
      </w:r>
      <w:r w:rsidR="003366DE" w:rsidRPr="003F238D">
        <w:rPr>
          <w:lang w:val="es-US"/>
        </w:rPr>
        <w:t>and</w:t>
      </w:r>
      <w:r w:rsidRPr="003F238D">
        <w:rPr>
          <w:lang w:val="es-US"/>
        </w:rPr>
        <w:t xml:space="preserve"> Juan José Dalton Cañas (El Salvador)</w:t>
      </w:r>
    </w:p>
    <w:p w14:paraId="6C1E2893" w14:textId="39C7F0B3"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66/21, Petition 1939-13, Mostafa </w:t>
      </w:r>
      <w:proofErr w:type="spellStart"/>
      <w:r w:rsidRPr="00524435">
        <w:t>Seyed</w:t>
      </w:r>
      <w:proofErr w:type="spellEnd"/>
      <w:r w:rsidRPr="00524435">
        <w:t xml:space="preserve"> </w:t>
      </w:r>
      <w:proofErr w:type="spellStart"/>
      <w:r w:rsidRPr="00524435">
        <w:t>Mirmehdi</w:t>
      </w:r>
      <w:proofErr w:type="spellEnd"/>
      <w:r w:rsidRPr="00524435">
        <w:t xml:space="preserve">, Mohammad-Reza </w:t>
      </w:r>
      <w:proofErr w:type="spellStart"/>
      <w:r w:rsidRPr="00524435">
        <w:t>Mirmehdi</w:t>
      </w:r>
      <w:proofErr w:type="spellEnd"/>
      <w:r w:rsidRPr="00524435">
        <w:t xml:space="preserve">, Mohsen </w:t>
      </w:r>
      <w:proofErr w:type="spellStart"/>
      <w:r w:rsidRPr="00524435">
        <w:t>Seyed</w:t>
      </w:r>
      <w:proofErr w:type="spellEnd"/>
      <w:r w:rsidRPr="00524435">
        <w:t xml:space="preserve"> </w:t>
      </w:r>
      <w:proofErr w:type="spellStart"/>
      <w:r w:rsidRPr="00524435">
        <w:t>Mirmehdi</w:t>
      </w:r>
      <w:proofErr w:type="spellEnd"/>
      <w:r w:rsidRPr="00524435">
        <w:t xml:space="preserve">, and </w:t>
      </w:r>
      <w:proofErr w:type="spellStart"/>
      <w:r w:rsidRPr="00524435">
        <w:t>Mojtaba</w:t>
      </w:r>
      <w:proofErr w:type="spellEnd"/>
      <w:r w:rsidRPr="00524435">
        <w:t xml:space="preserve"> </w:t>
      </w:r>
      <w:proofErr w:type="spellStart"/>
      <w:r w:rsidRPr="00524435">
        <w:t>Seyed</w:t>
      </w:r>
      <w:proofErr w:type="spellEnd"/>
      <w:r w:rsidRPr="00524435">
        <w:t xml:space="preserve"> </w:t>
      </w:r>
      <w:proofErr w:type="spellStart"/>
      <w:r w:rsidRPr="00524435">
        <w:t>Mirmehdi</w:t>
      </w:r>
      <w:proofErr w:type="spellEnd"/>
      <w:r w:rsidRPr="00524435">
        <w:t xml:space="preserve"> (</w:t>
      </w:r>
      <w:r w:rsidR="003366DE" w:rsidRPr="00524435">
        <w:t>United States</w:t>
      </w:r>
      <w:r w:rsidRPr="00524435">
        <w:t>)</w:t>
      </w:r>
    </w:p>
    <w:p w14:paraId="5C0783EA" w14:textId="510750F0"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67/21, Petition 654-11, Navajo Communities of </w:t>
      </w:r>
      <w:proofErr w:type="spellStart"/>
      <w:r w:rsidRPr="00524435">
        <w:t>Crownpoint</w:t>
      </w:r>
      <w:proofErr w:type="spellEnd"/>
      <w:r w:rsidRPr="00524435">
        <w:t xml:space="preserve"> and Church Rock (</w:t>
      </w:r>
      <w:r w:rsidR="003366DE" w:rsidRPr="00524435">
        <w:t>United States</w:t>
      </w:r>
      <w:r w:rsidRPr="00524435">
        <w:t>)</w:t>
      </w:r>
    </w:p>
    <w:p w14:paraId="275C933B" w14:textId="2C564A71"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126/21, Petition 1529-13, </w:t>
      </w:r>
      <w:proofErr w:type="spellStart"/>
      <w:r w:rsidRPr="00524435">
        <w:t>Agustín</w:t>
      </w:r>
      <w:proofErr w:type="spellEnd"/>
      <w:r w:rsidRPr="00524435">
        <w:t xml:space="preserve"> Román Sánchez </w:t>
      </w:r>
      <w:r w:rsidR="003366DE" w:rsidRPr="00524435">
        <w:t>et al.</w:t>
      </w:r>
      <w:r w:rsidRPr="00524435">
        <w:t xml:space="preserve"> (Guatemala)</w:t>
      </w:r>
    </w:p>
    <w:p w14:paraId="25891581" w14:textId="5FF31A03"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133/21, </w:t>
      </w:r>
      <w:proofErr w:type="spellStart"/>
      <w:r w:rsidRPr="003F238D">
        <w:rPr>
          <w:lang w:val="es-US"/>
        </w:rPr>
        <w:t>Petition</w:t>
      </w:r>
      <w:proofErr w:type="spellEnd"/>
      <w:r w:rsidRPr="003F238D">
        <w:rPr>
          <w:lang w:val="es-US"/>
        </w:rPr>
        <w:t xml:space="preserve"> 1184-12, Carlos Rodríguez-Cerna (Guatemala)</w:t>
      </w:r>
    </w:p>
    <w:p w14:paraId="170AABE4" w14:textId="4C51CABF"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196/21, Petition 466-13, </w:t>
      </w:r>
      <w:r w:rsidR="003366DE" w:rsidRPr="00524435">
        <w:t>Indigenous communities</w:t>
      </w:r>
      <w:r w:rsidRPr="00524435">
        <w:t xml:space="preserve"> Maya </w:t>
      </w:r>
      <w:proofErr w:type="spellStart"/>
      <w:r w:rsidRPr="00524435">
        <w:t>Achí</w:t>
      </w:r>
      <w:proofErr w:type="spellEnd"/>
      <w:r w:rsidRPr="00524435">
        <w:t xml:space="preserve">, </w:t>
      </w:r>
      <w:proofErr w:type="spellStart"/>
      <w:r w:rsidRPr="00524435">
        <w:t>Qéqchi</w:t>
      </w:r>
      <w:proofErr w:type="spellEnd"/>
      <w:r w:rsidRPr="00524435">
        <w:t xml:space="preserve"> </w:t>
      </w:r>
      <w:r w:rsidR="003366DE" w:rsidRPr="00524435">
        <w:t>and</w:t>
      </w:r>
      <w:r w:rsidRPr="00524435">
        <w:t xml:space="preserve"> K'iche (Guatemala)</w:t>
      </w:r>
    </w:p>
    <w:p w14:paraId="0F70FBE2" w14:textId="6658EEAA"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321/21, Petition 1416-13, </w:t>
      </w:r>
      <w:r w:rsidR="00623009">
        <w:t xml:space="preserve">Indigenous </w:t>
      </w:r>
      <w:proofErr w:type="spellStart"/>
      <w:proofErr w:type="gramStart"/>
      <w:r w:rsidR="00623009">
        <w:t>People’s</w:t>
      </w:r>
      <w:proofErr w:type="spellEnd"/>
      <w:proofErr w:type="gramEnd"/>
      <w:r w:rsidR="00623009">
        <w:t xml:space="preserve"> of</w:t>
      </w:r>
      <w:r w:rsidRPr="00524435">
        <w:t xml:space="preserve"> Maya y </w:t>
      </w:r>
      <w:proofErr w:type="spellStart"/>
      <w:r w:rsidRPr="00524435">
        <w:t>Xinka</w:t>
      </w:r>
      <w:proofErr w:type="spellEnd"/>
      <w:r w:rsidRPr="00524435">
        <w:t xml:space="preserve"> (Guatemala)</w:t>
      </w:r>
    </w:p>
    <w:p w14:paraId="7C7BCD76" w14:textId="0F023B81" w:rsidR="002B0ECE" w:rsidRPr="003F238D" w:rsidRDefault="002B0ECE" w:rsidP="0009324C">
      <w:pPr>
        <w:pStyle w:val="ListParagraph"/>
        <w:numPr>
          <w:ilvl w:val="0"/>
          <w:numId w:val="12"/>
        </w:numPr>
        <w:spacing w:after="0"/>
        <w:ind w:left="1260" w:hanging="540"/>
        <w:rPr>
          <w:rFonts w:eastAsiaTheme="minorHAnsi" w:cstheme="minorBidi"/>
          <w:highlight w:val="yellow"/>
          <w:lang w:val="es-US"/>
        </w:rPr>
      </w:pPr>
      <w:proofErr w:type="spellStart"/>
      <w:r w:rsidRPr="003F238D">
        <w:rPr>
          <w:lang w:val="es-US"/>
        </w:rPr>
        <w:t>Report</w:t>
      </w:r>
      <w:proofErr w:type="spellEnd"/>
      <w:r w:rsidRPr="003F238D">
        <w:rPr>
          <w:lang w:val="es-US"/>
        </w:rPr>
        <w:t xml:space="preserve"> No. 434/21, </w:t>
      </w:r>
      <w:proofErr w:type="spellStart"/>
      <w:r w:rsidRPr="003F238D">
        <w:rPr>
          <w:lang w:val="es-US"/>
        </w:rPr>
        <w:t>Petition</w:t>
      </w:r>
      <w:proofErr w:type="spellEnd"/>
      <w:r w:rsidRPr="003F238D">
        <w:rPr>
          <w:lang w:val="es-US"/>
        </w:rPr>
        <w:t xml:space="preserve"> 440-14, Josefina Soto Pérez de </w:t>
      </w:r>
      <w:r w:rsidRPr="003F238D">
        <w:rPr>
          <w:highlight w:val="yellow"/>
          <w:lang w:val="es-US"/>
        </w:rPr>
        <w:t xml:space="preserve">Martín y otros pobladores de la Aldea </w:t>
      </w:r>
      <w:proofErr w:type="spellStart"/>
      <w:r w:rsidRPr="003F238D">
        <w:rPr>
          <w:highlight w:val="yellow"/>
          <w:lang w:val="es-US"/>
        </w:rPr>
        <w:t>Chiabal</w:t>
      </w:r>
      <w:proofErr w:type="spellEnd"/>
      <w:r w:rsidRPr="003F238D">
        <w:rPr>
          <w:highlight w:val="yellow"/>
          <w:lang w:val="es-US"/>
        </w:rPr>
        <w:t xml:space="preserve"> del Municipio de Todos Santos </w:t>
      </w:r>
      <w:proofErr w:type="spellStart"/>
      <w:r w:rsidRPr="003F238D">
        <w:rPr>
          <w:highlight w:val="yellow"/>
          <w:lang w:val="es-US"/>
        </w:rPr>
        <w:t>Cuchumatán</w:t>
      </w:r>
      <w:proofErr w:type="spellEnd"/>
      <w:r w:rsidRPr="003F238D">
        <w:rPr>
          <w:highlight w:val="yellow"/>
          <w:lang w:val="es-US"/>
        </w:rPr>
        <w:t xml:space="preserve"> (Guatemala)</w:t>
      </w:r>
    </w:p>
    <w:p w14:paraId="34862932" w14:textId="2C1660F1"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435/21, </w:t>
      </w:r>
      <w:proofErr w:type="spellStart"/>
      <w:r w:rsidRPr="003F238D">
        <w:rPr>
          <w:lang w:val="es-US"/>
        </w:rPr>
        <w:t>Petition</w:t>
      </w:r>
      <w:proofErr w:type="spellEnd"/>
      <w:r w:rsidRPr="003F238D">
        <w:rPr>
          <w:lang w:val="es-US"/>
        </w:rPr>
        <w:t xml:space="preserve"> 001-09, Vecinos de las comunidades del pueblo maya achí del municipio de Rabinal (Guatemala)</w:t>
      </w:r>
    </w:p>
    <w:p w14:paraId="19E72A6C" w14:textId="7EC539C1"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159/21, </w:t>
      </w:r>
      <w:proofErr w:type="spellStart"/>
      <w:r w:rsidRPr="003F238D">
        <w:rPr>
          <w:lang w:val="es-US"/>
        </w:rPr>
        <w:t>Petition</w:t>
      </w:r>
      <w:proofErr w:type="spellEnd"/>
      <w:r w:rsidRPr="003F238D">
        <w:rPr>
          <w:lang w:val="es-US"/>
        </w:rPr>
        <w:t xml:space="preserve"> 566-15, Félix Cruz Cabrera (Honduras)</w:t>
      </w:r>
    </w:p>
    <w:p w14:paraId="5453411B" w14:textId="5A59540E"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160/21, Petition 974-17, </w:t>
      </w:r>
      <w:proofErr w:type="spellStart"/>
      <w:r w:rsidRPr="00524435">
        <w:t>Gabrie</w:t>
      </w:r>
      <w:proofErr w:type="spellEnd"/>
      <w:r w:rsidRPr="00524435">
        <w:t xml:space="preserve"> Mass </w:t>
      </w:r>
      <w:proofErr w:type="spellStart"/>
      <w:r w:rsidRPr="00524435">
        <w:t>Cáceres</w:t>
      </w:r>
      <w:proofErr w:type="spellEnd"/>
      <w:r w:rsidRPr="00524435">
        <w:t xml:space="preserve"> (Honduras)</w:t>
      </w:r>
    </w:p>
    <w:p w14:paraId="18F59AC7" w14:textId="3882DED2"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180/21, </w:t>
      </w:r>
      <w:proofErr w:type="spellStart"/>
      <w:r w:rsidRPr="003F238D">
        <w:rPr>
          <w:lang w:val="es-US"/>
        </w:rPr>
        <w:t>Petition</w:t>
      </w:r>
      <w:proofErr w:type="spellEnd"/>
      <w:r w:rsidRPr="003F238D">
        <w:rPr>
          <w:lang w:val="es-US"/>
        </w:rPr>
        <w:t xml:space="preserve"> 707-15, Marco Tulio Sosa Peralta (Honduras)</w:t>
      </w:r>
    </w:p>
    <w:p w14:paraId="213F8256" w14:textId="2A9C7714"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197/21, </w:t>
      </w:r>
      <w:proofErr w:type="spellStart"/>
      <w:r w:rsidRPr="003F238D">
        <w:rPr>
          <w:lang w:val="es-US"/>
        </w:rPr>
        <w:t>Petition</w:t>
      </w:r>
      <w:proofErr w:type="spellEnd"/>
      <w:r w:rsidRPr="003F238D">
        <w:rPr>
          <w:lang w:val="es-US"/>
        </w:rPr>
        <w:t xml:space="preserve"> 1364-11, </w:t>
      </w:r>
      <w:proofErr w:type="spellStart"/>
      <w:r w:rsidRPr="003F238D">
        <w:rPr>
          <w:lang w:val="es-US"/>
        </w:rPr>
        <w:t>Puebo</w:t>
      </w:r>
      <w:proofErr w:type="spellEnd"/>
      <w:r w:rsidRPr="003F238D">
        <w:rPr>
          <w:lang w:val="es-US"/>
        </w:rPr>
        <w:t xml:space="preserve"> Garífuna (Honduras)</w:t>
      </w:r>
    </w:p>
    <w:p w14:paraId="1C77E001" w14:textId="101E0DF2"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198/21, Petition 1167-14, Oscar Reyes, Gloria </w:t>
      </w:r>
      <w:proofErr w:type="gramStart"/>
      <w:r w:rsidRPr="00524435">
        <w:t>Flores</w:t>
      </w:r>
      <w:proofErr w:type="gramEnd"/>
      <w:r w:rsidRPr="00524435">
        <w:t xml:space="preserve"> </w:t>
      </w:r>
      <w:r w:rsidR="003366DE" w:rsidRPr="00524435">
        <w:t>and son</w:t>
      </w:r>
      <w:r w:rsidRPr="00524435">
        <w:t xml:space="preserve"> (Honduras)</w:t>
      </w:r>
    </w:p>
    <w:p w14:paraId="3DD95A22" w14:textId="4400A335"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222/21, Petition 103-16, José Fernando </w:t>
      </w:r>
      <w:proofErr w:type="spellStart"/>
      <w:r w:rsidRPr="00524435">
        <w:t>Menjivar</w:t>
      </w:r>
      <w:proofErr w:type="spellEnd"/>
      <w:r w:rsidRPr="00524435">
        <w:t xml:space="preserve"> Hernández </w:t>
      </w:r>
      <w:r w:rsidR="003366DE" w:rsidRPr="00524435">
        <w:t>and family</w:t>
      </w:r>
      <w:r w:rsidRPr="00524435">
        <w:t xml:space="preserve"> (Honduras)</w:t>
      </w:r>
    </w:p>
    <w:p w14:paraId="5663A709" w14:textId="3DF4D7C6" w:rsidR="002B0ECE" w:rsidRPr="00524435" w:rsidRDefault="002B0ECE" w:rsidP="0009324C">
      <w:pPr>
        <w:pStyle w:val="ListParagraph"/>
        <w:numPr>
          <w:ilvl w:val="0"/>
          <w:numId w:val="12"/>
        </w:numPr>
        <w:spacing w:after="0"/>
        <w:ind w:left="1260" w:hanging="540"/>
        <w:rPr>
          <w:rFonts w:eastAsiaTheme="minorHAnsi" w:cstheme="minorBidi"/>
        </w:rPr>
      </w:pPr>
      <w:proofErr w:type="spellStart"/>
      <w:r w:rsidRPr="003F238D">
        <w:rPr>
          <w:lang w:val="es-US"/>
        </w:rPr>
        <w:lastRenderedPageBreak/>
        <w:t>Report</w:t>
      </w:r>
      <w:proofErr w:type="spellEnd"/>
      <w:r w:rsidRPr="003F238D">
        <w:rPr>
          <w:lang w:val="es-US"/>
        </w:rPr>
        <w:t xml:space="preserve"> No. 381/21, </w:t>
      </w:r>
      <w:proofErr w:type="spellStart"/>
      <w:r w:rsidRPr="003F238D">
        <w:rPr>
          <w:lang w:val="es-US"/>
        </w:rPr>
        <w:t>Petition</w:t>
      </w:r>
      <w:proofErr w:type="spellEnd"/>
      <w:r w:rsidRPr="003F238D">
        <w:rPr>
          <w:lang w:val="es-US"/>
        </w:rPr>
        <w:t xml:space="preserve"> 209-15, Ana Rosa Novoa Alvarez </w:t>
      </w:r>
      <w:r w:rsidR="003366DE" w:rsidRPr="003F238D">
        <w:rPr>
          <w:lang w:val="es-US"/>
        </w:rPr>
        <w:t>et al.</w:t>
      </w:r>
      <w:r w:rsidRPr="003F238D">
        <w:rPr>
          <w:lang w:val="es-US"/>
        </w:rPr>
        <w:t xml:space="preserve"> </w:t>
      </w:r>
      <w:r w:rsidRPr="00524435">
        <w:t>(Honduras)</w:t>
      </w:r>
    </w:p>
    <w:p w14:paraId="480BF88F" w14:textId="54E2BDE4" w:rsidR="002B0ECE" w:rsidRPr="003F238D" w:rsidRDefault="002B0ECE" w:rsidP="0009324C">
      <w:pPr>
        <w:pStyle w:val="ListParagraph"/>
        <w:numPr>
          <w:ilvl w:val="0"/>
          <w:numId w:val="12"/>
        </w:numPr>
        <w:spacing w:after="0"/>
        <w:ind w:left="1260" w:hanging="540"/>
        <w:rPr>
          <w:rFonts w:eastAsiaTheme="minorHAnsi" w:cstheme="minorBidi"/>
          <w:lang w:val="es-US"/>
        </w:rPr>
      </w:pPr>
      <w:r w:rsidRPr="00DF0CD0">
        <w:rPr>
          <w:lang w:val="fr-CA"/>
        </w:rPr>
        <w:t xml:space="preserve">Report No. 382/21, </w:t>
      </w:r>
      <w:proofErr w:type="spellStart"/>
      <w:r w:rsidRPr="00DF0CD0">
        <w:rPr>
          <w:lang w:val="fr-CA"/>
        </w:rPr>
        <w:t>Petition</w:t>
      </w:r>
      <w:proofErr w:type="spellEnd"/>
      <w:r w:rsidRPr="00DF0CD0">
        <w:rPr>
          <w:lang w:val="fr-CA"/>
        </w:rPr>
        <w:t xml:space="preserve"> 100-10, José Manuel Zelaya Rosales </w:t>
      </w:r>
      <w:r w:rsidR="003366DE" w:rsidRPr="00DF0CD0">
        <w:rPr>
          <w:lang w:val="fr-CA"/>
        </w:rPr>
        <w:t xml:space="preserve">et al. </w:t>
      </w:r>
      <w:r w:rsidRPr="003F238D">
        <w:rPr>
          <w:lang w:val="es-US"/>
        </w:rPr>
        <w:t>(Honduras)</w:t>
      </w:r>
    </w:p>
    <w:p w14:paraId="0E4B5C32" w14:textId="102F933B" w:rsidR="002B0ECE" w:rsidRPr="00524435" w:rsidRDefault="002B0ECE" w:rsidP="0009324C">
      <w:pPr>
        <w:pStyle w:val="ListParagraph"/>
        <w:numPr>
          <w:ilvl w:val="0"/>
          <w:numId w:val="12"/>
        </w:numPr>
        <w:spacing w:after="0"/>
        <w:ind w:left="1260" w:hanging="540"/>
        <w:rPr>
          <w:rFonts w:eastAsiaTheme="minorHAnsi" w:cstheme="minorBidi"/>
        </w:rPr>
      </w:pPr>
      <w:r w:rsidRPr="00524435">
        <w:t>Report No. 436/21, Petition 1516-14, (Honduras)</w:t>
      </w:r>
    </w:p>
    <w:p w14:paraId="7C1CA042" w14:textId="29371E26"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68/21, Petition 1080-14, Omar </w:t>
      </w:r>
      <w:proofErr w:type="gramStart"/>
      <w:r w:rsidRPr="00524435">
        <w:t>Evans</w:t>
      </w:r>
      <w:proofErr w:type="gramEnd"/>
      <w:r w:rsidRPr="00524435">
        <w:t xml:space="preserve"> </w:t>
      </w:r>
      <w:r w:rsidR="0057284E" w:rsidRPr="00524435">
        <w:t xml:space="preserve">and family </w:t>
      </w:r>
      <w:r w:rsidRPr="00524435">
        <w:t>(Jamaica)</w:t>
      </w:r>
    </w:p>
    <w:p w14:paraId="713D09B9" w14:textId="421BA585"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19/21, </w:t>
      </w:r>
      <w:proofErr w:type="spellStart"/>
      <w:r w:rsidRPr="003F238D">
        <w:rPr>
          <w:lang w:val="es-US"/>
        </w:rPr>
        <w:t>Petition</w:t>
      </w:r>
      <w:proofErr w:type="spellEnd"/>
      <w:r w:rsidRPr="003F238D">
        <w:rPr>
          <w:lang w:val="es-US"/>
        </w:rPr>
        <w:t xml:space="preserve"> 1617-11, Rolando Omar Pimentel Mora (</w:t>
      </w:r>
      <w:proofErr w:type="spellStart"/>
      <w:r w:rsidRPr="003F238D">
        <w:rPr>
          <w:lang w:val="es-US"/>
        </w:rPr>
        <w:t>Mexico</w:t>
      </w:r>
      <w:proofErr w:type="spellEnd"/>
      <w:r w:rsidRPr="003F238D">
        <w:rPr>
          <w:lang w:val="es-US"/>
        </w:rPr>
        <w:t>)</w:t>
      </w:r>
    </w:p>
    <w:p w14:paraId="4DAAE0E3" w14:textId="038AB47F" w:rsidR="002B0ECE" w:rsidRPr="00524435" w:rsidRDefault="002B0ECE" w:rsidP="0009324C">
      <w:pPr>
        <w:pStyle w:val="ListParagraph"/>
        <w:numPr>
          <w:ilvl w:val="0"/>
          <w:numId w:val="12"/>
        </w:numPr>
        <w:spacing w:after="0"/>
        <w:ind w:left="1260" w:hanging="540"/>
        <w:rPr>
          <w:rFonts w:eastAsiaTheme="minorHAnsi" w:cstheme="minorBidi"/>
        </w:rPr>
      </w:pPr>
      <w:proofErr w:type="spellStart"/>
      <w:r w:rsidRPr="003F238D">
        <w:rPr>
          <w:lang w:val="es-US"/>
        </w:rPr>
        <w:t>Report</w:t>
      </w:r>
      <w:proofErr w:type="spellEnd"/>
      <w:r w:rsidRPr="003F238D">
        <w:rPr>
          <w:lang w:val="es-US"/>
        </w:rPr>
        <w:t xml:space="preserve"> No. 20/21, </w:t>
      </w:r>
      <w:proofErr w:type="spellStart"/>
      <w:r w:rsidRPr="003F238D">
        <w:rPr>
          <w:lang w:val="es-US"/>
        </w:rPr>
        <w:t>Petition</w:t>
      </w:r>
      <w:proofErr w:type="spellEnd"/>
      <w:r w:rsidRPr="003F238D">
        <w:rPr>
          <w:lang w:val="es-US"/>
        </w:rPr>
        <w:t xml:space="preserve"> 256-10 y 690-10, Ángel Israel Crespo Rueda </w:t>
      </w:r>
      <w:r w:rsidR="003366DE" w:rsidRPr="003F238D">
        <w:rPr>
          <w:lang w:val="es-US"/>
        </w:rPr>
        <w:t xml:space="preserve">et al. </w:t>
      </w:r>
      <w:r w:rsidRPr="00524435">
        <w:t>(Mexico)</w:t>
      </w:r>
    </w:p>
    <w:p w14:paraId="2F8246D9" w14:textId="0DC931AE"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21/21, </w:t>
      </w:r>
      <w:proofErr w:type="spellStart"/>
      <w:r w:rsidRPr="003F238D">
        <w:rPr>
          <w:lang w:val="es-US"/>
        </w:rPr>
        <w:t>Petition</w:t>
      </w:r>
      <w:proofErr w:type="spellEnd"/>
      <w:r w:rsidRPr="003F238D">
        <w:rPr>
          <w:lang w:val="es-US"/>
        </w:rPr>
        <w:t xml:space="preserve"> 950-11, René Antonio Chávez Martínez (</w:t>
      </w:r>
      <w:proofErr w:type="spellStart"/>
      <w:r w:rsidRPr="003F238D">
        <w:rPr>
          <w:lang w:val="es-US"/>
        </w:rPr>
        <w:t>Mexico</w:t>
      </w:r>
      <w:proofErr w:type="spellEnd"/>
      <w:r w:rsidRPr="003F238D">
        <w:rPr>
          <w:lang w:val="es-US"/>
        </w:rPr>
        <w:t>)</w:t>
      </w:r>
    </w:p>
    <w:p w14:paraId="33E4B944" w14:textId="257D9056"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36/21, </w:t>
      </w:r>
      <w:proofErr w:type="spellStart"/>
      <w:r w:rsidRPr="003F238D">
        <w:rPr>
          <w:lang w:val="es-US"/>
        </w:rPr>
        <w:t>Petition</w:t>
      </w:r>
      <w:proofErr w:type="spellEnd"/>
      <w:r w:rsidRPr="003F238D">
        <w:rPr>
          <w:lang w:val="es-US"/>
        </w:rPr>
        <w:t xml:space="preserve"> 447-09, Elpidio Vargas Briones, (</w:t>
      </w:r>
      <w:proofErr w:type="spellStart"/>
      <w:r w:rsidRPr="003F238D">
        <w:rPr>
          <w:lang w:val="es-US"/>
        </w:rPr>
        <w:t>Mexico</w:t>
      </w:r>
      <w:proofErr w:type="spellEnd"/>
      <w:r w:rsidRPr="003F238D">
        <w:rPr>
          <w:lang w:val="es-US"/>
        </w:rPr>
        <w:t>)</w:t>
      </w:r>
    </w:p>
    <w:p w14:paraId="68A435A6" w14:textId="534A6AC1" w:rsidR="002B0ECE" w:rsidRPr="00524435" w:rsidRDefault="002B0ECE" w:rsidP="0009324C">
      <w:pPr>
        <w:pStyle w:val="ListParagraph"/>
        <w:numPr>
          <w:ilvl w:val="0"/>
          <w:numId w:val="12"/>
        </w:numPr>
        <w:spacing w:after="0"/>
        <w:ind w:left="1260" w:hanging="540"/>
        <w:rPr>
          <w:rFonts w:eastAsiaTheme="minorHAnsi" w:cstheme="minorBidi"/>
        </w:rPr>
      </w:pPr>
      <w:r w:rsidRPr="00524435">
        <w:t>Report No. 52/21, Petition 1405-11, L.F.G.V. (Mexico)</w:t>
      </w:r>
    </w:p>
    <w:p w14:paraId="7EAB1A3C" w14:textId="1B6A495D"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69/21, </w:t>
      </w:r>
      <w:proofErr w:type="spellStart"/>
      <w:r w:rsidRPr="003F238D">
        <w:rPr>
          <w:lang w:val="es-US"/>
        </w:rPr>
        <w:t>Petition</w:t>
      </w:r>
      <w:proofErr w:type="spellEnd"/>
      <w:r w:rsidRPr="003F238D">
        <w:rPr>
          <w:lang w:val="es-US"/>
        </w:rPr>
        <w:t xml:space="preserve"> 1231-11, Roberto Vinicio </w:t>
      </w:r>
      <w:proofErr w:type="spellStart"/>
      <w:r w:rsidRPr="003F238D">
        <w:rPr>
          <w:lang w:val="es-US"/>
        </w:rPr>
        <w:t>Guizar</w:t>
      </w:r>
      <w:proofErr w:type="spellEnd"/>
      <w:r w:rsidRPr="003F238D">
        <w:rPr>
          <w:lang w:val="es-US"/>
        </w:rPr>
        <w:t xml:space="preserve"> López (</w:t>
      </w:r>
      <w:proofErr w:type="spellStart"/>
      <w:r w:rsidRPr="003F238D">
        <w:rPr>
          <w:lang w:val="es-US"/>
        </w:rPr>
        <w:t>Mexico</w:t>
      </w:r>
      <w:proofErr w:type="spellEnd"/>
      <w:r w:rsidRPr="003F238D">
        <w:rPr>
          <w:lang w:val="es-US"/>
        </w:rPr>
        <w:t>)</w:t>
      </w:r>
    </w:p>
    <w:p w14:paraId="051A7672" w14:textId="5E065BBC"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71/21, Petition 874-09, Rubi </w:t>
      </w:r>
      <w:proofErr w:type="spellStart"/>
      <w:r w:rsidRPr="00524435">
        <w:t>Yazmín</w:t>
      </w:r>
      <w:proofErr w:type="spellEnd"/>
      <w:r w:rsidRPr="00524435">
        <w:t xml:space="preserve"> Chan </w:t>
      </w:r>
      <w:proofErr w:type="spellStart"/>
      <w:r w:rsidRPr="00524435">
        <w:t>Sulub</w:t>
      </w:r>
      <w:proofErr w:type="spellEnd"/>
      <w:r w:rsidRPr="00524435">
        <w:t xml:space="preserve"> (Mexico)</w:t>
      </w:r>
    </w:p>
    <w:p w14:paraId="633EB69F" w14:textId="267AB8BC" w:rsidR="002B0ECE" w:rsidRPr="00524435" w:rsidRDefault="002B0ECE" w:rsidP="0009324C">
      <w:pPr>
        <w:pStyle w:val="ListParagraph"/>
        <w:numPr>
          <w:ilvl w:val="0"/>
          <w:numId w:val="12"/>
        </w:numPr>
        <w:spacing w:after="0"/>
        <w:ind w:left="1260" w:hanging="540"/>
        <w:rPr>
          <w:rFonts w:eastAsiaTheme="minorHAnsi" w:cstheme="minorBidi"/>
        </w:rPr>
      </w:pPr>
      <w:proofErr w:type="spellStart"/>
      <w:r w:rsidRPr="003F238D">
        <w:rPr>
          <w:lang w:val="es-US"/>
        </w:rPr>
        <w:t>Report</w:t>
      </w:r>
      <w:proofErr w:type="spellEnd"/>
      <w:r w:rsidRPr="003F238D">
        <w:rPr>
          <w:lang w:val="es-US"/>
        </w:rPr>
        <w:t xml:space="preserve"> No. 81/21, </w:t>
      </w:r>
      <w:proofErr w:type="spellStart"/>
      <w:r w:rsidRPr="003F238D">
        <w:rPr>
          <w:lang w:val="es-US"/>
        </w:rPr>
        <w:t>Petition</w:t>
      </w:r>
      <w:proofErr w:type="spellEnd"/>
      <w:r w:rsidRPr="003F238D">
        <w:rPr>
          <w:lang w:val="es-US"/>
        </w:rPr>
        <w:t xml:space="preserve"> 1401-09, Luis Alejandro Bustos Olivares </w:t>
      </w:r>
      <w:r w:rsidR="003366DE" w:rsidRPr="003F238D">
        <w:rPr>
          <w:lang w:val="es-US"/>
        </w:rPr>
        <w:t xml:space="preserve">et al. </w:t>
      </w:r>
      <w:r w:rsidRPr="00524435">
        <w:t>(Mexico)</w:t>
      </w:r>
    </w:p>
    <w:p w14:paraId="77F0EF57" w14:textId="0EB6291F"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83/21, </w:t>
      </w:r>
      <w:proofErr w:type="spellStart"/>
      <w:r w:rsidRPr="003F238D">
        <w:rPr>
          <w:lang w:val="es-US"/>
        </w:rPr>
        <w:t>Petition</w:t>
      </w:r>
      <w:proofErr w:type="spellEnd"/>
      <w:r w:rsidRPr="003F238D">
        <w:rPr>
          <w:lang w:val="es-US"/>
        </w:rPr>
        <w:t xml:space="preserve"> 674-08, Luis Morales Villanueva (</w:t>
      </w:r>
      <w:proofErr w:type="spellStart"/>
      <w:r w:rsidRPr="003F238D">
        <w:rPr>
          <w:lang w:val="es-US"/>
        </w:rPr>
        <w:t>Mexico</w:t>
      </w:r>
      <w:proofErr w:type="spellEnd"/>
      <w:r w:rsidRPr="003F238D">
        <w:rPr>
          <w:lang w:val="es-US"/>
        </w:rPr>
        <w:t>)</w:t>
      </w:r>
    </w:p>
    <w:p w14:paraId="711AC6ED" w14:textId="26A5ACBE"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89/21, </w:t>
      </w:r>
      <w:proofErr w:type="spellStart"/>
      <w:r w:rsidRPr="003F238D">
        <w:rPr>
          <w:lang w:val="es-US"/>
        </w:rPr>
        <w:t>Petition</w:t>
      </w:r>
      <w:proofErr w:type="spellEnd"/>
      <w:r w:rsidRPr="003F238D">
        <w:rPr>
          <w:lang w:val="es-US"/>
        </w:rPr>
        <w:t xml:space="preserve"> 5-12, Trabajadores Mineros de Cananea y sus familiares (</w:t>
      </w:r>
      <w:proofErr w:type="spellStart"/>
      <w:r w:rsidRPr="003F238D">
        <w:rPr>
          <w:lang w:val="es-US"/>
        </w:rPr>
        <w:t>Mexico</w:t>
      </w:r>
      <w:proofErr w:type="spellEnd"/>
      <w:r w:rsidRPr="003F238D">
        <w:rPr>
          <w:lang w:val="es-US"/>
        </w:rPr>
        <w:t>)</w:t>
      </w:r>
    </w:p>
    <w:p w14:paraId="2B4E68B6" w14:textId="16F9CB22"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110/21, </w:t>
      </w:r>
      <w:proofErr w:type="spellStart"/>
      <w:r w:rsidRPr="003F238D">
        <w:rPr>
          <w:lang w:val="es-US"/>
        </w:rPr>
        <w:t>Petition</w:t>
      </w:r>
      <w:proofErr w:type="spellEnd"/>
      <w:r w:rsidRPr="003F238D">
        <w:rPr>
          <w:lang w:val="es-US"/>
        </w:rPr>
        <w:t xml:space="preserve"> 869-09, Víctor Hugo Martínez Nicolás (</w:t>
      </w:r>
      <w:proofErr w:type="spellStart"/>
      <w:r w:rsidRPr="003F238D">
        <w:rPr>
          <w:lang w:val="es-US"/>
        </w:rPr>
        <w:t>Mexico</w:t>
      </w:r>
      <w:proofErr w:type="spellEnd"/>
      <w:r w:rsidRPr="003F238D">
        <w:rPr>
          <w:lang w:val="es-US"/>
        </w:rPr>
        <w:t>)</w:t>
      </w:r>
    </w:p>
    <w:p w14:paraId="7A13D645" w14:textId="006865CF"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182/21. </w:t>
      </w:r>
      <w:proofErr w:type="spellStart"/>
      <w:r w:rsidRPr="003F238D">
        <w:rPr>
          <w:lang w:val="es-US"/>
        </w:rPr>
        <w:t>Petition</w:t>
      </w:r>
      <w:proofErr w:type="spellEnd"/>
      <w:r w:rsidRPr="003F238D">
        <w:rPr>
          <w:lang w:val="es-US"/>
        </w:rPr>
        <w:t xml:space="preserve"> 290-10, Carlos Arias Ordóñez (</w:t>
      </w:r>
      <w:proofErr w:type="spellStart"/>
      <w:r w:rsidRPr="003F238D">
        <w:rPr>
          <w:lang w:val="es-US"/>
        </w:rPr>
        <w:t>Mexico</w:t>
      </w:r>
      <w:proofErr w:type="spellEnd"/>
      <w:r w:rsidRPr="003F238D">
        <w:rPr>
          <w:lang w:val="es-US"/>
        </w:rPr>
        <w:t>)</w:t>
      </w:r>
    </w:p>
    <w:p w14:paraId="66101232" w14:textId="38A14F59"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183/21, </w:t>
      </w:r>
      <w:proofErr w:type="spellStart"/>
      <w:r w:rsidRPr="003F238D">
        <w:rPr>
          <w:lang w:val="es-US"/>
        </w:rPr>
        <w:t>Petition</w:t>
      </w:r>
      <w:proofErr w:type="spellEnd"/>
      <w:r w:rsidRPr="003F238D">
        <w:rPr>
          <w:lang w:val="es-US"/>
        </w:rPr>
        <w:t xml:space="preserve"> 313-10, Víctor Manuel Pérez Ibarra (</w:t>
      </w:r>
      <w:proofErr w:type="spellStart"/>
      <w:r w:rsidRPr="003F238D">
        <w:rPr>
          <w:lang w:val="es-US"/>
        </w:rPr>
        <w:t>Mexico</w:t>
      </w:r>
      <w:proofErr w:type="spellEnd"/>
      <w:r w:rsidRPr="003F238D">
        <w:rPr>
          <w:lang w:val="es-US"/>
        </w:rPr>
        <w:t>)</w:t>
      </w:r>
    </w:p>
    <w:p w14:paraId="1196EF32" w14:textId="536C3AC7"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184/21, </w:t>
      </w:r>
      <w:proofErr w:type="spellStart"/>
      <w:r w:rsidRPr="003F238D">
        <w:rPr>
          <w:lang w:val="es-US"/>
        </w:rPr>
        <w:t>Petition</w:t>
      </w:r>
      <w:proofErr w:type="spellEnd"/>
      <w:r w:rsidRPr="003F238D">
        <w:rPr>
          <w:lang w:val="es-US"/>
        </w:rPr>
        <w:t xml:space="preserve"> 81-11 Francisco Javier Espinoza Almanza y Hugo Alberto López Vidal (</w:t>
      </w:r>
      <w:proofErr w:type="spellStart"/>
      <w:r w:rsidRPr="003F238D">
        <w:rPr>
          <w:lang w:val="es-US"/>
        </w:rPr>
        <w:t>Mexico</w:t>
      </w:r>
      <w:proofErr w:type="spellEnd"/>
      <w:r w:rsidRPr="003F238D">
        <w:rPr>
          <w:lang w:val="es-US"/>
        </w:rPr>
        <w:t>)</w:t>
      </w:r>
    </w:p>
    <w:p w14:paraId="6662FB46" w14:textId="1D4A62A6"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186/21, Petition 1795-11, David Jiménez Fragoso </w:t>
      </w:r>
      <w:r w:rsidR="0057284E" w:rsidRPr="00524435">
        <w:t xml:space="preserve">and family </w:t>
      </w:r>
      <w:r w:rsidRPr="00524435">
        <w:t>(Mexico)</w:t>
      </w:r>
    </w:p>
    <w:p w14:paraId="7E4E896A" w14:textId="10C48422"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187/21, Petition 457-13, Gemma </w:t>
      </w:r>
      <w:proofErr w:type="spellStart"/>
      <w:r w:rsidRPr="00524435">
        <w:t>Mávil</w:t>
      </w:r>
      <w:proofErr w:type="spellEnd"/>
      <w:r w:rsidRPr="00524435">
        <w:t xml:space="preserve"> </w:t>
      </w:r>
      <w:proofErr w:type="gramStart"/>
      <w:r w:rsidRPr="00524435">
        <w:t>Hernández</w:t>
      </w:r>
      <w:proofErr w:type="gramEnd"/>
      <w:r w:rsidRPr="00524435">
        <w:t xml:space="preserve"> </w:t>
      </w:r>
      <w:r w:rsidR="0057284E" w:rsidRPr="00524435">
        <w:t xml:space="preserve">and relatives </w:t>
      </w:r>
      <w:r w:rsidRPr="00524435">
        <w:t>(Mexico)</w:t>
      </w:r>
    </w:p>
    <w:p w14:paraId="25FA914F" w14:textId="338EFBD8"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188/21, </w:t>
      </w:r>
      <w:proofErr w:type="spellStart"/>
      <w:r w:rsidRPr="003F238D">
        <w:rPr>
          <w:lang w:val="es-US"/>
        </w:rPr>
        <w:t>Petition</w:t>
      </w:r>
      <w:proofErr w:type="spellEnd"/>
      <w:r w:rsidRPr="003F238D">
        <w:rPr>
          <w:lang w:val="es-US"/>
        </w:rPr>
        <w:t xml:space="preserve"> 1075-09, Gerardo Velásquez Navarrete (</w:t>
      </w:r>
      <w:proofErr w:type="spellStart"/>
      <w:r w:rsidRPr="003F238D">
        <w:rPr>
          <w:lang w:val="es-US"/>
        </w:rPr>
        <w:t>Mexico</w:t>
      </w:r>
      <w:proofErr w:type="spellEnd"/>
      <w:r w:rsidRPr="003F238D">
        <w:rPr>
          <w:lang w:val="es-US"/>
        </w:rPr>
        <w:t>)</w:t>
      </w:r>
    </w:p>
    <w:p w14:paraId="18A54976" w14:textId="3B811017"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224/21, </w:t>
      </w:r>
      <w:proofErr w:type="spellStart"/>
      <w:r w:rsidRPr="003F238D">
        <w:rPr>
          <w:lang w:val="es-US"/>
        </w:rPr>
        <w:t>Petition</w:t>
      </w:r>
      <w:proofErr w:type="spellEnd"/>
      <w:r w:rsidRPr="003F238D">
        <w:rPr>
          <w:lang w:val="es-US"/>
        </w:rPr>
        <w:t xml:space="preserve"> 922-10, Rafael Macedo Vargas </w:t>
      </w:r>
      <w:r w:rsidR="00772E07" w:rsidRPr="003F238D">
        <w:rPr>
          <w:lang w:val="es-US"/>
        </w:rPr>
        <w:t>and</w:t>
      </w:r>
      <w:r w:rsidRPr="003F238D">
        <w:rPr>
          <w:lang w:val="es-US"/>
        </w:rPr>
        <w:t xml:space="preserve"> Heliodoro Batalla Martinez (</w:t>
      </w:r>
      <w:proofErr w:type="spellStart"/>
      <w:r w:rsidRPr="003F238D">
        <w:rPr>
          <w:lang w:val="es-US"/>
        </w:rPr>
        <w:t>Mexico</w:t>
      </w:r>
      <w:proofErr w:type="spellEnd"/>
      <w:r w:rsidRPr="003F238D">
        <w:rPr>
          <w:lang w:val="es-US"/>
        </w:rPr>
        <w:t>)</w:t>
      </w:r>
    </w:p>
    <w:p w14:paraId="17FFEB77" w14:textId="12D189ED"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225/21, Petition 469-12, Jorge Leonardo Espinosa </w:t>
      </w:r>
      <w:proofErr w:type="gramStart"/>
      <w:r w:rsidRPr="00524435">
        <w:t>Pérez</w:t>
      </w:r>
      <w:proofErr w:type="gramEnd"/>
      <w:r w:rsidRPr="00524435">
        <w:t xml:space="preserve"> </w:t>
      </w:r>
      <w:r w:rsidR="0057284E" w:rsidRPr="00524435">
        <w:t xml:space="preserve">and family </w:t>
      </w:r>
      <w:r w:rsidRPr="00524435">
        <w:t>(Mexico)</w:t>
      </w:r>
    </w:p>
    <w:p w14:paraId="4FF90587" w14:textId="3E3BCEE8"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239/21, </w:t>
      </w:r>
      <w:proofErr w:type="spellStart"/>
      <w:r w:rsidRPr="003F238D">
        <w:rPr>
          <w:lang w:val="es-US"/>
        </w:rPr>
        <w:t>Petition</w:t>
      </w:r>
      <w:proofErr w:type="spellEnd"/>
      <w:r w:rsidRPr="003F238D">
        <w:rPr>
          <w:lang w:val="es-US"/>
        </w:rPr>
        <w:t xml:space="preserve"> 1313-09, Eva González Zendejas (</w:t>
      </w:r>
      <w:proofErr w:type="spellStart"/>
      <w:r w:rsidRPr="003F238D">
        <w:rPr>
          <w:lang w:val="es-US"/>
        </w:rPr>
        <w:t>Mexico</w:t>
      </w:r>
      <w:proofErr w:type="spellEnd"/>
      <w:r w:rsidRPr="003F238D">
        <w:rPr>
          <w:lang w:val="es-US"/>
        </w:rPr>
        <w:t>)</w:t>
      </w:r>
    </w:p>
    <w:p w14:paraId="1F55E8F5" w14:textId="41053025" w:rsidR="002B0ECE" w:rsidRPr="007A5442" w:rsidRDefault="002B0ECE" w:rsidP="0009324C">
      <w:pPr>
        <w:pStyle w:val="ListParagraph"/>
        <w:numPr>
          <w:ilvl w:val="0"/>
          <w:numId w:val="12"/>
        </w:numPr>
        <w:spacing w:after="0"/>
        <w:ind w:left="1260" w:hanging="540"/>
        <w:rPr>
          <w:rFonts w:eastAsiaTheme="minorHAnsi" w:cstheme="minorBidi"/>
          <w:lang w:val="es-ES"/>
        </w:rPr>
      </w:pPr>
      <w:proofErr w:type="spellStart"/>
      <w:r w:rsidRPr="007A5442">
        <w:rPr>
          <w:lang w:val="es-ES"/>
        </w:rPr>
        <w:t>Report</w:t>
      </w:r>
      <w:proofErr w:type="spellEnd"/>
      <w:r w:rsidRPr="007A5442">
        <w:rPr>
          <w:lang w:val="es-ES"/>
        </w:rPr>
        <w:t xml:space="preserve"> No. 252/21, </w:t>
      </w:r>
      <w:proofErr w:type="spellStart"/>
      <w:r w:rsidRPr="007A5442">
        <w:rPr>
          <w:lang w:val="es-ES"/>
        </w:rPr>
        <w:t>Petition</w:t>
      </w:r>
      <w:proofErr w:type="spellEnd"/>
      <w:r w:rsidRPr="007A5442">
        <w:rPr>
          <w:lang w:val="es-ES"/>
        </w:rPr>
        <w:t xml:space="preserve"> 1755-10, Paul Ochoa Flores (</w:t>
      </w:r>
      <w:proofErr w:type="spellStart"/>
      <w:r w:rsidRPr="007A5442">
        <w:rPr>
          <w:lang w:val="es-ES"/>
        </w:rPr>
        <w:t>Mexico</w:t>
      </w:r>
      <w:proofErr w:type="spellEnd"/>
      <w:r w:rsidRPr="007A5442">
        <w:rPr>
          <w:lang w:val="es-ES"/>
        </w:rPr>
        <w:t>)</w:t>
      </w:r>
    </w:p>
    <w:p w14:paraId="3DD6BB79" w14:textId="7C576BD5" w:rsidR="002B0ECE" w:rsidRPr="00524435" w:rsidRDefault="002B0ECE" w:rsidP="0009324C">
      <w:pPr>
        <w:pStyle w:val="ListParagraph"/>
        <w:numPr>
          <w:ilvl w:val="0"/>
          <w:numId w:val="12"/>
        </w:numPr>
        <w:spacing w:after="0"/>
        <w:ind w:left="1260" w:hanging="540"/>
        <w:rPr>
          <w:rFonts w:eastAsiaTheme="minorHAnsi" w:cstheme="minorBidi"/>
        </w:rPr>
      </w:pPr>
      <w:r w:rsidRPr="00524435">
        <w:t>Report No. 279/21 Petition 2106-12</w:t>
      </w:r>
      <w:r w:rsidRPr="00772E07">
        <w:t xml:space="preserve">, </w:t>
      </w:r>
      <w:proofErr w:type="spellStart"/>
      <w:r w:rsidR="00772E07" w:rsidRPr="00772E07">
        <w:t>C</w:t>
      </w:r>
      <w:r w:rsidRPr="00772E07">
        <w:t>Huitosachi</w:t>
      </w:r>
      <w:proofErr w:type="spellEnd"/>
      <w:r w:rsidRPr="00772E07">
        <w:t xml:space="preserve">, </w:t>
      </w:r>
      <w:proofErr w:type="spellStart"/>
      <w:r w:rsidRPr="00772E07">
        <w:t>Mogótavo</w:t>
      </w:r>
      <w:proofErr w:type="spellEnd"/>
      <w:r w:rsidRPr="00772E07">
        <w:t xml:space="preserve"> </w:t>
      </w:r>
      <w:r w:rsidR="00772E07" w:rsidRPr="00772E07">
        <w:t>and</w:t>
      </w:r>
      <w:r w:rsidRPr="00772E07">
        <w:t xml:space="preserve"> </w:t>
      </w:r>
      <w:proofErr w:type="spellStart"/>
      <w:r w:rsidRPr="00772E07">
        <w:t>Bacajípare</w:t>
      </w:r>
      <w:proofErr w:type="spellEnd"/>
      <w:r w:rsidRPr="00772E07">
        <w:t xml:space="preserve"> </w:t>
      </w:r>
      <w:r w:rsidR="00772E07" w:rsidRPr="00772E07">
        <w:t>communities from</w:t>
      </w:r>
      <w:r w:rsidRPr="00772E07">
        <w:t xml:space="preserve"> </w:t>
      </w:r>
      <w:proofErr w:type="spellStart"/>
      <w:r w:rsidRPr="00772E07">
        <w:t>Rarámuri</w:t>
      </w:r>
      <w:proofErr w:type="spellEnd"/>
      <w:r w:rsidR="00772E07" w:rsidRPr="00772E07">
        <w:t xml:space="preserve"> indigenous People</w:t>
      </w:r>
      <w:r w:rsidR="00623009">
        <w:t>s</w:t>
      </w:r>
      <w:r w:rsidRPr="00772E07">
        <w:t xml:space="preserve"> (Mexico)</w:t>
      </w:r>
    </w:p>
    <w:p w14:paraId="71E2DAD5" w14:textId="28565D0D"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310/21 </w:t>
      </w:r>
      <w:proofErr w:type="spellStart"/>
      <w:r w:rsidRPr="003F238D">
        <w:rPr>
          <w:lang w:val="es-US"/>
        </w:rPr>
        <w:t>Petition</w:t>
      </w:r>
      <w:proofErr w:type="spellEnd"/>
      <w:r w:rsidRPr="003F238D">
        <w:rPr>
          <w:lang w:val="es-US"/>
        </w:rPr>
        <w:t xml:space="preserve"> 707-13, Manuel Antonio Quintana Gallegos (</w:t>
      </w:r>
      <w:proofErr w:type="spellStart"/>
      <w:r w:rsidRPr="003F238D">
        <w:rPr>
          <w:lang w:val="es-US"/>
        </w:rPr>
        <w:t>Mexico</w:t>
      </w:r>
      <w:proofErr w:type="spellEnd"/>
      <w:r w:rsidRPr="003F238D">
        <w:rPr>
          <w:lang w:val="es-US"/>
        </w:rPr>
        <w:t>)</w:t>
      </w:r>
    </w:p>
    <w:p w14:paraId="26F22154" w14:textId="6E857D8F"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311/21 </w:t>
      </w:r>
      <w:proofErr w:type="spellStart"/>
      <w:r w:rsidRPr="003F238D">
        <w:rPr>
          <w:lang w:val="es-US"/>
        </w:rPr>
        <w:t>Petition</w:t>
      </w:r>
      <w:proofErr w:type="spellEnd"/>
      <w:r w:rsidRPr="003F238D">
        <w:rPr>
          <w:lang w:val="es-US"/>
        </w:rPr>
        <w:t xml:space="preserve"> 307-10, Miguel Ángel Diez García (</w:t>
      </w:r>
      <w:proofErr w:type="spellStart"/>
      <w:r w:rsidRPr="003F238D">
        <w:rPr>
          <w:lang w:val="es-US"/>
        </w:rPr>
        <w:t>Mexico</w:t>
      </w:r>
      <w:proofErr w:type="spellEnd"/>
      <w:r w:rsidRPr="003F238D">
        <w:rPr>
          <w:lang w:val="es-US"/>
        </w:rPr>
        <w:t>)</w:t>
      </w:r>
    </w:p>
    <w:p w14:paraId="31F56869" w14:textId="261871EC"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350/21 </w:t>
      </w:r>
      <w:proofErr w:type="spellStart"/>
      <w:r w:rsidRPr="003F238D">
        <w:rPr>
          <w:lang w:val="es-US"/>
        </w:rPr>
        <w:t>Petition</w:t>
      </w:r>
      <w:proofErr w:type="spellEnd"/>
      <w:r w:rsidRPr="003F238D">
        <w:rPr>
          <w:lang w:val="es-US"/>
        </w:rPr>
        <w:t xml:space="preserve"> 1105-09, Gerardo Sánchez Martínez (</w:t>
      </w:r>
      <w:proofErr w:type="spellStart"/>
      <w:r w:rsidRPr="003F238D">
        <w:rPr>
          <w:lang w:val="es-US"/>
        </w:rPr>
        <w:t>Mexico</w:t>
      </w:r>
      <w:proofErr w:type="spellEnd"/>
      <w:r w:rsidRPr="003F238D">
        <w:rPr>
          <w:lang w:val="es-US"/>
        </w:rPr>
        <w:t>)</w:t>
      </w:r>
    </w:p>
    <w:p w14:paraId="2EB35644" w14:textId="64DC4AB0"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384/21 </w:t>
      </w:r>
      <w:proofErr w:type="spellStart"/>
      <w:r w:rsidRPr="003F238D">
        <w:rPr>
          <w:lang w:val="es-US"/>
        </w:rPr>
        <w:t>Petition</w:t>
      </w:r>
      <w:proofErr w:type="spellEnd"/>
      <w:r w:rsidRPr="003F238D">
        <w:rPr>
          <w:lang w:val="es-US"/>
        </w:rPr>
        <w:t xml:space="preserve"> 1388-12, Elías Álvarez Torres (</w:t>
      </w:r>
      <w:proofErr w:type="spellStart"/>
      <w:r w:rsidRPr="003F238D">
        <w:rPr>
          <w:lang w:val="es-US"/>
        </w:rPr>
        <w:t>Mexico</w:t>
      </w:r>
      <w:proofErr w:type="spellEnd"/>
      <w:r w:rsidRPr="003F238D">
        <w:rPr>
          <w:lang w:val="es-US"/>
        </w:rPr>
        <w:t>)</w:t>
      </w:r>
    </w:p>
    <w:p w14:paraId="31014B8A" w14:textId="57D9AC09"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385/21 </w:t>
      </w:r>
      <w:proofErr w:type="spellStart"/>
      <w:r w:rsidRPr="003F238D">
        <w:rPr>
          <w:lang w:val="es-US"/>
        </w:rPr>
        <w:t>Petition</w:t>
      </w:r>
      <w:proofErr w:type="spellEnd"/>
      <w:r w:rsidRPr="003F238D">
        <w:rPr>
          <w:lang w:val="es-US"/>
        </w:rPr>
        <w:t xml:space="preserve"> 1929-12, Fernando Hernández Santoyo (</w:t>
      </w:r>
      <w:proofErr w:type="spellStart"/>
      <w:r w:rsidRPr="003F238D">
        <w:rPr>
          <w:lang w:val="es-US"/>
        </w:rPr>
        <w:t>Mexico</w:t>
      </w:r>
      <w:proofErr w:type="spellEnd"/>
      <w:r w:rsidRPr="003F238D">
        <w:rPr>
          <w:lang w:val="es-US"/>
        </w:rPr>
        <w:t>)</w:t>
      </w:r>
    </w:p>
    <w:p w14:paraId="19BBC8FF" w14:textId="254C9634" w:rsidR="002B0ECE" w:rsidRPr="00DF0CD0"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437/21, </w:t>
      </w:r>
      <w:proofErr w:type="spellStart"/>
      <w:r w:rsidRPr="003F238D">
        <w:rPr>
          <w:lang w:val="es-US"/>
        </w:rPr>
        <w:t>Petition</w:t>
      </w:r>
      <w:proofErr w:type="spellEnd"/>
      <w:r w:rsidRPr="003F238D">
        <w:rPr>
          <w:lang w:val="es-US"/>
        </w:rPr>
        <w:t xml:space="preserve"> 273-17, Luis Fernando García Muñoz </w:t>
      </w:r>
      <w:r w:rsidR="003366DE" w:rsidRPr="003F238D">
        <w:rPr>
          <w:lang w:val="es-US"/>
        </w:rPr>
        <w:t xml:space="preserve">et al. </w:t>
      </w:r>
      <w:r w:rsidRPr="00DF0CD0">
        <w:rPr>
          <w:lang w:val="es-US"/>
        </w:rPr>
        <w:t>(</w:t>
      </w:r>
      <w:proofErr w:type="spellStart"/>
      <w:r w:rsidRPr="00DF0CD0">
        <w:rPr>
          <w:lang w:val="es-US"/>
        </w:rPr>
        <w:t>Mexico</w:t>
      </w:r>
      <w:proofErr w:type="spellEnd"/>
      <w:r w:rsidRPr="00DF0CD0">
        <w:rPr>
          <w:lang w:val="es-US"/>
        </w:rPr>
        <w:t>)</w:t>
      </w:r>
    </w:p>
    <w:p w14:paraId="541AACA3" w14:textId="529A283A"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199/21, </w:t>
      </w:r>
      <w:proofErr w:type="spellStart"/>
      <w:r w:rsidRPr="003F238D">
        <w:rPr>
          <w:lang w:val="es-US"/>
        </w:rPr>
        <w:t>Petition</w:t>
      </w:r>
      <w:proofErr w:type="spellEnd"/>
      <w:r w:rsidRPr="003F238D">
        <w:rPr>
          <w:lang w:val="es-US"/>
        </w:rPr>
        <w:t xml:space="preserve"> 1256-14, Agustín </w:t>
      </w:r>
      <w:proofErr w:type="spellStart"/>
      <w:r w:rsidRPr="003F238D">
        <w:rPr>
          <w:lang w:val="es-US"/>
        </w:rPr>
        <w:t>Jarquin</w:t>
      </w:r>
      <w:proofErr w:type="spellEnd"/>
      <w:r w:rsidRPr="003F238D">
        <w:rPr>
          <w:lang w:val="es-US"/>
        </w:rPr>
        <w:t xml:space="preserve"> Anaya (Nicaragua)</w:t>
      </w:r>
    </w:p>
    <w:p w14:paraId="1E5DC66E" w14:textId="2A7A1F01"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200/21, </w:t>
      </w:r>
      <w:proofErr w:type="spellStart"/>
      <w:r w:rsidRPr="003F238D">
        <w:rPr>
          <w:lang w:val="es-US"/>
        </w:rPr>
        <w:t>Petition</w:t>
      </w:r>
      <w:proofErr w:type="spellEnd"/>
      <w:r w:rsidRPr="003F238D">
        <w:rPr>
          <w:lang w:val="es-US"/>
        </w:rPr>
        <w:t xml:space="preserve"> 176-13, Gabriel Eduardo Martínez Páez (Nicaragua)</w:t>
      </w:r>
    </w:p>
    <w:p w14:paraId="0E921BF1" w14:textId="7CC19F88"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201/21, </w:t>
      </w:r>
      <w:proofErr w:type="spellStart"/>
      <w:r w:rsidRPr="003F238D">
        <w:rPr>
          <w:lang w:val="es-US"/>
        </w:rPr>
        <w:t>Petition</w:t>
      </w:r>
      <w:proofErr w:type="spellEnd"/>
      <w:r w:rsidRPr="003F238D">
        <w:rPr>
          <w:lang w:val="es-US"/>
        </w:rPr>
        <w:t xml:space="preserve"> 2192-15, Santos Sebastián Flores Castillo (Nicaragua)</w:t>
      </w:r>
    </w:p>
    <w:p w14:paraId="1646A5F3" w14:textId="3C81D867"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237/21, </w:t>
      </w:r>
      <w:proofErr w:type="spellStart"/>
      <w:r w:rsidRPr="003F238D">
        <w:rPr>
          <w:lang w:val="es-US"/>
        </w:rPr>
        <w:t>Petition</w:t>
      </w:r>
      <w:proofErr w:type="spellEnd"/>
      <w:r w:rsidRPr="003F238D">
        <w:rPr>
          <w:lang w:val="es-US"/>
        </w:rPr>
        <w:t xml:space="preserve"> 491-14, Frank Oviedo Fuentes </w:t>
      </w:r>
      <w:r w:rsidR="003366DE" w:rsidRPr="003F238D">
        <w:rPr>
          <w:lang w:val="es-US"/>
        </w:rPr>
        <w:t xml:space="preserve">et al. </w:t>
      </w:r>
      <w:r w:rsidRPr="003F238D">
        <w:rPr>
          <w:lang w:val="es-US"/>
        </w:rPr>
        <w:t>(Nicaragua)</w:t>
      </w:r>
    </w:p>
    <w:p w14:paraId="2F591400" w14:textId="0C75E9D9" w:rsidR="002B0ECE" w:rsidRPr="00DF0CD0" w:rsidRDefault="002B0ECE" w:rsidP="0009324C">
      <w:pPr>
        <w:pStyle w:val="ListParagraph"/>
        <w:numPr>
          <w:ilvl w:val="0"/>
          <w:numId w:val="12"/>
        </w:numPr>
        <w:spacing w:after="0"/>
        <w:ind w:left="1260" w:hanging="540"/>
        <w:rPr>
          <w:rFonts w:eastAsiaTheme="minorHAnsi" w:cstheme="minorBidi"/>
          <w:lang w:val="pt-BR"/>
        </w:rPr>
      </w:pPr>
      <w:r w:rsidRPr="00DF0CD0">
        <w:rPr>
          <w:lang w:val="pt-BR"/>
        </w:rPr>
        <w:t>Report No. 278/21, Petition 1234-18, Ángel Eduardo Gahona López (Nicaragua)</w:t>
      </w:r>
    </w:p>
    <w:p w14:paraId="07610ABC" w14:textId="60D5EA2F"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322/21, </w:t>
      </w:r>
      <w:proofErr w:type="spellStart"/>
      <w:r w:rsidRPr="003F238D">
        <w:rPr>
          <w:lang w:val="es-US"/>
        </w:rPr>
        <w:t>Petition</w:t>
      </w:r>
      <w:proofErr w:type="spellEnd"/>
      <w:r w:rsidRPr="003F238D">
        <w:rPr>
          <w:lang w:val="es-US"/>
        </w:rPr>
        <w:t xml:space="preserve"> 1108-20</w:t>
      </w:r>
      <w:r w:rsidRPr="003F238D">
        <w:rPr>
          <w:highlight w:val="yellow"/>
          <w:lang w:val="es-US"/>
        </w:rPr>
        <w:t>, Integrantes del</w:t>
      </w:r>
      <w:r w:rsidRPr="003F238D">
        <w:rPr>
          <w:lang w:val="es-US"/>
        </w:rPr>
        <w:t xml:space="preserve"> CENIDH (Nicaragua)</w:t>
      </w:r>
    </w:p>
    <w:p w14:paraId="30E593C2" w14:textId="5F4FA2D1"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85/21, Petition 1292-14, </w:t>
      </w:r>
      <w:proofErr w:type="spellStart"/>
      <w:r w:rsidRPr="00524435">
        <w:t>Neldka</w:t>
      </w:r>
      <w:proofErr w:type="spellEnd"/>
      <w:r w:rsidRPr="00524435">
        <w:t xml:space="preserve"> </w:t>
      </w:r>
      <w:proofErr w:type="spellStart"/>
      <w:r w:rsidRPr="00524435">
        <w:t>Druspkia</w:t>
      </w:r>
      <w:proofErr w:type="spellEnd"/>
      <w:r w:rsidRPr="00524435">
        <w:t xml:space="preserve"> </w:t>
      </w:r>
      <w:proofErr w:type="spellStart"/>
      <w:r w:rsidRPr="00524435">
        <w:t>Navas</w:t>
      </w:r>
      <w:proofErr w:type="spellEnd"/>
      <w:r w:rsidRPr="00524435">
        <w:t xml:space="preserve"> Reyes (Panam</w:t>
      </w:r>
      <w:r w:rsidR="000A2CF2" w:rsidRPr="00524435">
        <w:t>a</w:t>
      </w:r>
      <w:r w:rsidRPr="00524435">
        <w:t>)</w:t>
      </w:r>
    </w:p>
    <w:p w14:paraId="72623B90" w14:textId="46437017" w:rsidR="002B0ECE" w:rsidRPr="00DF0CD0" w:rsidRDefault="002B0ECE" w:rsidP="0009324C">
      <w:pPr>
        <w:pStyle w:val="ListParagraph"/>
        <w:numPr>
          <w:ilvl w:val="0"/>
          <w:numId w:val="12"/>
        </w:numPr>
        <w:spacing w:after="0"/>
        <w:ind w:left="1260" w:hanging="540"/>
        <w:rPr>
          <w:rFonts w:eastAsiaTheme="minorHAnsi" w:cstheme="minorBidi"/>
          <w:lang w:val="es-US"/>
        </w:rPr>
      </w:pPr>
      <w:proofErr w:type="spellStart"/>
      <w:r w:rsidRPr="00DF0CD0">
        <w:rPr>
          <w:lang w:val="es-US"/>
        </w:rPr>
        <w:t>Report</w:t>
      </w:r>
      <w:proofErr w:type="spellEnd"/>
      <w:r w:rsidRPr="00DF0CD0">
        <w:rPr>
          <w:lang w:val="es-US"/>
        </w:rPr>
        <w:t xml:space="preserve"> No. 323/21, </w:t>
      </w:r>
      <w:proofErr w:type="spellStart"/>
      <w:r w:rsidRPr="00DF0CD0">
        <w:rPr>
          <w:lang w:val="es-US"/>
        </w:rPr>
        <w:t>Petition</w:t>
      </w:r>
      <w:proofErr w:type="spellEnd"/>
      <w:r w:rsidRPr="00DF0CD0">
        <w:rPr>
          <w:lang w:val="es-US"/>
        </w:rPr>
        <w:t xml:space="preserve"> 1841-14, M y C (</w:t>
      </w:r>
      <w:proofErr w:type="spellStart"/>
      <w:r w:rsidRPr="00DF0CD0">
        <w:rPr>
          <w:lang w:val="es-US"/>
        </w:rPr>
        <w:t>Panam</w:t>
      </w:r>
      <w:r w:rsidR="000A2CF2" w:rsidRPr="00DF0CD0">
        <w:rPr>
          <w:lang w:val="es-US"/>
        </w:rPr>
        <w:t>a</w:t>
      </w:r>
      <w:proofErr w:type="spellEnd"/>
      <w:r w:rsidRPr="00DF0CD0">
        <w:rPr>
          <w:lang w:val="es-US"/>
        </w:rPr>
        <w:t>)</w:t>
      </w:r>
    </w:p>
    <w:p w14:paraId="3D93E518" w14:textId="5F63153D"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146/21, Petition 292-15, Alan Robert Martínez </w:t>
      </w:r>
      <w:proofErr w:type="spellStart"/>
      <w:r w:rsidRPr="00524435">
        <w:t>Martínez</w:t>
      </w:r>
      <w:proofErr w:type="spellEnd"/>
      <w:r w:rsidRPr="00524435">
        <w:t xml:space="preserve"> (Paraguay)</w:t>
      </w:r>
    </w:p>
    <w:p w14:paraId="6DC8A534" w14:textId="51BCE8A4"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286/21, </w:t>
      </w:r>
      <w:proofErr w:type="spellStart"/>
      <w:r w:rsidRPr="003F238D">
        <w:rPr>
          <w:lang w:val="es-US"/>
        </w:rPr>
        <w:t>Petition</w:t>
      </w:r>
      <w:proofErr w:type="spellEnd"/>
      <w:r w:rsidRPr="003F238D">
        <w:rPr>
          <w:lang w:val="es-US"/>
        </w:rPr>
        <w:t xml:space="preserve"> 1267-11, Alan Alberto Flores Cabrera </w:t>
      </w:r>
      <w:r w:rsidR="000A2CF2" w:rsidRPr="003F238D">
        <w:rPr>
          <w:lang w:val="es-US"/>
        </w:rPr>
        <w:t>and</w:t>
      </w:r>
      <w:r w:rsidRPr="003F238D">
        <w:rPr>
          <w:lang w:val="es-US"/>
        </w:rPr>
        <w:t xml:space="preserve"> Teodoro Ronal Orrego Verdún (Paraguay)</w:t>
      </w:r>
    </w:p>
    <w:p w14:paraId="4576B3C7" w14:textId="2EDA046D" w:rsidR="002B0ECE" w:rsidRPr="00524435" w:rsidRDefault="002B0ECE" w:rsidP="0009324C">
      <w:pPr>
        <w:pStyle w:val="ListParagraph"/>
        <w:numPr>
          <w:ilvl w:val="0"/>
          <w:numId w:val="12"/>
        </w:numPr>
        <w:spacing w:after="0"/>
        <w:ind w:left="1260" w:hanging="540"/>
        <w:rPr>
          <w:rFonts w:eastAsiaTheme="minorHAnsi" w:cstheme="minorBidi"/>
        </w:rPr>
      </w:pPr>
      <w:r w:rsidRPr="00DF0CD0">
        <w:rPr>
          <w:lang w:val="fr-CA"/>
        </w:rPr>
        <w:t xml:space="preserve">Report No. 324/21, </w:t>
      </w:r>
      <w:proofErr w:type="spellStart"/>
      <w:r w:rsidRPr="00DF0CD0">
        <w:rPr>
          <w:lang w:val="fr-CA"/>
        </w:rPr>
        <w:t>Petition</w:t>
      </w:r>
      <w:proofErr w:type="spellEnd"/>
      <w:r w:rsidRPr="00DF0CD0">
        <w:rPr>
          <w:lang w:val="fr-CA"/>
        </w:rPr>
        <w:t xml:space="preserve"> 1950-14, </w:t>
      </w:r>
      <w:proofErr w:type="spellStart"/>
      <w:r w:rsidRPr="00DF0CD0">
        <w:rPr>
          <w:lang w:val="fr-CA"/>
        </w:rPr>
        <w:t>Rubén</w:t>
      </w:r>
      <w:proofErr w:type="spellEnd"/>
      <w:r w:rsidRPr="00DF0CD0">
        <w:rPr>
          <w:lang w:val="fr-CA"/>
        </w:rPr>
        <w:t xml:space="preserve"> Villalba </w:t>
      </w:r>
      <w:r w:rsidR="003366DE" w:rsidRPr="00DF0CD0">
        <w:rPr>
          <w:lang w:val="fr-CA"/>
        </w:rPr>
        <w:t xml:space="preserve">et al. </w:t>
      </w:r>
      <w:r w:rsidRPr="00524435">
        <w:t>(Paraguay)</w:t>
      </w:r>
    </w:p>
    <w:p w14:paraId="75DBA4BE" w14:textId="36946C3B"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351/21, Petition 1453-12, Santiago </w:t>
      </w:r>
      <w:proofErr w:type="spellStart"/>
      <w:r w:rsidRPr="00524435">
        <w:t>Caparroso</w:t>
      </w:r>
      <w:proofErr w:type="spellEnd"/>
      <w:r w:rsidRPr="00524435">
        <w:t xml:space="preserve"> Chaves, </w:t>
      </w:r>
      <w:proofErr w:type="gramStart"/>
      <w:r w:rsidRPr="00524435">
        <w:t>S.</w:t>
      </w:r>
      <w:proofErr w:type="gramEnd"/>
      <w:r w:rsidRPr="00524435">
        <w:t xml:space="preserve"> </w:t>
      </w:r>
      <w:r w:rsidR="00623009">
        <w:t>and</w:t>
      </w:r>
      <w:r w:rsidRPr="00524435">
        <w:t xml:space="preserve"> F. (Paraguay)</w:t>
      </w:r>
    </w:p>
    <w:p w14:paraId="064C09DC" w14:textId="506DFAB9"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352/21, Petition 90-14, </w:t>
      </w:r>
      <w:proofErr w:type="spellStart"/>
      <w:r w:rsidRPr="00524435">
        <w:t>Néstor</w:t>
      </w:r>
      <w:proofErr w:type="spellEnd"/>
      <w:r w:rsidRPr="00524435">
        <w:t xml:space="preserve"> Marcos Martínez </w:t>
      </w:r>
      <w:proofErr w:type="spellStart"/>
      <w:r w:rsidRPr="00524435">
        <w:t>Rolón</w:t>
      </w:r>
      <w:proofErr w:type="spellEnd"/>
      <w:r w:rsidRPr="00524435">
        <w:t xml:space="preserve"> </w:t>
      </w:r>
      <w:r w:rsidR="0057284E" w:rsidRPr="00524435">
        <w:t xml:space="preserve">and relatives </w:t>
      </w:r>
      <w:r w:rsidRPr="00524435">
        <w:t xml:space="preserve">(Paraguay) </w:t>
      </w:r>
    </w:p>
    <w:p w14:paraId="2E22E1B7" w14:textId="626243CC" w:rsidR="002B0ECE" w:rsidRPr="007A5442" w:rsidRDefault="002B0ECE" w:rsidP="0009324C">
      <w:pPr>
        <w:pStyle w:val="ListParagraph"/>
        <w:numPr>
          <w:ilvl w:val="0"/>
          <w:numId w:val="12"/>
        </w:numPr>
        <w:spacing w:after="0"/>
        <w:ind w:left="1260" w:hanging="540"/>
        <w:rPr>
          <w:rFonts w:eastAsiaTheme="minorHAnsi" w:cstheme="minorBidi"/>
          <w:lang w:val="pt-PT"/>
        </w:rPr>
      </w:pPr>
      <w:r w:rsidRPr="007A5442">
        <w:rPr>
          <w:lang w:val="pt-PT"/>
        </w:rPr>
        <w:t>Report No. 387/21, Petition 35-13, Fernando Armindo Lugo Méndez (Paraguay)</w:t>
      </w:r>
    </w:p>
    <w:p w14:paraId="0B39E414" w14:textId="5629662A"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37/21, Petition 368-11, Iris Yolanda </w:t>
      </w:r>
      <w:proofErr w:type="spellStart"/>
      <w:r w:rsidRPr="00524435">
        <w:t>Quiñones</w:t>
      </w:r>
      <w:proofErr w:type="spellEnd"/>
      <w:r w:rsidRPr="00524435">
        <w:t xml:space="preserve"> </w:t>
      </w:r>
      <w:proofErr w:type="spellStart"/>
      <w:proofErr w:type="gramStart"/>
      <w:r w:rsidRPr="00524435">
        <w:t>Colchado</w:t>
      </w:r>
      <w:proofErr w:type="spellEnd"/>
      <w:proofErr w:type="gramEnd"/>
      <w:r w:rsidRPr="00524435">
        <w:t xml:space="preserve"> </w:t>
      </w:r>
      <w:r w:rsidR="0057284E" w:rsidRPr="00524435">
        <w:t xml:space="preserve">and family </w:t>
      </w:r>
      <w:r w:rsidRPr="00524435">
        <w:t>(Peru)</w:t>
      </w:r>
    </w:p>
    <w:p w14:paraId="46EF8864" w14:textId="7F100831" w:rsidR="002B0ECE" w:rsidRPr="00524435" w:rsidRDefault="002B0ECE" w:rsidP="0009324C">
      <w:pPr>
        <w:pStyle w:val="ListParagraph"/>
        <w:numPr>
          <w:ilvl w:val="0"/>
          <w:numId w:val="12"/>
        </w:numPr>
        <w:spacing w:after="0"/>
        <w:ind w:left="1260" w:hanging="540"/>
        <w:rPr>
          <w:rFonts w:eastAsiaTheme="minorHAnsi" w:cstheme="minorBidi"/>
        </w:rPr>
      </w:pPr>
      <w:proofErr w:type="spellStart"/>
      <w:r w:rsidRPr="003F238D">
        <w:rPr>
          <w:lang w:val="es-US"/>
        </w:rPr>
        <w:t>Report</w:t>
      </w:r>
      <w:proofErr w:type="spellEnd"/>
      <w:r w:rsidRPr="003F238D">
        <w:rPr>
          <w:lang w:val="es-US"/>
        </w:rPr>
        <w:t xml:space="preserve"> No. 38/21, </w:t>
      </w:r>
      <w:proofErr w:type="spellStart"/>
      <w:r w:rsidRPr="003F238D">
        <w:rPr>
          <w:lang w:val="es-US"/>
        </w:rPr>
        <w:t>Petition</w:t>
      </w:r>
      <w:proofErr w:type="spellEnd"/>
      <w:r w:rsidRPr="003F238D">
        <w:rPr>
          <w:lang w:val="es-US"/>
        </w:rPr>
        <w:t xml:space="preserve"> 1534-08, Segundo Leovigildo </w:t>
      </w:r>
      <w:proofErr w:type="spellStart"/>
      <w:r w:rsidRPr="003F238D">
        <w:rPr>
          <w:lang w:val="es-US"/>
        </w:rPr>
        <w:t>Yoplac</w:t>
      </w:r>
      <w:proofErr w:type="spellEnd"/>
      <w:r w:rsidRPr="003F238D">
        <w:rPr>
          <w:lang w:val="es-US"/>
        </w:rPr>
        <w:t xml:space="preserve"> Requejo </w:t>
      </w:r>
      <w:r w:rsidR="003366DE" w:rsidRPr="003F238D">
        <w:rPr>
          <w:lang w:val="es-US"/>
        </w:rPr>
        <w:t xml:space="preserve">et al. </w:t>
      </w:r>
      <w:r w:rsidRPr="00524435">
        <w:t>(Peru)</w:t>
      </w:r>
    </w:p>
    <w:p w14:paraId="6E5035D9" w14:textId="1E159840"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53/21, Petition 729-13, Enrique Roberto </w:t>
      </w:r>
      <w:proofErr w:type="spellStart"/>
      <w:r w:rsidRPr="00524435">
        <w:t>Duchicela</w:t>
      </w:r>
      <w:proofErr w:type="spellEnd"/>
      <w:r w:rsidRPr="00524435">
        <w:t xml:space="preserve"> Hernandez </w:t>
      </w:r>
      <w:r w:rsidR="000A2CF2" w:rsidRPr="00524435">
        <w:t>and their relatives</w:t>
      </w:r>
      <w:r w:rsidRPr="00524435">
        <w:t xml:space="preserve"> (Peru)</w:t>
      </w:r>
    </w:p>
    <w:p w14:paraId="162EB7A7" w14:textId="32CE4DBD"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lastRenderedPageBreak/>
        <w:t>Report</w:t>
      </w:r>
      <w:proofErr w:type="spellEnd"/>
      <w:r w:rsidRPr="003F238D">
        <w:rPr>
          <w:lang w:val="es-US"/>
        </w:rPr>
        <w:t xml:space="preserve"> No. 54/21, </w:t>
      </w:r>
      <w:proofErr w:type="spellStart"/>
      <w:r w:rsidRPr="003F238D">
        <w:rPr>
          <w:lang w:val="es-US"/>
        </w:rPr>
        <w:t>Petition</w:t>
      </w:r>
      <w:proofErr w:type="spellEnd"/>
      <w:r w:rsidRPr="003F238D">
        <w:rPr>
          <w:lang w:val="es-US"/>
        </w:rPr>
        <w:t xml:space="preserve"> 893-11, Víctor Ariza Mendoza (</w:t>
      </w:r>
      <w:proofErr w:type="spellStart"/>
      <w:r w:rsidRPr="003F238D">
        <w:rPr>
          <w:lang w:val="es-US"/>
        </w:rPr>
        <w:t>Peru</w:t>
      </w:r>
      <w:proofErr w:type="spellEnd"/>
      <w:r w:rsidRPr="003F238D">
        <w:rPr>
          <w:lang w:val="es-US"/>
        </w:rPr>
        <w:t>)</w:t>
      </w:r>
    </w:p>
    <w:p w14:paraId="194831D9" w14:textId="385FB47B"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87/21, Petition 2023-12, José Eduardo </w:t>
      </w:r>
      <w:proofErr w:type="spellStart"/>
      <w:r w:rsidRPr="00524435">
        <w:t>Pasache</w:t>
      </w:r>
      <w:proofErr w:type="spellEnd"/>
      <w:r w:rsidRPr="00524435">
        <w:t xml:space="preserve"> Contreras (Peru)</w:t>
      </w:r>
    </w:p>
    <w:p w14:paraId="01AD23CF" w14:textId="4D456FBF"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112/21, Petition 66-12, Humberto Jesús </w:t>
      </w:r>
      <w:proofErr w:type="spellStart"/>
      <w:r w:rsidRPr="00524435">
        <w:t>Tempesta</w:t>
      </w:r>
      <w:proofErr w:type="spellEnd"/>
      <w:r w:rsidRPr="00524435">
        <w:t xml:space="preserve"> </w:t>
      </w:r>
      <w:proofErr w:type="spellStart"/>
      <w:r w:rsidRPr="00524435">
        <w:t>Herrada</w:t>
      </w:r>
      <w:proofErr w:type="spellEnd"/>
      <w:r w:rsidRPr="00524435">
        <w:t xml:space="preserve"> (Peru)</w:t>
      </w:r>
    </w:p>
    <w:p w14:paraId="6A4364BC" w14:textId="5ED0530B" w:rsidR="002B0ECE" w:rsidRPr="00DF0CD0" w:rsidRDefault="002B0ECE" w:rsidP="0009324C">
      <w:pPr>
        <w:pStyle w:val="ListParagraph"/>
        <w:numPr>
          <w:ilvl w:val="0"/>
          <w:numId w:val="12"/>
        </w:numPr>
        <w:spacing w:after="0"/>
        <w:ind w:left="1260" w:hanging="540"/>
        <w:rPr>
          <w:rFonts w:eastAsiaTheme="minorHAnsi" w:cstheme="minorBidi"/>
          <w:lang w:val="pt-BR"/>
        </w:rPr>
      </w:pPr>
      <w:r w:rsidRPr="00DF0CD0">
        <w:rPr>
          <w:lang w:val="pt-BR"/>
        </w:rPr>
        <w:t>Report No. 127/21, Petition 1197-12, Luz Gricelda Monge Talavera (Peru)</w:t>
      </w:r>
    </w:p>
    <w:p w14:paraId="367C6468" w14:textId="0558D6A3" w:rsidR="002B0ECE" w:rsidRPr="00524435" w:rsidRDefault="002B0ECE" w:rsidP="0009324C">
      <w:pPr>
        <w:pStyle w:val="ListParagraph"/>
        <w:numPr>
          <w:ilvl w:val="0"/>
          <w:numId w:val="12"/>
        </w:numPr>
        <w:spacing w:after="0"/>
        <w:ind w:left="1260" w:hanging="540"/>
        <w:rPr>
          <w:rFonts w:eastAsiaTheme="minorHAnsi" w:cstheme="minorBidi"/>
        </w:rPr>
      </w:pPr>
      <w:proofErr w:type="spellStart"/>
      <w:r w:rsidRPr="003F238D">
        <w:rPr>
          <w:lang w:val="es-US"/>
        </w:rPr>
        <w:t>Report</w:t>
      </w:r>
      <w:proofErr w:type="spellEnd"/>
      <w:r w:rsidRPr="003F238D">
        <w:rPr>
          <w:lang w:val="es-US"/>
        </w:rPr>
        <w:t xml:space="preserve"> No. 128/21, </w:t>
      </w:r>
      <w:proofErr w:type="spellStart"/>
      <w:r w:rsidRPr="003F238D">
        <w:rPr>
          <w:lang w:val="es-US"/>
        </w:rPr>
        <w:t>Petition</w:t>
      </w:r>
      <w:proofErr w:type="spellEnd"/>
      <w:r w:rsidRPr="003F238D">
        <w:rPr>
          <w:lang w:val="es-US"/>
        </w:rPr>
        <w:t xml:space="preserve"> 331-09, Iris Victoria Adriano Romero </w:t>
      </w:r>
      <w:r w:rsidR="003366DE" w:rsidRPr="003F238D">
        <w:rPr>
          <w:lang w:val="es-US"/>
        </w:rPr>
        <w:t xml:space="preserve">et al. </w:t>
      </w:r>
      <w:r w:rsidRPr="00524435">
        <w:t>(Peru)</w:t>
      </w:r>
    </w:p>
    <w:p w14:paraId="5D24A7AC" w14:textId="6A61BDA8" w:rsidR="002B0ECE" w:rsidRPr="00524435" w:rsidRDefault="002B0ECE" w:rsidP="0009324C">
      <w:pPr>
        <w:pStyle w:val="ListParagraph"/>
        <w:numPr>
          <w:ilvl w:val="0"/>
          <w:numId w:val="12"/>
        </w:numPr>
        <w:spacing w:after="0"/>
        <w:ind w:left="1260" w:hanging="540"/>
        <w:rPr>
          <w:rFonts w:eastAsiaTheme="minorHAnsi" w:cstheme="minorBidi"/>
        </w:rPr>
      </w:pPr>
      <w:proofErr w:type="spellStart"/>
      <w:r w:rsidRPr="003F238D">
        <w:rPr>
          <w:lang w:val="es-US"/>
        </w:rPr>
        <w:t>Report</w:t>
      </w:r>
      <w:proofErr w:type="spellEnd"/>
      <w:r w:rsidRPr="003F238D">
        <w:rPr>
          <w:lang w:val="es-US"/>
        </w:rPr>
        <w:t xml:space="preserve"> No. 129/21, </w:t>
      </w:r>
      <w:proofErr w:type="spellStart"/>
      <w:r w:rsidRPr="003F238D">
        <w:rPr>
          <w:lang w:val="es-US"/>
        </w:rPr>
        <w:t>Petition</w:t>
      </w:r>
      <w:proofErr w:type="spellEnd"/>
      <w:r w:rsidRPr="003F238D">
        <w:rPr>
          <w:lang w:val="es-US"/>
        </w:rPr>
        <w:t xml:space="preserve"> 894-09, Alcira Pérez Melgar </w:t>
      </w:r>
      <w:r w:rsidR="003366DE" w:rsidRPr="003F238D">
        <w:rPr>
          <w:lang w:val="es-US"/>
        </w:rPr>
        <w:t xml:space="preserve">et al. </w:t>
      </w:r>
      <w:r w:rsidRPr="00524435">
        <w:t>(Peru)</w:t>
      </w:r>
    </w:p>
    <w:p w14:paraId="62414CAC" w14:textId="5BA9191E"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134/21, Petition 367-12, Alejandro </w:t>
      </w:r>
      <w:proofErr w:type="spellStart"/>
      <w:r w:rsidRPr="00524435">
        <w:t>Pío</w:t>
      </w:r>
      <w:proofErr w:type="spellEnd"/>
      <w:r w:rsidRPr="00524435">
        <w:t xml:space="preserve"> </w:t>
      </w:r>
      <w:proofErr w:type="gramStart"/>
      <w:r w:rsidRPr="00524435">
        <w:t>Rueda</w:t>
      </w:r>
      <w:proofErr w:type="gramEnd"/>
      <w:r w:rsidRPr="00524435">
        <w:t xml:space="preserve"> </w:t>
      </w:r>
      <w:r w:rsidR="0057284E" w:rsidRPr="00524435">
        <w:t xml:space="preserve">and relatives </w:t>
      </w:r>
      <w:r w:rsidRPr="00524435">
        <w:t>(Peru)</w:t>
      </w:r>
    </w:p>
    <w:p w14:paraId="7E273E7E" w14:textId="6B71C347"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145/21, Petition 1959-12, Marvin Killer Paredes </w:t>
      </w:r>
      <w:proofErr w:type="spellStart"/>
      <w:r w:rsidRPr="00524435">
        <w:t>Tuesta</w:t>
      </w:r>
      <w:proofErr w:type="spellEnd"/>
      <w:r w:rsidRPr="00524435">
        <w:t xml:space="preserve"> (Peru)</w:t>
      </w:r>
    </w:p>
    <w:p w14:paraId="42956A13" w14:textId="4916B379"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147/21, </w:t>
      </w:r>
      <w:proofErr w:type="spellStart"/>
      <w:r w:rsidRPr="003F238D">
        <w:rPr>
          <w:lang w:val="es-US"/>
        </w:rPr>
        <w:t>Petition</w:t>
      </w:r>
      <w:proofErr w:type="spellEnd"/>
      <w:r w:rsidRPr="003F238D">
        <w:rPr>
          <w:lang w:val="es-US"/>
        </w:rPr>
        <w:t xml:space="preserve"> 1124-09, Ángel Armando Torreblanca de Velasco (</w:t>
      </w:r>
      <w:proofErr w:type="spellStart"/>
      <w:r w:rsidRPr="003F238D">
        <w:rPr>
          <w:lang w:val="es-US"/>
        </w:rPr>
        <w:t>Peru</w:t>
      </w:r>
      <w:proofErr w:type="spellEnd"/>
      <w:r w:rsidRPr="003F238D">
        <w:rPr>
          <w:lang w:val="es-US"/>
        </w:rPr>
        <w:t>)</w:t>
      </w:r>
    </w:p>
    <w:p w14:paraId="79132FF1" w14:textId="40B67D23"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163/21, Petition 1328-13, Alan Michael </w:t>
      </w:r>
      <w:proofErr w:type="spellStart"/>
      <w:r w:rsidRPr="00524435">
        <w:t>Azizollahoff</w:t>
      </w:r>
      <w:proofErr w:type="spellEnd"/>
      <w:r w:rsidRPr="00524435">
        <w:t xml:space="preserve"> Gate (Peru)</w:t>
      </w:r>
    </w:p>
    <w:p w14:paraId="702336F8" w14:textId="69AE3A99"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202/21, Petition 486-11, </w:t>
      </w:r>
      <w:proofErr w:type="spellStart"/>
      <w:r w:rsidRPr="00524435">
        <w:t>Beltrán</w:t>
      </w:r>
      <w:proofErr w:type="spellEnd"/>
      <w:r w:rsidRPr="00524435">
        <w:t xml:space="preserve"> Alonso </w:t>
      </w:r>
      <w:proofErr w:type="spellStart"/>
      <w:r w:rsidRPr="00524435">
        <w:t>Chivigorre</w:t>
      </w:r>
      <w:proofErr w:type="spellEnd"/>
      <w:r w:rsidRPr="00524435">
        <w:t xml:space="preserve"> Santos (Peru)</w:t>
      </w:r>
    </w:p>
    <w:p w14:paraId="1200C334" w14:textId="50EC1B61"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227/21, </w:t>
      </w:r>
      <w:proofErr w:type="spellStart"/>
      <w:r w:rsidRPr="003F238D">
        <w:rPr>
          <w:lang w:val="es-US"/>
        </w:rPr>
        <w:t>Petition</w:t>
      </w:r>
      <w:proofErr w:type="spellEnd"/>
      <w:r w:rsidRPr="003F238D">
        <w:rPr>
          <w:lang w:val="es-US"/>
        </w:rPr>
        <w:t xml:space="preserve"> 864-11, Hernán Martorell De </w:t>
      </w:r>
      <w:proofErr w:type="spellStart"/>
      <w:r w:rsidRPr="003F238D">
        <w:rPr>
          <w:lang w:val="es-US"/>
        </w:rPr>
        <w:t>Feudis</w:t>
      </w:r>
      <w:proofErr w:type="spellEnd"/>
      <w:r w:rsidRPr="003F238D">
        <w:rPr>
          <w:lang w:val="es-US"/>
        </w:rPr>
        <w:t xml:space="preserve"> </w:t>
      </w:r>
      <w:r w:rsidR="003366DE" w:rsidRPr="003F238D">
        <w:rPr>
          <w:lang w:val="es-US"/>
        </w:rPr>
        <w:t xml:space="preserve">et al. </w:t>
      </w:r>
      <w:r w:rsidRPr="003F238D">
        <w:rPr>
          <w:lang w:val="es-US"/>
        </w:rPr>
        <w:t>(</w:t>
      </w:r>
      <w:proofErr w:type="spellStart"/>
      <w:r w:rsidRPr="003F238D">
        <w:rPr>
          <w:lang w:val="es-US"/>
        </w:rPr>
        <w:t>Peru</w:t>
      </w:r>
      <w:proofErr w:type="spellEnd"/>
      <w:r w:rsidRPr="003F238D">
        <w:rPr>
          <w:lang w:val="es-US"/>
        </w:rPr>
        <w:t>)</w:t>
      </w:r>
    </w:p>
    <w:p w14:paraId="424D6627" w14:textId="03BA12CB"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246/21, Petition 1060-12, Jorge </w:t>
      </w:r>
      <w:proofErr w:type="spellStart"/>
      <w:r w:rsidRPr="00524435">
        <w:t>Ángel</w:t>
      </w:r>
      <w:proofErr w:type="spellEnd"/>
      <w:r w:rsidRPr="00524435">
        <w:t xml:space="preserve"> </w:t>
      </w:r>
      <w:proofErr w:type="spellStart"/>
      <w:r w:rsidRPr="00524435">
        <w:t>Pozo</w:t>
      </w:r>
      <w:proofErr w:type="spellEnd"/>
      <w:r w:rsidRPr="00524435">
        <w:t xml:space="preserve"> </w:t>
      </w:r>
      <w:proofErr w:type="spellStart"/>
      <w:r w:rsidRPr="00524435">
        <w:t>Chipana</w:t>
      </w:r>
      <w:proofErr w:type="spellEnd"/>
      <w:r w:rsidRPr="00524435">
        <w:t xml:space="preserve"> </w:t>
      </w:r>
      <w:r w:rsidR="003366DE" w:rsidRPr="00524435">
        <w:t xml:space="preserve">et al. </w:t>
      </w:r>
      <w:r w:rsidRPr="00524435">
        <w:t>(Peru)</w:t>
      </w:r>
    </w:p>
    <w:p w14:paraId="2E54ABDA" w14:textId="37DC2A8E"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353/21, Petition 1846-14, Andrea Dayna Medina </w:t>
      </w:r>
      <w:proofErr w:type="gramStart"/>
      <w:r w:rsidRPr="00524435">
        <w:t>Stein</w:t>
      </w:r>
      <w:proofErr w:type="gramEnd"/>
      <w:r w:rsidRPr="00524435">
        <w:t xml:space="preserve"> </w:t>
      </w:r>
      <w:r w:rsidR="00623009">
        <w:t>and daughter</w:t>
      </w:r>
      <w:r w:rsidRPr="00524435">
        <w:t xml:space="preserve"> (Peru)</w:t>
      </w:r>
    </w:p>
    <w:p w14:paraId="0151A131" w14:textId="5A62554A" w:rsidR="002B0ECE" w:rsidRPr="00524435" w:rsidRDefault="002B0ECE" w:rsidP="0009324C">
      <w:pPr>
        <w:pStyle w:val="ListParagraph"/>
        <w:numPr>
          <w:ilvl w:val="0"/>
          <w:numId w:val="12"/>
        </w:numPr>
        <w:spacing w:after="0"/>
        <w:ind w:left="1260" w:hanging="540"/>
        <w:rPr>
          <w:rFonts w:eastAsiaTheme="minorHAnsi" w:cstheme="minorBidi"/>
        </w:rPr>
      </w:pPr>
      <w:r w:rsidRPr="00524435">
        <w:t>Report No. 440/21, Petition 55-08, Daniel García Chávez (Peru)</w:t>
      </w:r>
    </w:p>
    <w:p w14:paraId="33A183DB" w14:textId="69E508B1" w:rsidR="002B0ECE" w:rsidRPr="007A5442" w:rsidRDefault="002B0ECE" w:rsidP="0009324C">
      <w:pPr>
        <w:pStyle w:val="ListParagraph"/>
        <w:numPr>
          <w:ilvl w:val="0"/>
          <w:numId w:val="12"/>
        </w:numPr>
        <w:spacing w:after="0"/>
        <w:ind w:left="1260" w:hanging="540"/>
        <w:rPr>
          <w:rFonts w:eastAsiaTheme="minorHAnsi" w:cstheme="minorBidi"/>
          <w:lang w:val="pt-PT"/>
        </w:rPr>
      </w:pPr>
      <w:r w:rsidRPr="007A5442">
        <w:rPr>
          <w:lang w:val="pt-PT"/>
        </w:rPr>
        <w:t>Report No. 1/21, Petition 1934-13, Silvia Mabel Fregueiro Yacobazzo (Uruguay)</w:t>
      </w:r>
    </w:p>
    <w:p w14:paraId="564C4518" w14:textId="08383244" w:rsidR="002B0ECE" w:rsidRPr="00DF0CD0" w:rsidRDefault="002B0ECE" w:rsidP="0009324C">
      <w:pPr>
        <w:pStyle w:val="ListParagraph"/>
        <w:numPr>
          <w:ilvl w:val="0"/>
          <w:numId w:val="12"/>
        </w:numPr>
        <w:spacing w:after="0"/>
        <w:ind w:left="1260" w:hanging="540"/>
        <w:rPr>
          <w:rFonts w:eastAsiaTheme="minorHAnsi" w:cstheme="minorBidi"/>
          <w:lang w:val="pt-BR"/>
        </w:rPr>
      </w:pPr>
      <w:r w:rsidRPr="00DF0CD0">
        <w:rPr>
          <w:lang w:val="pt-BR"/>
        </w:rPr>
        <w:t>Report No. 230/21, Petition 1517-12, Ricardo Hougham Guerrero (Uruguay)</w:t>
      </w:r>
    </w:p>
    <w:p w14:paraId="47039B92" w14:textId="17798A0F" w:rsidR="002B0ECE" w:rsidRPr="00DF0CD0" w:rsidRDefault="002B0ECE" w:rsidP="0009324C">
      <w:pPr>
        <w:pStyle w:val="ListParagraph"/>
        <w:numPr>
          <w:ilvl w:val="0"/>
          <w:numId w:val="12"/>
        </w:numPr>
        <w:spacing w:after="0"/>
        <w:ind w:left="1260" w:hanging="540"/>
        <w:rPr>
          <w:rFonts w:eastAsiaTheme="minorHAnsi" w:cstheme="minorBidi"/>
          <w:lang w:val="es-US"/>
        </w:rPr>
      </w:pPr>
      <w:proofErr w:type="spellStart"/>
      <w:r w:rsidRPr="00DF0CD0">
        <w:rPr>
          <w:lang w:val="es-US"/>
        </w:rPr>
        <w:t>Report</w:t>
      </w:r>
      <w:proofErr w:type="spellEnd"/>
      <w:r w:rsidRPr="00DF0CD0">
        <w:rPr>
          <w:lang w:val="es-US"/>
        </w:rPr>
        <w:t xml:space="preserve"> No. 231/21, </w:t>
      </w:r>
      <w:proofErr w:type="spellStart"/>
      <w:r w:rsidRPr="00DF0CD0">
        <w:rPr>
          <w:lang w:val="es-US"/>
        </w:rPr>
        <w:t>Petition</w:t>
      </w:r>
      <w:proofErr w:type="spellEnd"/>
      <w:r w:rsidRPr="00DF0CD0">
        <w:rPr>
          <w:lang w:val="es-US"/>
        </w:rPr>
        <w:t xml:space="preserve"> 245-10, Gastón Ramón Pesce Echeverz (Uruguay)</w:t>
      </w:r>
    </w:p>
    <w:p w14:paraId="70741D22" w14:textId="1316FBD4"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392/21, </w:t>
      </w:r>
      <w:proofErr w:type="spellStart"/>
      <w:r w:rsidRPr="003F238D">
        <w:rPr>
          <w:lang w:val="es-US"/>
        </w:rPr>
        <w:t>Petition</w:t>
      </w:r>
      <w:proofErr w:type="spellEnd"/>
      <w:r w:rsidRPr="003F238D">
        <w:rPr>
          <w:lang w:val="es-US"/>
        </w:rPr>
        <w:t xml:space="preserve"> 1250-09, Higinio Pérez Miguel </w:t>
      </w:r>
      <w:r w:rsidR="00623009" w:rsidRPr="003F238D">
        <w:rPr>
          <w:lang w:val="es-US"/>
        </w:rPr>
        <w:t xml:space="preserve">and </w:t>
      </w:r>
      <w:r w:rsidRPr="003F238D">
        <w:rPr>
          <w:lang w:val="es-US"/>
        </w:rPr>
        <w:t>Alberto Pérez Delgado (Uruguay)</w:t>
      </w:r>
    </w:p>
    <w:p w14:paraId="318E8D2D" w14:textId="0DB091E9"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441/21, </w:t>
      </w:r>
      <w:proofErr w:type="spellStart"/>
      <w:r w:rsidRPr="003F238D">
        <w:rPr>
          <w:lang w:val="es-US"/>
        </w:rPr>
        <w:t>Petition</w:t>
      </w:r>
      <w:proofErr w:type="spellEnd"/>
      <w:r w:rsidRPr="003F238D">
        <w:rPr>
          <w:lang w:val="es-US"/>
        </w:rPr>
        <w:t xml:space="preserve"> 1559-13, Juan Ignacio Freira Reyes (Uruguay)</w:t>
      </w:r>
    </w:p>
    <w:p w14:paraId="44CAB982" w14:textId="56DCB1CB"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7/21, </w:t>
      </w:r>
      <w:proofErr w:type="spellStart"/>
      <w:r w:rsidRPr="003F238D">
        <w:rPr>
          <w:lang w:val="es-US"/>
        </w:rPr>
        <w:t>Petition</w:t>
      </w:r>
      <w:proofErr w:type="spellEnd"/>
      <w:r w:rsidRPr="003F238D">
        <w:rPr>
          <w:lang w:val="es-US"/>
        </w:rPr>
        <w:t xml:space="preserve"> 1320-10, Julio Martín Herrera </w:t>
      </w:r>
      <w:proofErr w:type="spellStart"/>
      <w:r w:rsidRPr="003F238D">
        <w:rPr>
          <w:lang w:val="es-US"/>
        </w:rPr>
        <w:t>Velutini</w:t>
      </w:r>
      <w:proofErr w:type="spellEnd"/>
      <w:r w:rsidRPr="003F238D">
        <w:rPr>
          <w:lang w:val="es-US"/>
        </w:rPr>
        <w:t xml:space="preserve"> (Venezuela)</w:t>
      </w:r>
    </w:p>
    <w:p w14:paraId="303B98FA" w14:textId="1A37F1B2"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8/21, </w:t>
      </w:r>
      <w:proofErr w:type="spellStart"/>
      <w:r w:rsidRPr="003F238D">
        <w:rPr>
          <w:lang w:val="es-US"/>
        </w:rPr>
        <w:t>Petition</w:t>
      </w:r>
      <w:proofErr w:type="spellEnd"/>
      <w:r w:rsidRPr="003F238D">
        <w:rPr>
          <w:lang w:val="es-US"/>
        </w:rPr>
        <w:t xml:space="preserve"> 992-10, Guillermo Zuloaga Núñez (Venezuela)</w:t>
      </w:r>
    </w:p>
    <w:p w14:paraId="7968861C" w14:textId="0678A1B7"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56/21, </w:t>
      </w:r>
      <w:proofErr w:type="spellStart"/>
      <w:r w:rsidRPr="003F238D">
        <w:rPr>
          <w:lang w:val="es-US"/>
        </w:rPr>
        <w:t>Petition</w:t>
      </w:r>
      <w:proofErr w:type="spellEnd"/>
      <w:r w:rsidRPr="003F238D">
        <w:rPr>
          <w:lang w:val="es-US"/>
        </w:rPr>
        <w:t xml:space="preserve"> 1547-12, Miguel </w:t>
      </w:r>
      <w:proofErr w:type="spellStart"/>
      <w:r w:rsidRPr="003F238D">
        <w:rPr>
          <w:lang w:val="es-US"/>
        </w:rPr>
        <w:t>Faverola</w:t>
      </w:r>
      <w:proofErr w:type="spellEnd"/>
      <w:r w:rsidRPr="003F238D">
        <w:rPr>
          <w:lang w:val="es-US"/>
        </w:rPr>
        <w:t xml:space="preserve"> Fumero (Venezuela)</w:t>
      </w:r>
    </w:p>
    <w:p w14:paraId="39EDD177" w14:textId="2E82453B" w:rsidR="002B0ECE" w:rsidRPr="00DF0CD0" w:rsidRDefault="002B0ECE" w:rsidP="0009324C">
      <w:pPr>
        <w:pStyle w:val="ListParagraph"/>
        <w:numPr>
          <w:ilvl w:val="0"/>
          <w:numId w:val="12"/>
        </w:numPr>
        <w:spacing w:after="0"/>
        <w:ind w:left="1260" w:hanging="540"/>
        <w:rPr>
          <w:rFonts w:eastAsiaTheme="minorHAnsi" w:cstheme="minorBidi"/>
          <w:lang w:val="fr-CA"/>
        </w:rPr>
      </w:pPr>
      <w:r w:rsidRPr="00DF0CD0">
        <w:rPr>
          <w:lang w:val="fr-CA"/>
        </w:rPr>
        <w:t xml:space="preserve">Report No. 86/21, </w:t>
      </w:r>
      <w:proofErr w:type="spellStart"/>
      <w:r w:rsidRPr="00DF0CD0">
        <w:rPr>
          <w:lang w:val="fr-CA"/>
        </w:rPr>
        <w:t>Petition</w:t>
      </w:r>
      <w:proofErr w:type="spellEnd"/>
      <w:r w:rsidRPr="00DF0CD0">
        <w:rPr>
          <w:lang w:val="fr-CA"/>
        </w:rPr>
        <w:t xml:space="preserve"> 1750-11, José Sánchez </w:t>
      </w:r>
      <w:proofErr w:type="spellStart"/>
      <w:r w:rsidRPr="00DF0CD0">
        <w:rPr>
          <w:lang w:val="fr-CA"/>
        </w:rPr>
        <w:t>Montiel</w:t>
      </w:r>
      <w:proofErr w:type="spellEnd"/>
      <w:r w:rsidRPr="00DF0CD0">
        <w:rPr>
          <w:lang w:val="fr-CA"/>
        </w:rPr>
        <w:t xml:space="preserve"> (Venezuela)</w:t>
      </w:r>
    </w:p>
    <w:p w14:paraId="73898E48" w14:textId="54F69A6E" w:rsidR="002B0ECE" w:rsidRPr="00524435" w:rsidRDefault="002B0ECE" w:rsidP="0009324C">
      <w:pPr>
        <w:pStyle w:val="ListParagraph"/>
        <w:numPr>
          <w:ilvl w:val="0"/>
          <w:numId w:val="12"/>
        </w:numPr>
        <w:spacing w:after="0"/>
        <w:ind w:left="1260" w:hanging="540"/>
        <w:rPr>
          <w:rFonts w:eastAsiaTheme="minorHAnsi" w:cstheme="minorBidi"/>
        </w:rPr>
      </w:pPr>
      <w:r w:rsidRPr="00524435">
        <w:t>Report No. 152/21, Petition 1180-12, Humberto Paesano Galindo (Venezuela)</w:t>
      </w:r>
    </w:p>
    <w:p w14:paraId="7F244801" w14:textId="7CF5BBCB" w:rsidR="002B0ECE" w:rsidRPr="00524435" w:rsidRDefault="002B0ECE" w:rsidP="0009324C">
      <w:pPr>
        <w:pStyle w:val="ListParagraph"/>
        <w:numPr>
          <w:ilvl w:val="0"/>
          <w:numId w:val="12"/>
        </w:numPr>
        <w:spacing w:after="0"/>
        <w:ind w:left="1260" w:hanging="540"/>
        <w:rPr>
          <w:rFonts w:eastAsiaTheme="minorHAnsi" w:cstheme="minorBidi"/>
        </w:rPr>
      </w:pPr>
      <w:r w:rsidRPr="00524435">
        <w:t xml:space="preserve">Report No. 312/21, Petition 961-10, Nelson José </w:t>
      </w:r>
      <w:proofErr w:type="spellStart"/>
      <w:r w:rsidRPr="00524435">
        <w:t>Mezerhane</w:t>
      </w:r>
      <w:proofErr w:type="spellEnd"/>
      <w:r w:rsidRPr="00524435">
        <w:t xml:space="preserve"> </w:t>
      </w:r>
      <w:proofErr w:type="spellStart"/>
      <w:r w:rsidRPr="00524435">
        <w:t>Gosen</w:t>
      </w:r>
      <w:proofErr w:type="spellEnd"/>
      <w:r w:rsidRPr="00524435">
        <w:t xml:space="preserve"> (Venezuela)</w:t>
      </w:r>
    </w:p>
    <w:p w14:paraId="2DEB4547" w14:textId="7876326B" w:rsidR="002B0ECE" w:rsidRPr="003F238D" w:rsidRDefault="002B0ECE" w:rsidP="0009324C">
      <w:pPr>
        <w:pStyle w:val="ListParagraph"/>
        <w:numPr>
          <w:ilvl w:val="0"/>
          <w:numId w:val="12"/>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463/21, </w:t>
      </w:r>
      <w:proofErr w:type="spellStart"/>
      <w:r w:rsidRPr="003F238D">
        <w:rPr>
          <w:lang w:val="es-US"/>
        </w:rPr>
        <w:t>Petition</w:t>
      </w:r>
      <w:proofErr w:type="spellEnd"/>
      <w:r w:rsidRPr="003F238D">
        <w:rPr>
          <w:lang w:val="es-US"/>
        </w:rPr>
        <w:t xml:space="preserve"> 882-14, María Corina Machado (Venezuela)</w:t>
      </w:r>
    </w:p>
    <w:p w14:paraId="18E31784" w14:textId="5B09E15E" w:rsidR="001B3575" w:rsidRPr="003F238D" w:rsidRDefault="001B3575" w:rsidP="001B3575">
      <w:pPr>
        <w:pStyle w:val="NoSpacing"/>
        <w:rPr>
          <w:rFonts w:ascii="Cambria" w:hAnsi="Cambria"/>
          <w:sz w:val="20"/>
          <w:szCs w:val="20"/>
          <w:lang w:val="es-US"/>
        </w:rPr>
      </w:pPr>
    </w:p>
    <w:p w14:paraId="790FACB3" w14:textId="58D24AB8" w:rsidR="00B924D1" w:rsidRPr="00524435" w:rsidRDefault="00363DD1" w:rsidP="00E82663">
      <w:pPr>
        <w:pStyle w:val="Heading3"/>
        <w:numPr>
          <w:ilvl w:val="0"/>
          <w:numId w:val="5"/>
        </w:numPr>
      </w:pPr>
      <w:r w:rsidRPr="00524435">
        <w:t>Inadmissibility reports</w:t>
      </w:r>
    </w:p>
    <w:p w14:paraId="1F0E47BE" w14:textId="68A67D49"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2/21, </w:t>
      </w:r>
      <w:proofErr w:type="spellStart"/>
      <w:r w:rsidRPr="003F238D">
        <w:rPr>
          <w:lang w:val="es-US"/>
        </w:rPr>
        <w:t>Petition</w:t>
      </w:r>
      <w:proofErr w:type="spellEnd"/>
      <w:r w:rsidRPr="003F238D">
        <w:rPr>
          <w:lang w:val="es-US"/>
        </w:rPr>
        <w:t xml:space="preserve"> 1549-10, Carlos Alfredo </w:t>
      </w:r>
      <w:proofErr w:type="spellStart"/>
      <w:r w:rsidRPr="003F238D">
        <w:rPr>
          <w:lang w:val="es-US"/>
        </w:rPr>
        <w:t>Yanicelli</w:t>
      </w:r>
      <w:proofErr w:type="spellEnd"/>
      <w:r w:rsidRPr="003F238D">
        <w:rPr>
          <w:lang w:val="es-US"/>
        </w:rPr>
        <w:t xml:space="preserve"> (Argentina)</w:t>
      </w:r>
    </w:p>
    <w:p w14:paraId="01E30763" w14:textId="578D4A9D" w:rsidR="002B0ECE" w:rsidRPr="00524435" w:rsidRDefault="002B0ECE" w:rsidP="0009324C">
      <w:pPr>
        <w:pStyle w:val="ListParagraph"/>
        <w:numPr>
          <w:ilvl w:val="0"/>
          <w:numId w:val="13"/>
        </w:numPr>
        <w:spacing w:after="0"/>
        <w:ind w:left="1260" w:hanging="540"/>
        <w:rPr>
          <w:rFonts w:eastAsiaTheme="minorHAnsi" w:cstheme="minorBidi"/>
        </w:rPr>
      </w:pPr>
      <w:r w:rsidRPr="00524435">
        <w:t>Report No. 11/21, Petition 632-11, Wilder Mauricio Rosales (Argentina)</w:t>
      </w:r>
    </w:p>
    <w:p w14:paraId="7D9F1FC0" w14:textId="20A98363"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43/21, </w:t>
      </w:r>
      <w:proofErr w:type="spellStart"/>
      <w:r w:rsidRPr="003F238D">
        <w:rPr>
          <w:lang w:val="es-US"/>
        </w:rPr>
        <w:t>Petition</w:t>
      </w:r>
      <w:proofErr w:type="spellEnd"/>
      <w:r w:rsidRPr="003F238D">
        <w:rPr>
          <w:lang w:val="es-US"/>
        </w:rPr>
        <w:t xml:space="preserve"> 1310-11, Jorge Víctor </w:t>
      </w:r>
      <w:proofErr w:type="spellStart"/>
      <w:r w:rsidRPr="003F238D">
        <w:rPr>
          <w:lang w:val="es-US"/>
        </w:rPr>
        <w:t>Penela</w:t>
      </w:r>
      <w:proofErr w:type="spellEnd"/>
      <w:r w:rsidRPr="003F238D">
        <w:rPr>
          <w:lang w:val="es-US"/>
        </w:rPr>
        <w:t xml:space="preserve"> Dorado (Argentina)</w:t>
      </w:r>
    </w:p>
    <w:p w14:paraId="5C921132" w14:textId="13B6300B" w:rsidR="002B0ECE" w:rsidRPr="00524435" w:rsidRDefault="002B0ECE" w:rsidP="0009324C">
      <w:pPr>
        <w:pStyle w:val="ListParagraph"/>
        <w:numPr>
          <w:ilvl w:val="0"/>
          <w:numId w:val="13"/>
        </w:numPr>
        <w:spacing w:after="0"/>
        <w:ind w:left="1260" w:hanging="540"/>
        <w:rPr>
          <w:rFonts w:eastAsiaTheme="minorHAnsi" w:cstheme="minorBidi"/>
        </w:rPr>
      </w:pPr>
      <w:r w:rsidRPr="00524435">
        <w:t xml:space="preserve">Report No. 45/21, Petition 543-11, Dante Celso Ferrer </w:t>
      </w:r>
      <w:proofErr w:type="spellStart"/>
      <w:r w:rsidRPr="00524435">
        <w:t>Basuald</w:t>
      </w:r>
      <w:proofErr w:type="spellEnd"/>
      <w:r w:rsidRPr="00524435">
        <w:t xml:space="preserve"> (Argentina)</w:t>
      </w:r>
    </w:p>
    <w:p w14:paraId="6AAA9316" w14:textId="5CC78FF6"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116/21, </w:t>
      </w:r>
      <w:proofErr w:type="spellStart"/>
      <w:r w:rsidRPr="003F238D">
        <w:rPr>
          <w:lang w:val="es-US"/>
        </w:rPr>
        <w:t>Petition</w:t>
      </w:r>
      <w:proofErr w:type="spellEnd"/>
      <w:r w:rsidRPr="003F238D">
        <w:rPr>
          <w:lang w:val="es-US"/>
        </w:rPr>
        <w:t xml:space="preserve"> 2382-12, Carlos Guillermo Suárez Mason (Argentina)</w:t>
      </w:r>
    </w:p>
    <w:p w14:paraId="2CD9B0B9" w14:textId="401CB08D"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164/21, </w:t>
      </w:r>
      <w:proofErr w:type="spellStart"/>
      <w:r w:rsidRPr="003F238D">
        <w:rPr>
          <w:lang w:val="es-US"/>
        </w:rPr>
        <w:t>Petition</w:t>
      </w:r>
      <w:proofErr w:type="spellEnd"/>
      <w:r w:rsidRPr="003F238D">
        <w:rPr>
          <w:lang w:val="es-US"/>
        </w:rPr>
        <w:t xml:space="preserve"> 347-13, Carlos María Romero Pavón (Argentina)</w:t>
      </w:r>
    </w:p>
    <w:p w14:paraId="365D7B1B" w14:textId="5328B8A0"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174/21, </w:t>
      </w:r>
      <w:proofErr w:type="spellStart"/>
      <w:r w:rsidRPr="003F238D">
        <w:rPr>
          <w:lang w:val="es-US"/>
        </w:rPr>
        <w:t>Petition</w:t>
      </w:r>
      <w:proofErr w:type="spellEnd"/>
      <w:r w:rsidRPr="003F238D">
        <w:rPr>
          <w:lang w:val="es-US"/>
        </w:rPr>
        <w:t xml:space="preserve"> 10-10, Rolando </w:t>
      </w:r>
      <w:proofErr w:type="gramStart"/>
      <w:r w:rsidRPr="003F238D">
        <w:rPr>
          <w:lang w:val="es-US"/>
        </w:rPr>
        <w:t>Coronel</w:t>
      </w:r>
      <w:proofErr w:type="gramEnd"/>
      <w:r w:rsidRPr="003F238D">
        <w:rPr>
          <w:lang w:val="es-US"/>
        </w:rPr>
        <w:t xml:space="preserve"> y Marta Herminia Coronel Azar (Argentina)</w:t>
      </w:r>
    </w:p>
    <w:p w14:paraId="3B4882BE" w14:textId="71670A58"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176/21, </w:t>
      </w:r>
      <w:proofErr w:type="spellStart"/>
      <w:r w:rsidRPr="003F238D">
        <w:rPr>
          <w:lang w:val="es-US"/>
        </w:rPr>
        <w:t>Petition</w:t>
      </w:r>
      <w:proofErr w:type="spellEnd"/>
      <w:r w:rsidRPr="003F238D">
        <w:rPr>
          <w:lang w:val="es-US"/>
        </w:rPr>
        <w:t xml:space="preserve"> 147-09, Oscar Javier Ortega Osorio </w:t>
      </w:r>
      <w:r w:rsidR="000A2CF2" w:rsidRPr="003F238D">
        <w:rPr>
          <w:lang w:val="es-US"/>
        </w:rPr>
        <w:t>and</w:t>
      </w:r>
      <w:r w:rsidRPr="003F238D">
        <w:rPr>
          <w:lang w:val="es-US"/>
        </w:rPr>
        <w:t xml:space="preserve"> Rubén Antonio Ortega (Argentina)</w:t>
      </w:r>
    </w:p>
    <w:p w14:paraId="67CC74E2" w14:textId="7D695383" w:rsidR="002B0ECE" w:rsidRPr="007A5442" w:rsidRDefault="002B0ECE" w:rsidP="0009324C">
      <w:pPr>
        <w:pStyle w:val="ListParagraph"/>
        <w:numPr>
          <w:ilvl w:val="0"/>
          <w:numId w:val="13"/>
        </w:numPr>
        <w:spacing w:after="0"/>
        <w:ind w:left="1260" w:hanging="540"/>
        <w:rPr>
          <w:rFonts w:eastAsiaTheme="minorHAnsi" w:cstheme="minorBidi"/>
          <w:lang w:val="pt-PT"/>
        </w:rPr>
      </w:pPr>
      <w:r w:rsidRPr="007A5442">
        <w:rPr>
          <w:lang w:val="pt-PT"/>
        </w:rPr>
        <w:t>Report No. 209/21, Petition 1526-10, Jorge Alberto Rodríguez (Argentina)</w:t>
      </w:r>
    </w:p>
    <w:p w14:paraId="29ACF558" w14:textId="76941217" w:rsidR="002B0ECE" w:rsidRPr="00524435" w:rsidRDefault="002B0ECE" w:rsidP="0009324C">
      <w:pPr>
        <w:pStyle w:val="ListParagraph"/>
        <w:numPr>
          <w:ilvl w:val="0"/>
          <w:numId w:val="13"/>
        </w:numPr>
        <w:spacing w:after="0"/>
        <w:ind w:left="1260" w:hanging="540"/>
        <w:rPr>
          <w:rFonts w:eastAsiaTheme="minorHAnsi" w:cstheme="minorBidi"/>
        </w:rPr>
      </w:pPr>
      <w:r w:rsidRPr="00524435">
        <w:t xml:space="preserve">Report No. 210/21, Petition 778-10, José Domingo </w:t>
      </w:r>
      <w:proofErr w:type="spellStart"/>
      <w:r w:rsidRPr="00524435">
        <w:t>Cánepa</w:t>
      </w:r>
      <w:proofErr w:type="spellEnd"/>
      <w:r w:rsidRPr="00524435">
        <w:t xml:space="preserve"> (Argentina)</w:t>
      </w:r>
    </w:p>
    <w:p w14:paraId="6B4CF261" w14:textId="3AE727DF" w:rsidR="002B0ECE" w:rsidRPr="00DF0CD0" w:rsidRDefault="002B0ECE" w:rsidP="0009324C">
      <w:pPr>
        <w:pStyle w:val="ListParagraph"/>
        <w:numPr>
          <w:ilvl w:val="0"/>
          <w:numId w:val="13"/>
        </w:numPr>
        <w:spacing w:after="0"/>
        <w:ind w:left="1260" w:hanging="540"/>
        <w:rPr>
          <w:rFonts w:eastAsiaTheme="minorHAnsi" w:cstheme="minorBidi"/>
          <w:lang w:val="pt-BR"/>
        </w:rPr>
      </w:pPr>
      <w:r w:rsidRPr="00DF0CD0">
        <w:rPr>
          <w:lang w:val="pt-BR"/>
        </w:rPr>
        <w:t>Report No. 234/21, Petition 571-10, Andrea Cristina Di Gregorio (Argentina)</w:t>
      </w:r>
    </w:p>
    <w:p w14:paraId="01FB6309" w14:textId="58A1F846" w:rsidR="002B0ECE" w:rsidRPr="00524435" w:rsidRDefault="002B0ECE" w:rsidP="0009324C">
      <w:pPr>
        <w:pStyle w:val="ListParagraph"/>
        <w:numPr>
          <w:ilvl w:val="0"/>
          <w:numId w:val="13"/>
        </w:numPr>
        <w:spacing w:after="0"/>
        <w:ind w:left="1260" w:hanging="540"/>
        <w:rPr>
          <w:rFonts w:eastAsiaTheme="minorHAnsi" w:cstheme="minorBidi"/>
        </w:rPr>
      </w:pPr>
      <w:r w:rsidRPr="00524435">
        <w:t xml:space="preserve">Report No. 251/21, Petition 1790-10, </w:t>
      </w:r>
      <w:proofErr w:type="spellStart"/>
      <w:r w:rsidRPr="00524435">
        <w:t>Rúben</w:t>
      </w:r>
      <w:proofErr w:type="spellEnd"/>
      <w:r w:rsidRPr="00524435">
        <w:t xml:space="preserve"> Omar Rivero (Argentina)</w:t>
      </w:r>
    </w:p>
    <w:p w14:paraId="2413040C" w14:textId="1C945DAE"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340/21, </w:t>
      </w:r>
      <w:proofErr w:type="spellStart"/>
      <w:r w:rsidRPr="003F238D">
        <w:rPr>
          <w:lang w:val="es-US"/>
        </w:rPr>
        <w:t>Petition</w:t>
      </w:r>
      <w:proofErr w:type="spellEnd"/>
      <w:r w:rsidRPr="003F238D">
        <w:rPr>
          <w:lang w:val="es-US"/>
        </w:rPr>
        <w:t xml:space="preserve"> 1694-12, Orestes Valentín </w:t>
      </w:r>
      <w:proofErr w:type="spellStart"/>
      <w:r w:rsidRPr="003F238D">
        <w:rPr>
          <w:lang w:val="es-US"/>
        </w:rPr>
        <w:t>Padovan</w:t>
      </w:r>
      <w:proofErr w:type="spellEnd"/>
      <w:r w:rsidRPr="003F238D">
        <w:rPr>
          <w:lang w:val="es-US"/>
        </w:rPr>
        <w:t xml:space="preserve"> (Argentina)</w:t>
      </w:r>
    </w:p>
    <w:p w14:paraId="088F078C" w14:textId="19399CE9" w:rsidR="002B0ECE" w:rsidRPr="00524435" w:rsidRDefault="002B0ECE" w:rsidP="0009324C">
      <w:pPr>
        <w:pStyle w:val="ListParagraph"/>
        <w:numPr>
          <w:ilvl w:val="0"/>
          <w:numId w:val="13"/>
        </w:numPr>
        <w:spacing w:after="0"/>
        <w:ind w:left="1260" w:hanging="540"/>
        <w:rPr>
          <w:rFonts w:eastAsiaTheme="minorHAnsi" w:cstheme="minorBidi"/>
        </w:rPr>
      </w:pPr>
      <w:r w:rsidRPr="00524435">
        <w:t xml:space="preserve">Report No. 233/21, Petition 267-10, José Ramón </w:t>
      </w:r>
      <w:proofErr w:type="spellStart"/>
      <w:r w:rsidRPr="00524435">
        <w:t>Emeterio</w:t>
      </w:r>
      <w:proofErr w:type="spellEnd"/>
      <w:r w:rsidRPr="00524435">
        <w:t xml:space="preserve"> Gutiérrez (Argentina)</w:t>
      </w:r>
    </w:p>
    <w:p w14:paraId="72213F67" w14:textId="1C0092C4" w:rsidR="002B0ECE" w:rsidRPr="00524435" w:rsidRDefault="002B0ECE" w:rsidP="0009324C">
      <w:pPr>
        <w:pStyle w:val="ListParagraph"/>
        <w:numPr>
          <w:ilvl w:val="0"/>
          <w:numId w:val="13"/>
        </w:numPr>
        <w:spacing w:after="0"/>
        <w:ind w:left="1260" w:hanging="540"/>
        <w:rPr>
          <w:rFonts w:eastAsiaTheme="minorHAnsi" w:cstheme="minorBidi"/>
        </w:rPr>
      </w:pPr>
      <w:r w:rsidRPr="00524435">
        <w:t xml:space="preserve">Report No. 212/21, Petition 861-13 Andrea Karina Vasquez </w:t>
      </w:r>
      <w:r w:rsidR="003366DE" w:rsidRPr="00524435">
        <w:t xml:space="preserve">et al. </w:t>
      </w:r>
      <w:r w:rsidRPr="00524435">
        <w:t>(Argentina)</w:t>
      </w:r>
    </w:p>
    <w:p w14:paraId="008A3F71" w14:textId="1B20E2EF" w:rsidR="002B0ECE" w:rsidRPr="00524435" w:rsidRDefault="002B0ECE" w:rsidP="0009324C">
      <w:pPr>
        <w:pStyle w:val="ListParagraph"/>
        <w:numPr>
          <w:ilvl w:val="0"/>
          <w:numId w:val="13"/>
        </w:numPr>
        <w:spacing w:after="0"/>
        <w:ind w:left="1260" w:hanging="540"/>
        <w:rPr>
          <w:rFonts w:eastAsiaTheme="minorHAnsi" w:cstheme="minorBidi"/>
        </w:rPr>
      </w:pPr>
      <w:r w:rsidRPr="00524435">
        <w:t xml:space="preserve">Report No. 213/21, Petition 1027-11, Kathia Bertha Aguilar </w:t>
      </w:r>
      <w:proofErr w:type="gramStart"/>
      <w:r w:rsidRPr="00524435">
        <w:t>Flores</w:t>
      </w:r>
      <w:proofErr w:type="gramEnd"/>
      <w:r w:rsidRPr="00524435">
        <w:t xml:space="preserve"> </w:t>
      </w:r>
      <w:r w:rsidR="0057284E" w:rsidRPr="00524435">
        <w:t xml:space="preserve">and family </w:t>
      </w:r>
      <w:r w:rsidRPr="00524435">
        <w:t>(Bolivia)</w:t>
      </w:r>
    </w:p>
    <w:p w14:paraId="52B0909D" w14:textId="133A78A1" w:rsidR="002B0ECE" w:rsidRPr="007A5442" w:rsidRDefault="002B0ECE" w:rsidP="0009324C">
      <w:pPr>
        <w:pStyle w:val="ListParagraph"/>
        <w:numPr>
          <w:ilvl w:val="0"/>
          <w:numId w:val="13"/>
        </w:numPr>
        <w:spacing w:after="0"/>
        <w:ind w:left="1260" w:hanging="540"/>
        <w:rPr>
          <w:rFonts w:eastAsiaTheme="minorHAnsi" w:cstheme="minorBidi"/>
          <w:lang w:val="es-ES"/>
        </w:rPr>
      </w:pPr>
      <w:proofErr w:type="spellStart"/>
      <w:r w:rsidRPr="003F238D">
        <w:rPr>
          <w:lang w:val="es-US"/>
        </w:rPr>
        <w:t>Report</w:t>
      </w:r>
      <w:proofErr w:type="spellEnd"/>
      <w:r w:rsidRPr="003F238D">
        <w:rPr>
          <w:lang w:val="es-US"/>
        </w:rPr>
        <w:t xml:space="preserve"> No. 214/21, </w:t>
      </w:r>
      <w:proofErr w:type="spellStart"/>
      <w:r w:rsidRPr="003F238D">
        <w:rPr>
          <w:lang w:val="es-US"/>
        </w:rPr>
        <w:t>Petition</w:t>
      </w:r>
      <w:proofErr w:type="spellEnd"/>
      <w:r w:rsidRPr="003F238D">
        <w:rPr>
          <w:lang w:val="es-US"/>
        </w:rPr>
        <w:t xml:space="preserve"> 559-12, Roberto Claros Flores </w:t>
      </w:r>
      <w:r w:rsidR="003366DE" w:rsidRPr="003F238D">
        <w:rPr>
          <w:lang w:val="es-US"/>
        </w:rPr>
        <w:t xml:space="preserve">et al. </w:t>
      </w:r>
      <w:r w:rsidRPr="007A5442">
        <w:rPr>
          <w:lang w:val="es-ES"/>
        </w:rPr>
        <w:t>(Bolivia)</w:t>
      </w:r>
    </w:p>
    <w:p w14:paraId="5AA8CA93" w14:textId="0178ECC0" w:rsidR="002B0ECE" w:rsidRPr="00524435" w:rsidRDefault="002B0ECE" w:rsidP="0009324C">
      <w:pPr>
        <w:pStyle w:val="ListParagraph"/>
        <w:numPr>
          <w:ilvl w:val="0"/>
          <w:numId w:val="13"/>
        </w:numPr>
        <w:spacing w:after="0"/>
        <w:ind w:left="1260" w:hanging="540"/>
        <w:rPr>
          <w:rFonts w:eastAsiaTheme="minorHAnsi" w:cstheme="minorBidi"/>
        </w:rPr>
      </w:pPr>
      <w:r w:rsidRPr="00524435">
        <w:t xml:space="preserve">Report No. 316/21, Petition 1517-14, Mustafa Selin Ortiz </w:t>
      </w:r>
      <w:proofErr w:type="spellStart"/>
      <w:r w:rsidRPr="00524435">
        <w:t>Havivi</w:t>
      </w:r>
      <w:proofErr w:type="spellEnd"/>
      <w:r w:rsidRPr="00524435">
        <w:t xml:space="preserve"> (Bolivia)</w:t>
      </w:r>
    </w:p>
    <w:p w14:paraId="18705228" w14:textId="5CF9BF5F"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356/21, </w:t>
      </w:r>
      <w:proofErr w:type="spellStart"/>
      <w:r w:rsidRPr="003F238D">
        <w:rPr>
          <w:lang w:val="es-US"/>
        </w:rPr>
        <w:t>Petition</w:t>
      </w:r>
      <w:proofErr w:type="spellEnd"/>
      <w:r w:rsidRPr="003F238D">
        <w:rPr>
          <w:lang w:val="es-US"/>
        </w:rPr>
        <w:t xml:space="preserve"> 1616-13, Juan Carlos Pedraza Cuéllar </w:t>
      </w:r>
      <w:r w:rsidR="00E1597F" w:rsidRPr="003F238D">
        <w:rPr>
          <w:lang w:val="es-US"/>
        </w:rPr>
        <w:t>and</w:t>
      </w:r>
      <w:r w:rsidRPr="003F238D">
        <w:rPr>
          <w:lang w:val="es-US"/>
        </w:rPr>
        <w:t xml:space="preserve"> Richard Germán Márquez Campero (Bolivia)</w:t>
      </w:r>
    </w:p>
    <w:p w14:paraId="280C7976" w14:textId="30AC1BC9" w:rsidR="002B0ECE" w:rsidRPr="00524435" w:rsidRDefault="002B0ECE" w:rsidP="0009324C">
      <w:pPr>
        <w:pStyle w:val="ListParagraph"/>
        <w:numPr>
          <w:ilvl w:val="0"/>
          <w:numId w:val="13"/>
        </w:numPr>
        <w:spacing w:after="0"/>
        <w:ind w:left="1260" w:hanging="540"/>
        <w:rPr>
          <w:rFonts w:eastAsiaTheme="minorHAnsi" w:cstheme="minorBidi"/>
        </w:rPr>
      </w:pPr>
      <w:r w:rsidRPr="00524435">
        <w:t xml:space="preserve">Report No. 359/21, Petition 682-10, Luiz Eduardo </w:t>
      </w:r>
      <w:proofErr w:type="spellStart"/>
      <w:r w:rsidRPr="00524435">
        <w:t>Auricchio</w:t>
      </w:r>
      <w:proofErr w:type="spellEnd"/>
      <w:r w:rsidRPr="00524435">
        <w:t xml:space="preserve"> </w:t>
      </w:r>
      <w:proofErr w:type="spellStart"/>
      <w:r w:rsidRPr="00524435">
        <w:t>Bottura</w:t>
      </w:r>
      <w:proofErr w:type="spellEnd"/>
      <w:r w:rsidRPr="00524435">
        <w:t xml:space="preserve"> (Brazil)</w:t>
      </w:r>
    </w:p>
    <w:p w14:paraId="019C6ECD" w14:textId="64F833BB" w:rsidR="002B0ECE" w:rsidRPr="00524435" w:rsidRDefault="002B0ECE" w:rsidP="0009324C">
      <w:pPr>
        <w:pStyle w:val="ListParagraph"/>
        <w:numPr>
          <w:ilvl w:val="0"/>
          <w:numId w:val="13"/>
        </w:numPr>
        <w:spacing w:after="0"/>
        <w:ind w:left="1260" w:hanging="540"/>
        <w:rPr>
          <w:rFonts w:eastAsiaTheme="minorHAnsi" w:cstheme="minorBidi"/>
        </w:rPr>
      </w:pPr>
      <w:r w:rsidRPr="00524435">
        <w:t xml:space="preserve">Report No. 361/21, Petition 379-12, </w:t>
      </w:r>
      <w:proofErr w:type="spellStart"/>
      <w:r w:rsidRPr="00524435">
        <w:t>Ecio</w:t>
      </w:r>
      <w:proofErr w:type="spellEnd"/>
      <w:r w:rsidRPr="00524435">
        <w:t xml:space="preserve"> Carlos </w:t>
      </w:r>
      <w:proofErr w:type="spellStart"/>
      <w:r w:rsidRPr="00524435">
        <w:t>Cristofani</w:t>
      </w:r>
      <w:proofErr w:type="spellEnd"/>
      <w:r w:rsidRPr="00524435">
        <w:t xml:space="preserve"> </w:t>
      </w:r>
      <w:r w:rsidR="0057284E" w:rsidRPr="00524435">
        <w:t xml:space="preserve">and family </w:t>
      </w:r>
      <w:r w:rsidRPr="00524435">
        <w:t>(Brazil)</w:t>
      </w:r>
    </w:p>
    <w:p w14:paraId="69535429" w14:textId="05FD48A2" w:rsidR="002B0ECE" w:rsidRPr="00524435" w:rsidRDefault="002B0ECE" w:rsidP="0009324C">
      <w:pPr>
        <w:pStyle w:val="ListParagraph"/>
        <w:numPr>
          <w:ilvl w:val="0"/>
          <w:numId w:val="13"/>
        </w:numPr>
        <w:spacing w:after="0"/>
        <w:ind w:left="1260" w:hanging="540"/>
        <w:rPr>
          <w:rFonts w:eastAsiaTheme="minorHAnsi" w:cstheme="minorBidi"/>
        </w:rPr>
      </w:pPr>
      <w:r w:rsidRPr="00524435">
        <w:lastRenderedPageBreak/>
        <w:t xml:space="preserve">Report No. 27/21, Petition 897-11, Leonidas Medina </w:t>
      </w:r>
      <w:proofErr w:type="spellStart"/>
      <w:r w:rsidRPr="00524435">
        <w:t>Álamos</w:t>
      </w:r>
      <w:proofErr w:type="spellEnd"/>
      <w:r w:rsidRPr="00524435">
        <w:t xml:space="preserve"> (Chile)</w:t>
      </w:r>
    </w:p>
    <w:p w14:paraId="3CD090BF" w14:textId="5C149FEE" w:rsidR="002B0ECE" w:rsidRPr="00524435" w:rsidRDefault="002B0ECE" w:rsidP="0009324C">
      <w:pPr>
        <w:pStyle w:val="ListParagraph"/>
        <w:numPr>
          <w:ilvl w:val="0"/>
          <w:numId w:val="13"/>
        </w:numPr>
        <w:spacing w:after="0"/>
        <w:ind w:left="1260" w:hanging="540"/>
        <w:rPr>
          <w:rFonts w:eastAsiaTheme="minorHAnsi" w:cstheme="minorBidi"/>
        </w:rPr>
      </w:pPr>
      <w:r w:rsidRPr="00524435">
        <w:t xml:space="preserve">Report No. 106/21, Petition 115-08, Héctor Raúl </w:t>
      </w:r>
      <w:proofErr w:type="spellStart"/>
      <w:r w:rsidRPr="00524435">
        <w:t>Garcés</w:t>
      </w:r>
      <w:proofErr w:type="spellEnd"/>
      <w:r w:rsidRPr="00524435">
        <w:t xml:space="preserve"> González (Chile)</w:t>
      </w:r>
    </w:p>
    <w:p w14:paraId="284DCB40" w14:textId="59E3789A" w:rsidR="002B0ECE" w:rsidRPr="00524435" w:rsidRDefault="002B0ECE" w:rsidP="0009324C">
      <w:pPr>
        <w:pStyle w:val="ListParagraph"/>
        <w:numPr>
          <w:ilvl w:val="0"/>
          <w:numId w:val="13"/>
        </w:numPr>
        <w:spacing w:after="0"/>
        <w:ind w:left="1260" w:hanging="540"/>
        <w:rPr>
          <w:rFonts w:eastAsiaTheme="minorHAnsi" w:cstheme="minorBidi"/>
        </w:rPr>
      </w:pPr>
      <w:r w:rsidRPr="00524435">
        <w:t>Report No. 216/21, Petition 1863-12, Rubén Ramírez Muñoz (Chile)</w:t>
      </w:r>
    </w:p>
    <w:p w14:paraId="4B7B2440" w14:textId="5BE1504A" w:rsidR="002B0ECE" w:rsidRPr="00524435" w:rsidRDefault="002B0ECE" w:rsidP="0009324C">
      <w:pPr>
        <w:pStyle w:val="ListParagraph"/>
        <w:numPr>
          <w:ilvl w:val="0"/>
          <w:numId w:val="13"/>
        </w:numPr>
        <w:spacing w:after="0"/>
        <w:ind w:left="1260" w:hanging="540"/>
        <w:rPr>
          <w:rFonts w:eastAsiaTheme="minorHAnsi" w:cstheme="minorBidi"/>
        </w:rPr>
      </w:pPr>
      <w:r w:rsidRPr="00524435">
        <w:t xml:space="preserve">Report No. 244/21, Petition 1833-11, </w:t>
      </w:r>
      <w:proofErr w:type="spellStart"/>
      <w:r w:rsidRPr="00524435">
        <w:t>Familiares</w:t>
      </w:r>
      <w:proofErr w:type="spellEnd"/>
      <w:r w:rsidRPr="00524435">
        <w:t xml:space="preserve"> de Humberto Salas </w:t>
      </w:r>
      <w:proofErr w:type="spellStart"/>
      <w:r w:rsidRPr="00524435">
        <w:t>Salas</w:t>
      </w:r>
      <w:proofErr w:type="spellEnd"/>
      <w:r w:rsidRPr="00524435">
        <w:t xml:space="preserve"> (Chile)</w:t>
      </w:r>
    </w:p>
    <w:p w14:paraId="4E2A8876" w14:textId="2C2D8DFC"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261/21, </w:t>
      </w:r>
      <w:proofErr w:type="spellStart"/>
      <w:r w:rsidRPr="003F238D">
        <w:rPr>
          <w:lang w:val="es-US"/>
        </w:rPr>
        <w:t>Petition</w:t>
      </w:r>
      <w:proofErr w:type="spellEnd"/>
      <w:r w:rsidRPr="003F238D">
        <w:rPr>
          <w:lang w:val="es-US"/>
        </w:rPr>
        <w:t xml:space="preserve"> 1979-14, Alejandro Marcial Cuéllar Segovia (Chile)</w:t>
      </w:r>
    </w:p>
    <w:p w14:paraId="50C1EF35" w14:textId="01310218" w:rsidR="002B0ECE" w:rsidRPr="00524435" w:rsidRDefault="002B0ECE" w:rsidP="0009324C">
      <w:pPr>
        <w:pStyle w:val="ListParagraph"/>
        <w:numPr>
          <w:ilvl w:val="0"/>
          <w:numId w:val="13"/>
        </w:numPr>
        <w:spacing w:after="0"/>
        <w:ind w:left="1260" w:hanging="540"/>
        <w:rPr>
          <w:rFonts w:eastAsiaTheme="minorHAnsi" w:cstheme="minorBidi"/>
        </w:rPr>
      </w:pPr>
      <w:r w:rsidRPr="00524435">
        <w:t xml:space="preserve">Report No. 308/21, Petition 2245-13, </w:t>
      </w:r>
      <w:proofErr w:type="spellStart"/>
      <w:r w:rsidRPr="00524435">
        <w:t>Abdón</w:t>
      </w:r>
      <w:proofErr w:type="spellEnd"/>
      <w:r w:rsidRPr="00524435">
        <w:t xml:space="preserve"> Vera Contreras (Chile)</w:t>
      </w:r>
    </w:p>
    <w:p w14:paraId="3B02A403" w14:textId="750ED6EC"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16/21, </w:t>
      </w:r>
      <w:proofErr w:type="spellStart"/>
      <w:r w:rsidRPr="003F238D">
        <w:rPr>
          <w:lang w:val="es-US"/>
        </w:rPr>
        <w:t>Petition</w:t>
      </w:r>
      <w:proofErr w:type="spellEnd"/>
      <w:r w:rsidRPr="003F238D">
        <w:rPr>
          <w:lang w:val="es-US"/>
        </w:rPr>
        <w:t xml:space="preserve"> 1028-11, Libardo Parra Vargas (Colombia)</w:t>
      </w:r>
    </w:p>
    <w:p w14:paraId="6F5AE62C" w14:textId="423BC2A7"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29/21, Peticiones 1274-07, 1273-09 y 759-10 (Colombia)</w:t>
      </w:r>
    </w:p>
    <w:p w14:paraId="0D3D1315" w14:textId="3BE30334" w:rsidR="002B0ECE" w:rsidRPr="00524435" w:rsidRDefault="002B0ECE" w:rsidP="0009324C">
      <w:pPr>
        <w:pStyle w:val="ListParagraph"/>
        <w:numPr>
          <w:ilvl w:val="0"/>
          <w:numId w:val="13"/>
        </w:numPr>
        <w:spacing w:after="0"/>
        <w:ind w:left="1260" w:hanging="540"/>
        <w:rPr>
          <w:rFonts w:eastAsiaTheme="minorHAnsi" w:cstheme="minorBidi"/>
        </w:rPr>
      </w:pPr>
      <w:proofErr w:type="spellStart"/>
      <w:r w:rsidRPr="003F238D">
        <w:rPr>
          <w:lang w:val="es-US"/>
        </w:rPr>
        <w:t>Report</w:t>
      </w:r>
      <w:proofErr w:type="spellEnd"/>
      <w:r w:rsidRPr="003F238D">
        <w:rPr>
          <w:lang w:val="es-US"/>
        </w:rPr>
        <w:t xml:space="preserve"> No. 30/21, </w:t>
      </w:r>
      <w:proofErr w:type="spellStart"/>
      <w:r w:rsidRPr="003F238D">
        <w:rPr>
          <w:lang w:val="es-US"/>
        </w:rPr>
        <w:t>Petition</w:t>
      </w:r>
      <w:proofErr w:type="spellEnd"/>
      <w:r w:rsidRPr="003F238D">
        <w:rPr>
          <w:lang w:val="es-US"/>
        </w:rPr>
        <w:t xml:space="preserve"> 2016-13, Fernando </w:t>
      </w:r>
      <w:proofErr w:type="spellStart"/>
      <w:r w:rsidRPr="003F238D">
        <w:rPr>
          <w:lang w:val="es-US"/>
        </w:rPr>
        <w:t>Vasquez</w:t>
      </w:r>
      <w:proofErr w:type="spellEnd"/>
      <w:r w:rsidRPr="003F238D">
        <w:rPr>
          <w:lang w:val="es-US"/>
        </w:rPr>
        <w:t xml:space="preserve"> Botero </w:t>
      </w:r>
      <w:r w:rsidR="003366DE" w:rsidRPr="003F238D">
        <w:rPr>
          <w:lang w:val="es-US"/>
        </w:rPr>
        <w:t xml:space="preserve">et al. </w:t>
      </w:r>
      <w:r w:rsidRPr="00524435">
        <w:t>(Colombia)</w:t>
      </w:r>
    </w:p>
    <w:p w14:paraId="7B11D216" w14:textId="3125D6E5"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32/21, </w:t>
      </w:r>
      <w:proofErr w:type="spellStart"/>
      <w:r w:rsidRPr="003F238D">
        <w:rPr>
          <w:lang w:val="es-US"/>
        </w:rPr>
        <w:t>Petition</w:t>
      </w:r>
      <w:proofErr w:type="spellEnd"/>
      <w:r w:rsidRPr="003F238D">
        <w:rPr>
          <w:lang w:val="es-US"/>
        </w:rPr>
        <w:t xml:space="preserve"> 1041-11, Heder Gómez Ibarra, Jair Quiroga Torres </w:t>
      </w:r>
      <w:r w:rsidR="00E1597F" w:rsidRPr="003F238D">
        <w:rPr>
          <w:lang w:val="es-US"/>
        </w:rPr>
        <w:t>and</w:t>
      </w:r>
      <w:r w:rsidRPr="003F238D">
        <w:rPr>
          <w:lang w:val="es-US"/>
        </w:rPr>
        <w:t xml:space="preserve"> Luis Fernando Zuluaga Castrillón (Colombia)</w:t>
      </w:r>
    </w:p>
    <w:p w14:paraId="75B57E70" w14:textId="14CC1125" w:rsidR="002B0ECE" w:rsidRPr="00DF0CD0"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62/21, </w:t>
      </w:r>
      <w:proofErr w:type="spellStart"/>
      <w:r w:rsidRPr="003F238D">
        <w:rPr>
          <w:lang w:val="es-US"/>
        </w:rPr>
        <w:t>Petition</w:t>
      </w:r>
      <w:proofErr w:type="spellEnd"/>
      <w:r w:rsidRPr="003F238D">
        <w:rPr>
          <w:lang w:val="es-US"/>
        </w:rPr>
        <w:t xml:space="preserve"> 358-10, Luis María Cifuentes, </w:t>
      </w:r>
      <w:r w:rsidR="003366DE" w:rsidRPr="003F238D">
        <w:rPr>
          <w:lang w:val="es-US"/>
        </w:rPr>
        <w:t xml:space="preserve">et al. </w:t>
      </w:r>
      <w:r w:rsidRPr="00DF0CD0">
        <w:rPr>
          <w:lang w:val="es-US"/>
        </w:rPr>
        <w:t>(Colombia)</w:t>
      </w:r>
    </w:p>
    <w:p w14:paraId="4EC096FB" w14:textId="73572A30" w:rsidR="002B0ECE" w:rsidRPr="00524435" w:rsidRDefault="002B0ECE" w:rsidP="0009324C">
      <w:pPr>
        <w:pStyle w:val="ListParagraph"/>
        <w:numPr>
          <w:ilvl w:val="0"/>
          <w:numId w:val="13"/>
        </w:numPr>
        <w:spacing w:after="0"/>
        <w:ind w:left="1260" w:hanging="540"/>
        <w:rPr>
          <w:rFonts w:eastAsiaTheme="minorHAnsi" w:cstheme="minorBidi"/>
        </w:rPr>
      </w:pPr>
      <w:r w:rsidRPr="00524435">
        <w:t xml:space="preserve">Report No. 91/21, Petition 1599-11, </w:t>
      </w:r>
      <w:proofErr w:type="spellStart"/>
      <w:r w:rsidRPr="00524435">
        <w:t>Meki</w:t>
      </w:r>
      <w:proofErr w:type="spellEnd"/>
      <w:r w:rsidRPr="00524435">
        <w:t xml:space="preserve"> </w:t>
      </w:r>
      <w:proofErr w:type="spellStart"/>
      <w:r w:rsidRPr="00524435">
        <w:t>Amoura</w:t>
      </w:r>
      <w:proofErr w:type="spellEnd"/>
      <w:r w:rsidRPr="00524435">
        <w:t xml:space="preserve"> (Colombia)</w:t>
      </w:r>
    </w:p>
    <w:p w14:paraId="4D6D049B" w14:textId="2BE07E31"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92/21, </w:t>
      </w:r>
      <w:proofErr w:type="spellStart"/>
      <w:r w:rsidRPr="003F238D">
        <w:rPr>
          <w:lang w:val="es-US"/>
        </w:rPr>
        <w:t>Petition</w:t>
      </w:r>
      <w:proofErr w:type="spellEnd"/>
      <w:r w:rsidRPr="003F238D">
        <w:rPr>
          <w:lang w:val="es-US"/>
        </w:rPr>
        <w:t xml:space="preserve"> 2098-13, Jesús María Lemos Bustamante y otra (Colombia)</w:t>
      </w:r>
    </w:p>
    <w:p w14:paraId="6A569DF3" w14:textId="2160B364"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93/21, </w:t>
      </w:r>
      <w:proofErr w:type="spellStart"/>
      <w:r w:rsidRPr="003F238D">
        <w:rPr>
          <w:lang w:val="es-US"/>
        </w:rPr>
        <w:t>Petition</w:t>
      </w:r>
      <w:proofErr w:type="spellEnd"/>
      <w:r w:rsidRPr="003F238D">
        <w:rPr>
          <w:lang w:val="es-US"/>
        </w:rPr>
        <w:t xml:space="preserve"> 2106-13, Bertha Lucía Ramírez de Páez (Colombia)</w:t>
      </w:r>
    </w:p>
    <w:p w14:paraId="17F665D8" w14:textId="3B60D3CB"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94/21, </w:t>
      </w:r>
      <w:proofErr w:type="spellStart"/>
      <w:r w:rsidRPr="003F238D">
        <w:rPr>
          <w:lang w:val="es-US"/>
        </w:rPr>
        <w:t>Petition</w:t>
      </w:r>
      <w:proofErr w:type="spellEnd"/>
      <w:r w:rsidRPr="003F238D">
        <w:rPr>
          <w:lang w:val="es-US"/>
        </w:rPr>
        <w:t xml:space="preserve"> 2175-13, María Del Rosario González Muñoz (Colombia)</w:t>
      </w:r>
    </w:p>
    <w:p w14:paraId="62ADDEE4" w14:textId="6F27F9AD" w:rsidR="002B0ECE" w:rsidRPr="00DF0CD0" w:rsidRDefault="002B0ECE" w:rsidP="0009324C">
      <w:pPr>
        <w:pStyle w:val="ListParagraph"/>
        <w:numPr>
          <w:ilvl w:val="0"/>
          <w:numId w:val="13"/>
        </w:numPr>
        <w:spacing w:after="0"/>
        <w:ind w:left="1260" w:hanging="540"/>
        <w:rPr>
          <w:rFonts w:eastAsiaTheme="minorHAnsi" w:cstheme="minorBidi"/>
          <w:lang w:val="es-US"/>
        </w:rPr>
      </w:pPr>
      <w:proofErr w:type="spellStart"/>
      <w:r w:rsidRPr="00DF0CD0">
        <w:rPr>
          <w:lang w:val="es-US"/>
        </w:rPr>
        <w:t>Report</w:t>
      </w:r>
      <w:proofErr w:type="spellEnd"/>
      <w:r w:rsidRPr="00DF0CD0">
        <w:rPr>
          <w:lang w:val="es-US"/>
        </w:rPr>
        <w:t xml:space="preserve"> No. 120/21, </w:t>
      </w:r>
      <w:proofErr w:type="spellStart"/>
      <w:r w:rsidRPr="00DF0CD0">
        <w:rPr>
          <w:lang w:val="es-US"/>
        </w:rPr>
        <w:t>Petition</w:t>
      </w:r>
      <w:proofErr w:type="spellEnd"/>
      <w:r w:rsidRPr="00DF0CD0">
        <w:rPr>
          <w:lang w:val="es-US"/>
        </w:rPr>
        <w:t xml:space="preserve"> 861-09, Jaime Rodríguez Carvajal (Colombia)</w:t>
      </w:r>
    </w:p>
    <w:p w14:paraId="434CBF59" w14:textId="4F592150" w:rsidR="002B0ECE" w:rsidRPr="00524435" w:rsidRDefault="002B0ECE" w:rsidP="0009324C">
      <w:pPr>
        <w:pStyle w:val="ListParagraph"/>
        <w:numPr>
          <w:ilvl w:val="0"/>
          <w:numId w:val="13"/>
        </w:numPr>
        <w:spacing w:after="0"/>
        <w:ind w:left="1260" w:hanging="540"/>
        <w:rPr>
          <w:rFonts w:eastAsiaTheme="minorHAnsi" w:cstheme="minorBidi"/>
        </w:rPr>
      </w:pPr>
      <w:r w:rsidRPr="00524435">
        <w:t>Report No. 151/21, Petition 1878-11, Joven XY (Colombia)</w:t>
      </w:r>
    </w:p>
    <w:p w14:paraId="72559019" w14:textId="5F64B327"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177/21, </w:t>
      </w:r>
      <w:proofErr w:type="spellStart"/>
      <w:r w:rsidRPr="003F238D">
        <w:rPr>
          <w:lang w:val="es-US"/>
        </w:rPr>
        <w:t>Petition</w:t>
      </w:r>
      <w:proofErr w:type="spellEnd"/>
      <w:r w:rsidRPr="003F238D">
        <w:rPr>
          <w:lang w:val="es-US"/>
        </w:rPr>
        <w:t xml:space="preserve"> 1354-09, Martha Virginia del Carmen Mesa Ruiz (Colombia)</w:t>
      </w:r>
    </w:p>
    <w:p w14:paraId="5785F5F5" w14:textId="2A560F3B" w:rsidR="002B0ECE" w:rsidRPr="00DF0CD0"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193/21, </w:t>
      </w:r>
      <w:proofErr w:type="spellStart"/>
      <w:r w:rsidRPr="003F238D">
        <w:rPr>
          <w:lang w:val="es-US"/>
        </w:rPr>
        <w:t>Petition</w:t>
      </w:r>
      <w:proofErr w:type="spellEnd"/>
      <w:r w:rsidRPr="003F238D">
        <w:rPr>
          <w:lang w:val="es-US"/>
        </w:rPr>
        <w:t xml:space="preserve"> 1833-12, Alfonso Rafael López Lara </w:t>
      </w:r>
      <w:r w:rsidR="003366DE" w:rsidRPr="003F238D">
        <w:rPr>
          <w:lang w:val="es-US"/>
        </w:rPr>
        <w:t xml:space="preserve">et al. </w:t>
      </w:r>
      <w:r w:rsidRPr="00DF0CD0">
        <w:rPr>
          <w:lang w:val="es-US"/>
        </w:rPr>
        <w:t>(Colombia)</w:t>
      </w:r>
    </w:p>
    <w:p w14:paraId="4939A0FA" w14:textId="200BF850"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345/21, </w:t>
      </w:r>
      <w:proofErr w:type="spellStart"/>
      <w:r w:rsidRPr="003F238D">
        <w:rPr>
          <w:lang w:val="es-US"/>
        </w:rPr>
        <w:t>Petition</w:t>
      </w:r>
      <w:proofErr w:type="spellEnd"/>
      <w:r w:rsidRPr="003F238D">
        <w:rPr>
          <w:lang w:val="es-US"/>
        </w:rPr>
        <w:t xml:space="preserve"> 379-10, Héctor Eladio Maury Arguello </w:t>
      </w:r>
      <w:r w:rsidR="003366DE" w:rsidRPr="003F238D">
        <w:rPr>
          <w:lang w:val="es-US"/>
        </w:rPr>
        <w:t xml:space="preserve">et al. </w:t>
      </w:r>
      <w:r w:rsidRPr="003F238D">
        <w:rPr>
          <w:lang w:val="es-US"/>
        </w:rPr>
        <w:t>(Colombia)</w:t>
      </w:r>
    </w:p>
    <w:p w14:paraId="42E18304" w14:textId="28323FB7" w:rsidR="002B0ECE" w:rsidRPr="00524435" w:rsidRDefault="002B0ECE" w:rsidP="0009324C">
      <w:pPr>
        <w:pStyle w:val="ListParagraph"/>
        <w:numPr>
          <w:ilvl w:val="0"/>
          <w:numId w:val="13"/>
        </w:numPr>
        <w:spacing w:after="0"/>
        <w:ind w:left="1260" w:hanging="540"/>
        <w:rPr>
          <w:rFonts w:eastAsiaTheme="minorHAnsi" w:cstheme="minorBidi"/>
        </w:rPr>
      </w:pPr>
      <w:proofErr w:type="spellStart"/>
      <w:r w:rsidRPr="003F238D">
        <w:rPr>
          <w:lang w:val="es-US"/>
        </w:rPr>
        <w:t>Report</w:t>
      </w:r>
      <w:proofErr w:type="spellEnd"/>
      <w:r w:rsidRPr="003F238D">
        <w:rPr>
          <w:lang w:val="es-US"/>
        </w:rPr>
        <w:t xml:space="preserve"> No. 346/21, </w:t>
      </w:r>
      <w:proofErr w:type="spellStart"/>
      <w:r w:rsidRPr="003F238D">
        <w:rPr>
          <w:lang w:val="es-US"/>
        </w:rPr>
        <w:t>Petition</w:t>
      </w:r>
      <w:proofErr w:type="spellEnd"/>
      <w:r w:rsidRPr="003F238D">
        <w:rPr>
          <w:lang w:val="es-US"/>
        </w:rPr>
        <w:t xml:space="preserve"> 1013-12, Alma Mireya Ávila Amaya </w:t>
      </w:r>
      <w:r w:rsidR="003366DE" w:rsidRPr="003F238D">
        <w:rPr>
          <w:lang w:val="es-US"/>
        </w:rPr>
        <w:t xml:space="preserve">et al. </w:t>
      </w:r>
      <w:r w:rsidRPr="00524435">
        <w:t>(Colombia)</w:t>
      </w:r>
    </w:p>
    <w:p w14:paraId="606C1561" w14:textId="202D8E7A"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365/21, </w:t>
      </w:r>
      <w:proofErr w:type="spellStart"/>
      <w:r w:rsidRPr="003F238D">
        <w:rPr>
          <w:lang w:val="es-US"/>
        </w:rPr>
        <w:t>Petition</w:t>
      </w:r>
      <w:proofErr w:type="spellEnd"/>
      <w:r w:rsidRPr="003F238D">
        <w:rPr>
          <w:lang w:val="es-US"/>
        </w:rPr>
        <w:t xml:space="preserve"> 125-12, Familiares de José Ancizar Ferreira Cedeño (Colombia)</w:t>
      </w:r>
    </w:p>
    <w:p w14:paraId="2D7D1DC7" w14:textId="208CB317" w:rsidR="002B0ECE" w:rsidRPr="00524435" w:rsidRDefault="002B0ECE" w:rsidP="0009324C">
      <w:pPr>
        <w:pStyle w:val="ListParagraph"/>
        <w:numPr>
          <w:ilvl w:val="0"/>
          <w:numId w:val="13"/>
        </w:numPr>
        <w:spacing w:after="0"/>
        <w:ind w:left="1260" w:hanging="540"/>
        <w:rPr>
          <w:rFonts w:eastAsiaTheme="minorHAnsi" w:cstheme="minorBidi"/>
        </w:rPr>
      </w:pPr>
      <w:r w:rsidRPr="00524435">
        <w:t xml:space="preserve">Report No. 428/21, Petition 419-12, Wilder González </w:t>
      </w:r>
      <w:proofErr w:type="gramStart"/>
      <w:r w:rsidRPr="00524435">
        <w:t>Ocampo</w:t>
      </w:r>
      <w:proofErr w:type="gramEnd"/>
      <w:r w:rsidRPr="00524435">
        <w:t xml:space="preserve"> </w:t>
      </w:r>
      <w:r w:rsidR="0057284E" w:rsidRPr="00524435">
        <w:t xml:space="preserve">and family </w:t>
      </w:r>
      <w:r w:rsidRPr="00524435">
        <w:t>(Colombia)</w:t>
      </w:r>
    </w:p>
    <w:p w14:paraId="33EC3894" w14:textId="63FB528E"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429/21, </w:t>
      </w:r>
      <w:proofErr w:type="spellStart"/>
      <w:r w:rsidRPr="003F238D">
        <w:rPr>
          <w:lang w:val="es-US"/>
        </w:rPr>
        <w:t>Petition</w:t>
      </w:r>
      <w:proofErr w:type="spellEnd"/>
      <w:r w:rsidRPr="003F238D">
        <w:rPr>
          <w:lang w:val="es-US"/>
        </w:rPr>
        <w:t xml:space="preserve"> 1419-12, Rubén Darío Quintero Villada (Colombia)</w:t>
      </w:r>
    </w:p>
    <w:p w14:paraId="08436514" w14:textId="447121CD" w:rsidR="002B0ECE" w:rsidRPr="00524435" w:rsidRDefault="002B0ECE" w:rsidP="0009324C">
      <w:pPr>
        <w:pStyle w:val="ListParagraph"/>
        <w:numPr>
          <w:ilvl w:val="0"/>
          <w:numId w:val="13"/>
        </w:numPr>
        <w:spacing w:after="0"/>
        <w:ind w:left="1260" w:hanging="540"/>
        <w:rPr>
          <w:rFonts w:eastAsiaTheme="minorHAnsi" w:cstheme="minorBidi"/>
        </w:rPr>
      </w:pPr>
      <w:r w:rsidRPr="00524435">
        <w:t xml:space="preserve">Report No. 221/21, Petition 254-13, Joyce Zurcher </w:t>
      </w:r>
      <w:proofErr w:type="spellStart"/>
      <w:r w:rsidRPr="00524435">
        <w:t>Blen</w:t>
      </w:r>
      <w:proofErr w:type="spellEnd"/>
      <w:r w:rsidRPr="00524435">
        <w:t xml:space="preserve"> (Costa Rica)</w:t>
      </w:r>
    </w:p>
    <w:p w14:paraId="1C89658B" w14:textId="1C5C37C3" w:rsidR="002B0ECE" w:rsidRPr="007A5442" w:rsidRDefault="002B0ECE" w:rsidP="0009324C">
      <w:pPr>
        <w:pStyle w:val="ListParagraph"/>
        <w:numPr>
          <w:ilvl w:val="0"/>
          <w:numId w:val="13"/>
        </w:numPr>
        <w:spacing w:after="0"/>
        <w:ind w:left="1260" w:hanging="540"/>
        <w:rPr>
          <w:rFonts w:eastAsiaTheme="minorHAnsi" w:cstheme="minorBidi"/>
          <w:lang w:val="pt-PT"/>
        </w:rPr>
      </w:pPr>
      <w:r w:rsidRPr="007A5442">
        <w:rPr>
          <w:lang w:val="pt-PT"/>
        </w:rPr>
        <w:t xml:space="preserve">Report No. 17/21, Petition 1160-11, Juan Alfredo Lewis Moreira </w:t>
      </w:r>
      <w:r w:rsidR="00E1597F" w:rsidRPr="007A5442">
        <w:rPr>
          <w:lang w:val="pt-PT"/>
        </w:rPr>
        <w:t>and</w:t>
      </w:r>
      <w:r w:rsidRPr="007A5442">
        <w:rPr>
          <w:lang w:val="pt-PT"/>
        </w:rPr>
        <w:t xml:space="preserve"> Eduardo Augusto Moreira (Ecuador)</w:t>
      </w:r>
    </w:p>
    <w:p w14:paraId="5E093E97" w14:textId="4267A888"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51/21, </w:t>
      </w:r>
      <w:proofErr w:type="spellStart"/>
      <w:r w:rsidRPr="003F238D">
        <w:rPr>
          <w:lang w:val="es-US"/>
        </w:rPr>
        <w:t>Petition</w:t>
      </w:r>
      <w:proofErr w:type="spellEnd"/>
      <w:r w:rsidRPr="003F238D">
        <w:rPr>
          <w:lang w:val="es-US"/>
        </w:rPr>
        <w:t xml:space="preserve"> 1789-12, Sara Mercedes Yépez Guillen (Ecuador)</w:t>
      </w:r>
    </w:p>
    <w:p w14:paraId="23B3106E" w14:textId="67109CA9"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70/21, </w:t>
      </w:r>
      <w:proofErr w:type="spellStart"/>
      <w:r w:rsidRPr="003F238D">
        <w:rPr>
          <w:lang w:val="es-US"/>
        </w:rPr>
        <w:t>Petition</w:t>
      </w:r>
      <w:proofErr w:type="spellEnd"/>
      <w:r w:rsidRPr="003F238D">
        <w:rPr>
          <w:lang w:val="es-US"/>
        </w:rPr>
        <w:t xml:space="preserve"> 1120-10, Ruben Augusto Andino Jiménez (Ecuador)</w:t>
      </w:r>
    </w:p>
    <w:p w14:paraId="278A232E" w14:textId="391A3EF7"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318/21, </w:t>
      </w:r>
      <w:proofErr w:type="spellStart"/>
      <w:r w:rsidRPr="003F238D">
        <w:rPr>
          <w:lang w:val="es-US"/>
        </w:rPr>
        <w:t>Petition</w:t>
      </w:r>
      <w:proofErr w:type="spellEnd"/>
      <w:r w:rsidRPr="003F238D">
        <w:rPr>
          <w:lang w:val="es-US"/>
        </w:rPr>
        <w:t xml:space="preserve"> 58-12, </w:t>
      </w:r>
      <w:proofErr w:type="spellStart"/>
      <w:r w:rsidRPr="003F238D">
        <w:rPr>
          <w:lang w:val="es-US"/>
        </w:rPr>
        <w:t>Critobal</w:t>
      </w:r>
      <w:proofErr w:type="spellEnd"/>
      <w:r w:rsidRPr="003F238D">
        <w:rPr>
          <w:lang w:val="es-US"/>
        </w:rPr>
        <w:t xml:space="preserve"> Tamayo (Ecuador)</w:t>
      </w:r>
    </w:p>
    <w:p w14:paraId="79745FAB" w14:textId="597D3493"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377/21, </w:t>
      </w:r>
      <w:proofErr w:type="spellStart"/>
      <w:r w:rsidRPr="003F238D">
        <w:rPr>
          <w:lang w:val="es-US"/>
        </w:rPr>
        <w:t>Petition</w:t>
      </w:r>
      <w:proofErr w:type="spellEnd"/>
      <w:r w:rsidRPr="003F238D">
        <w:rPr>
          <w:lang w:val="es-US"/>
        </w:rPr>
        <w:t xml:space="preserve"> 1364-12, Radio Morena FM y otras (Ecuador)</w:t>
      </w:r>
    </w:p>
    <w:p w14:paraId="008719A9" w14:textId="22EAEC6C"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433/21, </w:t>
      </w:r>
      <w:proofErr w:type="spellStart"/>
      <w:r w:rsidRPr="003F238D">
        <w:rPr>
          <w:lang w:val="es-US"/>
        </w:rPr>
        <w:t>Petition</w:t>
      </w:r>
      <w:proofErr w:type="spellEnd"/>
      <w:r w:rsidRPr="003F238D">
        <w:rPr>
          <w:lang w:val="es-US"/>
        </w:rPr>
        <w:t xml:space="preserve"> 2010-13, Juan Benigno Moncayo Aguiar e Inés María Andrade Segarra (Ecuador)</w:t>
      </w:r>
    </w:p>
    <w:p w14:paraId="59F029A8" w14:textId="2EDB6707"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242/21, </w:t>
      </w:r>
      <w:proofErr w:type="spellStart"/>
      <w:r w:rsidRPr="003F238D">
        <w:rPr>
          <w:lang w:val="es-US"/>
        </w:rPr>
        <w:t>Petition</w:t>
      </w:r>
      <w:proofErr w:type="spellEnd"/>
      <w:r w:rsidRPr="003F238D">
        <w:rPr>
          <w:lang w:val="es-US"/>
        </w:rPr>
        <w:t xml:space="preserve"> 816-11, Miguel Gerardo Villeda </w:t>
      </w:r>
      <w:proofErr w:type="spellStart"/>
      <w:r w:rsidRPr="003F238D">
        <w:rPr>
          <w:lang w:val="es-US"/>
        </w:rPr>
        <w:t>Kattán</w:t>
      </w:r>
      <w:proofErr w:type="spellEnd"/>
      <w:r w:rsidRPr="003F238D">
        <w:rPr>
          <w:lang w:val="es-US"/>
        </w:rPr>
        <w:t xml:space="preserve"> (El Salvador)</w:t>
      </w:r>
    </w:p>
    <w:p w14:paraId="6D7AF3E3" w14:textId="1E13A8D8"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250/21, </w:t>
      </w:r>
      <w:proofErr w:type="spellStart"/>
      <w:r w:rsidRPr="003F238D">
        <w:rPr>
          <w:lang w:val="es-US"/>
        </w:rPr>
        <w:t>Petition</w:t>
      </w:r>
      <w:proofErr w:type="spellEnd"/>
      <w:r w:rsidRPr="003F238D">
        <w:rPr>
          <w:lang w:val="es-US"/>
        </w:rPr>
        <w:t xml:space="preserve"> 1873-14, María Eva Sagastume (El Salvador)</w:t>
      </w:r>
    </w:p>
    <w:p w14:paraId="20EB3950" w14:textId="7199F9B9" w:rsidR="002B0ECE" w:rsidRPr="00524435" w:rsidRDefault="002B0ECE" w:rsidP="0009324C">
      <w:pPr>
        <w:pStyle w:val="ListParagraph"/>
        <w:numPr>
          <w:ilvl w:val="0"/>
          <w:numId w:val="13"/>
        </w:numPr>
        <w:spacing w:after="0"/>
        <w:ind w:left="1260" w:hanging="540"/>
        <w:rPr>
          <w:rFonts w:eastAsiaTheme="minorHAnsi" w:cstheme="minorBidi"/>
        </w:rPr>
      </w:pPr>
      <w:r w:rsidRPr="00524435">
        <w:t>Report No. 4/21, Petition 797-12, Savoy Robinson (UNITED STATES)</w:t>
      </w:r>
    </w:p>
    <w:p w14:paraId="7B0270A0" w14:textId="51EFFE8B"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18/21, </w:t>
      </w:r>
      <w:proofErr w:type="spellStart"/>
      <w:r w:rsidRPr="003F238D">
        <w:rPr>
          <w:lang w:val="es-US"/>
        </w:rPr>
        <w:t>Petition</w:t>
      </w:r>
      <w:proofErr w:type="spellEnd"/>
      <w:r w:rsidRPr="003F238D">
        <w:rPr>
          <w:lang w:val="es-US"/>
        </w:rPr>
        <w:t xml:space="preserve"> 1302-08, Alvaro Erik Montes Echeverría (Guatemala)</w:t>
      </w:r>
    </w:p>
    <w:p w14:paraId="27A79DAB" w14:textId="7C3B179E" w:rsidR="002B0ECE" w:rsidRPr="00524435" w:rsidRDefault="002B0ECE" w:rsidP="0009324C">
      <w:pPr>
        <w:pStyle w:val="ListParagraph"/>
        <w:numPr>
          <w:ilvl w:val="0"/>
          <w:numId w:val="13"/>
        </w:numPr>
        <w:spacing w:after="0"/>
        <w:ind w:left="1260" w:hanging="540"/>
        <w:rPr>
          <w:rFonts w:eastAsiaTheme="minorHAnsi" w:cstheme="minorBidi"/>
        </w:rPr>
      </w:pPr>
      <w:r w:rsidRPr="00524435">
        <w:t>Report No. 380/21, Petition 1604-14, Jorge Abigail Torres Jiménez (Guatemala)</w:t>
      </w:r>
    </w:p>
    <w:p w14:paraId="64586031" w14:textId="3C065362"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223/21, </w:t>
      </w:r>
      <w:proofErr w:type="spellStart"/>
      <w:r w:rsidRPr="003F238D">
        <w:rPr>
          <w:lang w:val="es-US"/>
        </w:rPr>
        <w:t>Petition</w:t>
      </w:r>
      <w:proofErr w:type="spellEnd"/>
      <w:r w:rsidRPr="003F238D">
        <w:rPr>
          <w:lang w:val="es-US"/>
        </w:rPr>
        <w:t xml:space="preserve"> 1938-16, Juan Ramón Flores Cantor (Honduras)</w:t>
      </w:r>
    </w:p>
    <w:p w14:paraId="2D6F250C" w14:textId="0688CB48"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82/21, </w:t>
      </w:r>
      <w:proofErr w:type="spellStart"/>
      <w:r w:rsidRPr="003F238D">
        <w:rPr>
          <w:lang w:val="es-US"/>
        </w:rPr>
        <w:t>Petition</w:t>
      </w:r>
      <w:proofErr w:type="spellEnd"/>
      <w:r w:rsidRPr="003F238D">
        <w:rPr>
          <w:lang w:val="es-US"/>
        </w:rPr>
        <w:t xml:space="preserve"> 1014-12, Regina Campos (</w:t>
      </w:r>
      <w:proofErr w:type="spellStart"/>
      <w:r w:rsidRPr="003F238D">
        <w:rPr>
          <w:lang w:val="es-US"/>
        </w:rPr>
        <w:t>Mexico</w:t>
      </w:r>
      <w:proofErr w:type="spellEnd"/>
      <w:r w:rsidRPr="003F238D">
        <w:rPr>
          <w:lang w:val="es-US"/>
        </w:rPr>
        <w:t>)</w:t>
      </w:r>
    </w:p>
    <w:p w14:paraId="1BED10C2" w14:textId="024B727F"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167/21, </w:t>
      </w:r>
      <w:proofErr w:type="spellStart"/>
      <w:r w:rsidRPr="003F238D">
        <w:rPr>
          <w:lang w:val="es-US"/>
        </w:rPr>
        <w:t>Petition</w:t>
      </w:r>
      <w:proofErr w:type="spellEnd"/>
      <w:r w:rsidRPr="003F238D">
        <w:rPr>
          <w:lang w:val="es-US"/>
        </w:rPr>
        <w:t xml:space="preserve"> 1166-10, Rafael González Castillo (</w:t>
      </w:r>
      <w:proofErr w:type="spellStart"/>
      <w:r w:rsidRPr="003F238D">
        <w:rPr>
          <w:lang w:val="es-US"/>
        </w:rPr>
        <w:t>Mexico</w:t>
      </w:r>
      <w:proofErr w:type="spellEnd"/>
      <w:r w:rsidRPr="003F238D">
        <w:rPr>
          <w:lang w:val="es-US"/>
        </w:rPr>
        <w:t>)</w:t>
      </w:r>
    </w:p>
    <w:p w14:paraId="70A89C52" w14:textId="377824DE" w:rsidR="002B0ECE" w:rsidRPr="00524435" w:rsidRDefault="002B0ECE" w:rsidP="0009324C">
      <w:pPr>
        <w:pStyle w:val="ListParagraph"/>
        <w:numPr>
          <w:ilvl w:val="0"/>
          <w:numId w:val="13"/>
        </w:numPr>
        <w:spacing w:after="0"/>
        <w:ind w:left="1260" w:hanging="540"/>
        <w:rPr>
          <w:rFonts w:eastAsiaTheme="minorHAnsi" w:cstheme="minorBidi"/>
        </w:rPr>
      </w:pPr>
      <w:r w:rsidRPr="00524435">
        <w:t>Report No. 181/21, Petition 472-07, Jorge Francisco Islas Negrete (Mexico)</w:t>
      </w:r>
    </w:p>
    <w:p w14:paraId="0F81D853" w14:textId="70144D61"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185/21, </w:t>
      </w:r>
      <w:proofErr w:type="spellStart"/>
      <w:r w:rsidRPr="003F238D">
        <w:rPr>
          <w:lang w:val="es-US"/>
        </w:rPr>
        <w:t>Petition</w:t>
      </w:r>
      <w:proofErr w:type="spellEnd"/>
      <w:r w:rsidRPr="003F238D">
        <w:rPr>
          <w:lang w:val="es-US"/>
        </w:rPr>
        <w:t xml:space="preserve"> 294-11, Fernando </w:t>
      </w:r>
      <w:proofErr w:type="spellStart"/>
      <w:r w:rsidRPr="003F238D">
        <w:rPr>
          <w:lang w:val="es-US"/>
        </w:rPr>
        <w:t>Beulo</w:t>
      </w:r>
      <w:proofErr w:type="spellEnd"/>
      <w:r w:rsidRPr="003F238D">
        <w:rPr>
          <w:lang w:val="es-US"/>
        </w:rPr>
        <w:t xml:space="preserve"> López Arias (</w:t>
      </w:r>
      <w:proofErr w:type="spellStart"/>
      <w:r w:rsidRPr="003F238D">
        <w:rPr>
          <w:lang w:val="es-US"/>
        </w:rPr>
        <w:t>Mexico</w:t>
      </w:r>
      <w:proofErr w:type="spellEnd"/>
      <w:r w:rsidRPr="003F238D">
        <w:rPr>
          <w:lang w:val="es-US"/>
        </w:rPr>
        <w:t>)</w:t>
      </w:r>
    </w:p>
    <w:p w14:paraId="0354963D" w14:textId="79D95F3F"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253/21, </w:t>
      </w:r>
      <w:proofErr w:type="spellStart"/>
      <w:r w:rsidRPr="003F238D">
        <w:rPr>
          <w:lang w:val="es-US"/>
        </w:rPr>
        <w:t>Petition</w:t>
      </w:r>
      <w:proofErr w:type="spellEnd"/>
      <w:r w:rsidRPr="003F238D">
        <w:rPr>
          <w:lang w:val="es-US"/>
        </w:rPr>
        <w:t xml:space="preserve"> 237-12, Alfredo Rangel Buendía (</w:t>
      </w:r>
      <w:proofErr w:type="spellStart"/>
      <w:r w:rsidRPr="003F238D">
        <w:rPr>
          <w:lang w:val="es-US"/>
        </w:rPr>
        <w:t>Mexico</w:t>
      </w:r>
      <w:proofErr w:type="spellEnd"/>
      <w:r w:rsidRPr="003F238D">
        <w:rPr>
          <w:lang w:val="es-US"/>
        </w:rPr>
        <w:t>)</w:t>
      </w:r>
    </w:p>
    <w:p w14:paraId="5F144A78" w14:textId="4D5918DC"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383/21, </w:t>
      </w:r>
      <w:proofErr w:type="spellStart"/>
      <w:r w:rsidRPr="003F238D">
        <w:rPr>
          <w:lang w:val="es-US"/>
        </w:rPr>
        <w:t>Petition</w:t>
      </w:r>
      <w:proofErr w:type="spellEnd"/>
      <w:r w:rsidRPr="003F238D">
        <w:rPr>
          <w:lang w:val="es-US"/>
        </w:rPr>
        <w:t xml:space="preserve"> 701-09, Angélica Trujillo Pacheco (</w:t>
      </w:r>
      <w:proofErr w:type="spellStart"/>
      <w:r w:rsidRPr="003F238D">
        <w:rPr>
          <w:lang w:val="es-US"/>
        </w:rPr>
        <w:t>Mexico</w:t>
      </w:r>
      <w:proofErr w:type="spellEnd"/>
      <w:r w:rsidRPr="003F238D">
        <w:rPr>
          <w:lang w:val="es-US"/>
        </w:rPr>
        <w:t>)</w:t>
      </w:r>
    </w:p>
    <w:p w14:paraId="2879D329" w14:textId="32B461AD" w:rsidR="002B0ECE" w:rsidRPr="00524435" w:rsidRDefault="002B0ECE" w:rsidP="0009324C">
      <w:pPr>
        <w:pStyle w:val="ListParagraph"/>
        <w:numPr>
          <w:ilvl w:val="0"/>
          <w:numId w:val="13"/>
        </w:numPr>
        <w:spacing w:after="0"/>
        <w:ind w:left="1260" w:hanging="540"/>
        <w:rPr>
          <w:rFonts w:eastAsiaTheme="minorHAnsi" w:cstheme="minorBidi"/>
        </w:rPr>
      </w:pPr>
      <w:r w:rsidRPr="00524435">
        <w:t xml:space="preserve">Report No. 438/21, Petition 1357-12, Gilberto </w:t>
      </w:r>
      <w:proofErr w:type="spellStart"/>
      <w:r w:rsidRPr="00524435">
        <w:t>Montgomeri</w:t>
      </w:r>
      <w:proofErr w:type="spellEnd"/>
      <w:r w:rsidRPr="00524435">
        <w:t xml:space="preserve"> </w:t>
      </w:r>
      <w:proofErr w:type="spellStart"/>
      <w:r w:rsidRPr="00524435">
        <w:t>Lerman</w:t>
      </w:r>
      <w:proofErr w:type="spellEnd"/>
      <w:r w:rsidRPr="00524435">
        <w:t xml:space="preserve"> (Mexico)</w:t>
      </w:r>
    </w:p>
    <w:p w14:paraId="64A69626" w14:textId="10F8A9FB"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439/21, </w:t>
      </w:r>
      <w:proofErr w:type="spellStart"/>
      <w:r w:rsidRPr="003F238D">
        <w:rPr>
          <w:lang w:val="es-US"/>
        </w:rPr>
        <w:t>Petition</w:t>
      </w:r>
      <w:proofErr w:type="spellEnd"/>
      <w:r w:rsidRPr="003F238D">
        <w:rPr>
          <w:lang w:val="es-US"/>
        </w:rPr>
        <w:t xml:space="preserve"> 1361-12, José Luis Esquer Ayala (</w:t>
      </w:r>
      <w:proofErr w:type="spellStart"/>
      <w:r w:rsidRPr="003F238D">
        <w:rPr>
          <w:lang w:val="es-US"/>
        </w:rPr>
        <w:t>Mexico</w:t>
      </w:r>
      <w:proofErr w:type="spellEnd"/>
      <w:r w:rsidRPr="003F238D">
        <w:rPr>
          <w:lang w:val="es-US"/>
        </w:rPr>
        <w:t>)</w:t>
      </w:r>
    </w:p>
    <w:p w14:paraId="65DB09DE" w14:textId="28AEC313"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161/21, </w:t>
      </w:r>
      <w:proofErr w:type="spellStart"/>
      <w:r w:rsidRPr="003F238D">
        <w:rPr>
          <w:lang w:val="es-US"/>
        </w:rPr>
        <w:t>Petition</w:t>
      </w:r>
      <w:proofErr w:type="spellEnd"/>
      <w:r w:rsidRPr="003F238D">
        <w:rPr>
          <w:lang w:val="es-US"/>
        </w:rPr>
        <w:t xml:space="preserve"> 1542-16, Roger Doña Angulo (Nicaragua)</w:t>
      </w:r>
    </w:p>
    <w:p w14:paraId="1F16703A" w14:textId="366BE73C"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260/21, </w:t>
      </w:r>
      <w:proofErr w:type="spellStart"/>
      <w:r w:rsidRPr="003F238D">
        <w:rPr>
          <w:lang w:val="es-US"/>
        </w:rPr>
        <w:t>Petition</w:t>
      </w:r>
      <w:proofErr w:type="spellEnd"/>
      <w:r w:rsidRPr="003F238D">
        <w:rPr>
          <w:lang w:val="es-US"/>
        </w:rPr>
        <w:t xml:space="preserve"> 1731-14, Narciso Díaz Larios (Nicaragua)</w:t>
      </w:r>
    </w:p>
    <w:p w14:paraId="3ADC2E19" w14:textId="6A9B5768" w:rsidR="002B0ECE" w:rsidRPr="00524435" w:rsidRDefault="002B0ECE" w:rsidP="0009324C">
      <w:pPr>
        <w:pStyle w:val="ListParagraph"/>
        <w:numPr>
          <w:ilvl w:val="0"/>
          <w:numId w:val="13"/>
        </w:numPr>
        <w:spacing w:after="0"/>
        <w:ind w:left="1260" w:hanging="540"/>
        <w:rPr>
          <w:rFonts w:eastAsiaTheme="minorHAnsi" w:cstheme="minorBidi"/>
        </w:rPr>
      </w:pPr>
      <w:r w:rsidRPr="00524435">
        <w:t xml:space="preserve">Report No. 256/21, Petition 1463-12, Víctor Rubén Gómez </w:t>
      </w:r>
      <w:proofErr w:type="spellStart"/>
      <w:r w:rsidRPr="00524435">
        <w:t>Viedma</w:t>
      </w:r>
      <w:proofErr w:type="spellEnd"/>
      <w:r w:rsidRPr="00524435">
        <w:t xml:space="preserve"> (Paraguay)</w:t>
      </w:r>
    </w:p>
    <w:p w14:paraId="2BE1446F" w14:textId="7FDD04EC"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5/21, </w:t>
      </w:r>
      <w:proofErr w:type="spellStart"/>
      <w:r w:rsidRPr="003F238D">
        <w:rPr>
          <w:lang w:val="es-US"/>
        </w:rPr>
        <w:t>Petition</w:t>
      </w:r>
      <w:proofErr w:type="spellEnd"/>
      <w:r w:rsidRPr="003F238D">
        <w:rPr>
          <w:lang w:val="es-US"/>
        </w:rPr>
        <w:t xml:space="preserve"> 401-09, Víctor Ciro Torres Salcedo (</w:t>
      </w:r>
      <w:proofErr w:type="spellStart"/>
      <w:r w:rsidRPr="003F238D">
        <w:rPr>
          <w:lang w:val="es-US"/>
        </w:rPr>
        <w:t>Peru</w:t>
      </w:r>
      <w:proofErr w:type="spellEnd"/>
      <w:r w:rsidRPr="003F238D">
        <w:rPr>
          <w:lang w:val="es-US"/>
        </w:rPr>
        <w:t>)</w:t>
      </w:r>
    </w:p>
    <w:p w14:paraId="7C0B1782" w14:textId="341E4C2E"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6/21, </w:t>
      </w:r>
      <w:proofErr w:type="spellStart"/>
      <w:r w:rsidRPr="003F238D">
        <w:rPr>
          <w:lang w:val="es-US"/>
        </w:rPr>
        <w:t>Petition</w:t>
      </w:r>
      <w:proofErr w:type="spellEnd"/>
      <w:r w:rsidRPr="003F238D">
        <w:rPr>
          <w:lang w:val="es-US"/>
        </w:rPr>
        <w:t xml:space="preserve"> 1345-11, Nelly Socorro Florencia Paredes Huerta (</w:t>
      </w:r>
      <w:proofErr w:type="spellStart"/>
      <w:r w:rsidRPr="003F238D">
        <w:rPr>
          <w:lang w:val="es-US"/>
        </w:rPr>
        <w:t>Peru</w:t>
      </w:r>
      <w:proofErr w:type="spellEnd"/>
      <w:r w:rsidRPr="003F238D">
        <w:rPr>
          <w:lang w:val="es-US"/>
        </w:rPr>
        <w:t>)</w:t>
      </w:r>
    </w:p>
    <w:p w14:paraId="5091D77A" w14:textId="5B5F5C4D"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lastRenderedPageBreak/>
        <w:t>Report</w:t>
      </w:r>
      <w:proofErr w:type="spellEnd"/>
      <w:r w:rsidRPr="003F238D">
        <w:rPr>
          <w:lang w:val="es-US"/>
        </w:rPr>
        <w:t xml:space="preserve"> No. 95/21, </w:t>
      </w:r>
      <w:proofErr w:type="spellStart"/>
      <w:r w:rsidRPr="003F238D">
        <w:rPr>
          <w:lang w:val="es-US"/>
        </w:rPr>
        <w:t>Petition</w:t>
      </w:r>
      <w:proofErr w:type="spellEnd"/>
      <w:r w:rsidRPr="003F238D">
        <w:rPr>
          <w:lang w:val="es-US"/>
        </w:rPr>
        <w:t xml:space="preserve"> 549-14, Eddie Manuel Ramos Díaz, Miguel Ángel Manzanilla </w:t>
      </w:r>
      <w:proofErr w:type="spellStart"/>
      <w:r w:rsidRPr="003F238D">
        <w:rPr>
          <w:lang w:val="es-US"/>
        </w:rPr>
        <w:t>Quijaite</w:t>
      </w:r>
      <w:proofErr w:type="spellEnd"/>
      <w:r w:rsidRPr="003F238D">
        <w:rPr>
          <w:lang w:val="es-US"/>
        </w:rPr>
        <w:t xml:space="preserve"> y Héctor Máximo Isla Rivera (</w:t>
      </w:r>
      <w:proofErr w:type="spellStart"/>
      <w:r w:rsidRPr="003F238D">
        <w:rPr>
          <w:lang w:val="es-US"/>
        </w:rPr>
        <w:t>Peru</w:t>
      </w:r>
      <w:proofErr w:type="spellEnd"/>
      <w:r w:rsidRPr="003F238D">
        <w:rPr>
          <w:lang w:val="es-US"/>
        </w:rPr>
        <w:t>)</w:t>
      </w:r>
    </w:p>
    <w:p w14:paraId="060449E7" w14:textId="5D0073A7" w:rsidR="002B0ECE" w:rsidRPr="00524435" w:rsidRDefault="002B0ECE" w:rsidP="0009324C">
      <w:pPr>
        <w:pStyle w:val="ListParagraph"/>
        <w:numPr>
          <w:ilvl w:val="0"/>
          <w:numId w:val="13"/>
        </w:numPr>
        <w:spacing w:after="0"/>
        <w:ind w:left="1260" w:hanging="540"/>
        <w:rPr>
          <w:rFonts w:eastAsiaTheme="minorHAnsi" w:cstheme="minorBidi"/>
        </w:rPr>
      </w:pPr>
      <w:r w:rsidRPr="00524435">
        <w:t xml:space="preserve">Report No. 111/21, Petition 13-12, </w:t>
      </w:r>
      <w:proofErr w:type="spellStart"/>
      <w:r w:rsidRPr="00524435">
        <w:t>Bernabé</w:t>
      </w:r>
      <w:proofErr w:type="spellEnd"/>
      <w:r w:rsidRPr="00524435">
        <w:t xml:space="preserve"> </w:t>
      </w:r>
      <w:proofErr w:type="spellStart"/>
      <w:r w:rsidRPr="00524435">
        <w:t>Sullca</w:t>
      </w:r>
      <w:proofErr w:type="spellEnd"/>
      <w:r w:rsidRPr="00524435">
        <w:t xml:space="preserve"> </w:t>
      </w:r>
      <w:proofErr w:type="spellStart"/>
      <w:r w:rsidRPr="00524435">
        <w:t>Sullca</w:t>
      </w:r>
      <w:proofErr w:type="spellEnd"/>
      <w:r w:rsidRPr="00524435">
        <w:t xml:space="preserve"> (Peru)</w:t>
      </w:r>
    </w:p>
    <w:p w14:paraId="6D93C994" w14:textId="1A491528" w:rsidR="002B0ECE" w:rsidRPr="00524435" w:rsidRDefault="002B0ECE" w:rsidP="0009324C">
      <w:pPr>
        <w:pStyle w:val="ListParagraph"/>
        <w:numPr>
          <w:ilvl w:val="0"/>
          <w:numId w:val="13"/>
        </w:numPr>
        <w:spacing w:after="0"/>
        <w:ind w:left="1260" w:hanging="540"/>
        <w:rPr>
          <w:rFonts w:eastAsiaTheme="minorHAnsi" w:cstheme="minorBidi"/>
        </w:rPr>
      </w:pPr>
      <w:r w:rsidRPr="00524435">
        <w:t xml:space="preserve">Report No. 113/21, Petition 849-09, Denise Belmont </w:t>
      </w:r>
      <w:proofErr w:type="spellStart"/>
      <w:r w:rsidRPr="00524435">
        <w:t>Sangüesa</w:t>
      </w:r>
      <w:proofErr w:type="spellEnd"/>
      <w:r w:rsidRPr="00524435">
        <w:t xml:space="preserve"> </w:t>
      </w:r>
      <w:r w:rsidR="003366DE" w:rsidRPr="00524435">
        <w:t xml:space="preserve">et al. </w:t>
      </w:r>
      <w:r w:rsidRPr="00524435">
        <w:t>(Peru)</w:t>
      </w:r>
    </w:p>
    <w:p w14:paraId="59A9287A" w14:textId="3A46EAD6" w:rsidR="002B0ECE" w:rsidRPr="00524435" w:rsidRDefault="002B0ECE" w:rsidP="0009324C">
      <w:pPr>
        <w:pStyle w:val="ListParagraph"/>
        <w:numPr>
          <w:ilvl w:val="0"/>
          <w:numId w:val="13"/>
        </w:numPr>
        <w:spacing w:after="0"/>
        <w:ind w:left="1260" w:hanging="540"/>
        <w:rPr>
          <w:rFonts w:eastAsiaTheme="minorHAnsi" w:cstheme="minorBidi"/>
        </w:rPr>
      </w:pPr>
      <w:r w:rsidRPr="00524435">
        <w:t xml:space="preserve">Report No. 130/21, Petition 868-12, César </w:t>
      </w:r>
      <w:proofErr w:type="spellStart"/>
      <w:r w:rsidRPr="00524435">
        <w:t>Wenceslao</w:t>
      </w:r>
      <w:proofErr w:type="spellEnd"/>
      <w:r w:rsidRPr="00524435">
        <w:t xml:space="preserve"> </w:t>
      </w:r>
      <w:proofErr w:type="spellStart"/>
      <w:r w:rsidRPr="00524435">
        <w:t>Gamarra</w:t>
      </w:r>
      <w:proofErr w:type="spellEnd"/>
      <w:r w:rsidRPr="00524435">
        <w:t xml:space="preserve"> Ferrer (Peru)</w:t>
      </w:r>
    </w:p>
    <w:p w14:paraId="4982B7F2" w14:textId="55DD94C9"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135/21, </w:t>
      </w:r>
      <w:proofErr w:type="spellStart"/>
      <w:r w:rsidRPr="003F238D">
        <w:rPr>
          <w:lang w:val="es-US"/>
        </w:rPr>
        <w:t>Petition</w:t>
      </w:r>
      <w:proofErr w:type="spellEnd"/>
      <w:r w:rsidRPr="003F238D">
        <w:rPr>
          <w:lang w:val="es-US"/>
        </w:rPr>
        <w:t xml:space="preserve"> 1309-14, Rubén Larios </w:t>
      </w:r>
      <w:proofErr w:type="spellStart"/>
      <w:r w:rsidRPr="003F238D">
        <w:rPr>
          <w:lang w:val="es-US"/>
        </w:rPr>
        <w:t>Cabadas</w:t>
      </w:r>
      <w:proofErr w:type="spellEnd"/>
      <w:r w:rsidRPr="003F238D">
        <w:rPr>
          <w:lang w:val="es-US"/>
        </w:rPr>
        <w:t xml:space="preserve"> y Joseph Iván Gutiérrez León (</w:t>
      </w:r>
      <w:proofErr w:type="spellStart"/>
      <w:r w:rsidRPr="003F238D">
        <w:rPr>
          <w:lang w:val="es-US"/>
        </w:rPr>
        <w:t>Peru</w:t>
      </w:r>
      <w:proofErr w:type="spellEnd"/>
      <w:r w:rsidRPr="003F238D">
        <w:rPr>
          <w:lang w:val="es-US"/>
        </w:rPr>
        <w:t>)</w:t>
      </w:r>
    </w:p>
    <w:p w14:paraId="36D7A0C5" w14:textId="4947050A"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162/21, </w:t>
      </w:r>
      <w:proofErr w:type="spellStart"/>
      <w:r w:rsidRPr="003F238D">
        <w:rPr>
          <w:lang w:val="es-US"/>
        </w:rPr>
        <w:t>Petition</w:t>
      </w:r>
      <w:proofErr w:type="spellEnd"/>
      <w:r w:rsidRPr="003F238D">
        <w:rPr>
          <w:lang w:val="es-US"/>
        </w:rPr>
        <w:t xml:space="preserve"> 2502-12, Esteban Urbano Minaya Guerrero (</w:t>
      </w:r>
      <w:proofErr w:type="spellStart"/>
      <w:r w:rsidRPr="003F238D">
        <w:rPr>
          <w:lang w:val="es-US"/>
        </w:rPr>
        <w:t>Peru</w:t>
      </w:r>
      <w:proofErr w:type="spellEnd"/>
      <w:r w:rsidRPr="003F238D">
        <w:rPr>
          <w:lang w:val="es-US"/>
        </w:rPr>
        <w:t>)</w:t>
      </w:r>
    </w:p>
    <w:p w14:paraId="093F87F3" w14:textId="445DE5DA" w:rsidR="002B0ECE" w:rsidRPr="007A5442" w:rsidRDefault="002B0ECE" w:rsidP="0009324C">
      <w:pPr>
        <w:pStyle w:val="ListParagraph"/>
        <w:numPr>
          <w:ilvl w:val="0"/>
          <w:numId w:val="13"/>
        </w:numPr>
        <w:spacing w:after="0"/>
        <w:ind w:left="1260" w:hanging="540"/>
        <w:rPr>
          <w:rFonts w:eastAsiaTheme="minorHAnsi" w:cstheme="minorBidi"/>
          <w:lang w:val="pt-PT"/>
        </w:rPr>
      </w:pPr>
      <w:r w:rsidRPr="007A5442">
        <w:rPr>
          <w:lang w:val="pt-PT"/>
        </w:rPr>
        <w:t>Report No. 229/21, Petition 177-14, César Luis Gálvez Vera (Peru)</w:t>
      </w:r>
    </w:p>
    <w:p w14:paraId="654F3BB5" w14:textId="348B8249"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203/21, </w:t>
      </w:r>
      <w:proofErr w:type="spellStart"/>
      <w:r w:rsidRPr="003F238D">
        <w:rPr>
          <w:lang w:val="es-US"/>
        </w:rPr>
        <w:t>Petition</w:t>
      </w:r>
      <w:proofErr w:type="spellEnd"/>
      <w:r w:rsidRPr="003F238D">
        <w:rPr>
          <w:lang w:val="es-US"/>
        </w:rPr>
        <w:t xml:space="preserve"> 916-11, Rubén Alfredo González </w:t>
      </w:r>
      <w:proofErr w:type="spellStart"/>
      <w:r w:rsidRPr="003F238D">
        <w:rPr>
          <w:lang w:val="es-US"/>
        </w:rPr>
        <w:t>Bertolino</w:t>
      </w:r>
      <w:proofErr w:type="spellEnd"/>
      <w:r w:rsidRPr="003F238D">
        <w:rPr>
          <w:lang w:val="es-US"/>
        </w:rPr>
        <w:t xml:space="preserve"> (Uruguay)</w:t>
      </w:r>
    </w:p>
    <w:p w14:paraId="2BB28511" w14:textId="37A021B8"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96/21, </w:t>
      </w:r>
      <w:proofErr w:type="spellStart"/>
      <w:r w:rsidRPr="003F238D">
        <w:rPr>
          <w:lang w:val="es-US"/>
        </w:rPr>
        <w:t>Petition</w:t>
      </w:r>
      <w:proofErr w:type="spellEnd"/>
      <w:r w:rsidRPr="003F238D">
        <w:rPr>
          <w:lang w:val="es-US"/>
        </w:rPr>
        <w:t xml:space="preserve"> 546-13, Rafael de Jesús Gómez </w:t>
      </w:r>
      <w:proofErr w:type="spellStart"/>
      <w:r w:rsidRPr="003F238D">
        <w:rPr>
          <w:lang w:val="es-US"/>
        </w:rPr>
        <w:t>Gómez</w:t>
      </w:r>
      <w:proofErr w:type="spellEnd"/>
      <w:r w:rsidRPr="003F238D">
        <w:rPr>
          <w:lang w:val="es-US"/>
        </w:rPr>
        <w:t xml:space="preserve"> (Venezuela)</w:t>
      </w:r>
    </w:p>
    <w:p w14:paraId="7AA7AFBE" w14:textId="79D61432" w:rsidR="002B0ECE" w:rsidRPr="003F238D" w:rsidRDefault="002B0ECE" w:rsidP="0009324C">
      <w:pPr>
        <w:pStyle w:val="ListParagraph"/>
        <w:numPr>
          <w:ilvl w:val="0"/>
          <w:numId w:val="13"/>
        </w:numPr>
        <w:spacing w:after="0"/>
        <w:ind w:left="1260" w:hanging="540"/>
        <w:rPr>
          <w:rFonts w:eastAsiaTheme="minorHAnsi" w:cstheme="minorBidi"/>
          <w:lang w:val="es-US"/>
        </w:rPr>
      </w:pPr>
      <w:proofErr w:type="spellStart"/>
      <w:r w:rsidRPr="003F238D">
        <w:rPr>
          <w:lang w:val="es-US"/>
        </w:rPr>
        <w:t>Report</w:t>
      </w:r>
      <w:proofErr w:type="spellEnd"/>
      <w:r w:rsidRPr="003F238D">
        <w:rPr>
          <w:lang w:val="es-US"/>
        </w:rPr>
        <w:t xml:space="preserve"> No. 232/21, </w:t>
      </w:r>
      <w:proofErr w:type="spellStart"/>
      <w:r w:rsidRPr="003F238D">
        <w:rPr>
          <w:lang w:val="es-US"/>
        </w:rPr>
        <w:t>Petition</w:t>
      </w:r>
      <w:proofErr w:type="spellEnd"/>
      <w:r w:rsidRPr="003F238D">
        <w:rPr>
          <w:lang w:val="es-US"/>
        </w:rPr>
        <w:t xml:space="preserve"> 62-11, Omar </w:t>
      </w:r>
      <w:proofErr w:type="spellStart"/>
      <w:r w:rsidRPr="003F238D">
        <w:rPr>
          <w:lang w:val="es-US"/>
        </w:rPr>
        <w:t>Orlaineta</w:t>
      </w:r>
      <w:proofErr w:type="spellEnd"/>
      <w:r w:rsidRPr="003F238D">
        <w:rPr>
          <w:lang w:val="es-US"/>
        </w:rPr>
        <w:t xml:space="preserve"> y Juan José Romo (Venezuela)</w:t>
      </w:r>
    </w:p>
    <w:p w14:paraId="79E94609" w14:textId="77777777" w:rsidR="001B3575" w:rsidRPr="003F238D" w:rsidRDefault="001B3575" w:rsidP="00622342">
      <w:pPr>
        <w:spacing w:after="0" w:line="240" w:lineRule="auto"/>
        <w:rPr>
          <w:rFonts w:ascii="Cambria" w:hAnsi="Cambria"/>
          <w:lang w:val="es-US"/>
        </w:rPr>
      </w:pPr>
    </w:p>
    <w:p w14:paraId="24F05D9D" w14:textId="77777777" w:rsidR="006D5B45" w:rsidRPr="00524435" w:rsidRDefault="006D5B45" w:rsidP="006D5B45">
      <w:pPr>
        <w:pStyle w:val="Heading1"/>
      </w:pPr>
      <w:r w:rsidRPr="00524435">
        <w:t>Decisions at the merits stage</w:t>
      </w:r>
    </w:p>
    <w:p w14:paraId="3665FA10" w14:textId="77777777" w:rsidR="001D3A5D" w:rsidRPr="00524435" w:rsidRDefault="001D3A5D" w:rsidP="001B3575">
      <w:pPr>
        <w:pStyle w:val="ListParagraph"/>
      </w:pPr>
      <w:r w:rsidRPr="00524435">
        <w:t xml:space="preserve">In accordance with the provisions of Article 50 of the American Convention on Human Rights and Article 20 of its Statute, the Commission adopts reports on the merits of the cases submitted for its consideration, in which it examines the international responsibility of the OAS member states based on the international instruments over which it has jurisdiction. In those reports, the Commission issues a series of recommendations to fully repair the damage caused </w:t>
      </w:r>
      <w:proofErr w:type="gramStart"/>
      <w:r w:rsidRPr="00524435">
        <w:t>as a consequence of</w:t>
      </w:r>
      <w:proofErr w:type="gramEnd"/>
      <w:r w:rsidRPr="00524435">
        <w:t xml:space="preserve"> the State's responsibility.</w:t>
      </w:r>
    </w:p>
    <w:p w14:paraId="01371374" w14:textId="6B47525A" w:rsidR="001D3A5D" w:rsidRPr="00524435" w:rsidRDefault="001D3A5D" w:rsidP="001B3575">
      <w:pPr>
        <w:pStyle w:val="ListParagraph"/>
      </w:pPr>
      <w:r w:rsidRPr="00524435">
        <w:t xml:space="preserve">During 2021, the Commission adopted a total of </w:t>
      </w:r>
      <w:r w:rsidR="00943D31" w:rsidRPr="00524435">
        <w:t>75</w:t>
      </w:r>
      <w:r w:rsidRPr="00524435">
        <w:t xml:space="preserve"> reports on the merits. The Commission has been identifying cases dealing with similar issues </w:t>
      </w:r>
      <w:proofErr w:type="gramStart"/>
      <w:r w:rsidRPr="00524435">
        <w:t>in order to</w:t>
      </w:r>
      <w:proofErr w:type="gramEnd"/>
      <w:r w:rsidRPr="00524435">
        <w:t xml:space="preserve"> achieve greater standardization in the reports, for example, with respect to cases related to serious violations such as forced disappearances, extrajudicial executions, or torture. The IACHR has continued the specialization of the technical team in work portfolios and the adoption of measures to address the procedural backlog. The above has had significant results reflected in an increase in the production of reports on the merits since the 2017-2021 Strategic Plan was adopted. Thus, while in 2016, prior to the adoption of the Strategic Plan,</w:t>
      </w:r>
      <w:r w:rsidR="00995E5D" w:rsidRPr="00524435">
        <w:t xml:space="preserve"> Thus, in 2021, the IACHR adopted 75 reports, which is equivalent to almost 500% of those produced in 2016, when only 16 merits reports were approved.</w:t>
      </w:r>
    </w:p>
    <w:p w14:paraId="38F2023D" w14:textId="77777777" w:rsidR="001D3A5D" w:rsidRPr="00524435" w:rsidRDefault="001D3A5D" w:rsidP="001B3575">
      <w:pPr>
        <w:pStyle w:val="ListParagraph"/>
      </w:pPr>
      <w:r w:rsidRPr="00524435">
        <w:t>Through these decisions on the merits, the IACHR has responded to cases that had been pending for a long time and which, due to their volume or various procedural aspects, were awaiting a decision on the merits. In addition, the Commission has developed its jurisprudence in certain cases on various issues relevant to inter-American public order. Among them, during 2021, the Commission ruled, on the right to reparation for serious human rights violations, access to justice and the effects of the statute of limitations; maternity leave for adoptive mothers in light of the right to equality and non-discrimination; the rights of pregnant women in the context of deprivation of liberty; the right to non-discrimination based on sexual orientation by companies, and the state obligations involved and the duty to prevent and punish violence against women.</w:t>
      </w:r>
    </w:p>
    <w:p w14:paraId="374CA15F" w14:textId="0BB99DE7" w:rsidR="001D3A5D" w:rsidRPr="00524435" w:rsidRDefault="001D3A5D" w:rsidP="001B3575">
      <w:pPr>
        <w:pStyle w:val="ListParagraph"/>
        <w:rPr>
          <w:color w:val="000000"/>
        </w:rPr>
      </w:pPr>
      <w:r w:rsidRPr="00524435">
        <w:t xml:space="preserve">Once all the merits reports approved in 2021 are notified, the Commission will have more than </w:t>
      </w:r>
      <w:r w:rsidR="00943D31" w:rsidRPr="00524435">
        <w:t xml:space="preserve">90 </w:t>
      </w:r>
      <w:r w:rsidRPr="00524435">
        <w:t xml:space="preserve">cases in the transition stage, which are periodically reviewed to decide whether to send them to the Inter-American Court or to publish them. </w:t>
      </w:r>
      <w:proofErr w:type="gramStart"/>
      <w:r w:rsidRPr="00524435">
        <w:t>In particular, in</w:t>
      </w:r>
      <w:proofErr w:type="gramEnd"/>
      <w:r w:rsidRPr="00524435">
        <w:t xml:space="preserve"> 2021, the Commission adopted a total of more than 200 decisions on extensions, publications or referrals of cases to the Inter-American Court. </w:t>
      </w:r>
    </w:p>
    <w:p w14:paraId="11D79C32" w14:textId="1099A58F" w:rsidR="001D3A5D" w:rsidRPr="00524435" w:rsidRDefault="001D3A5D" w:rsidP="001B3575">
      <w:pPr>
        <w:pStyle w:val="ListParagraph"/>
        <w:rPr>
          <w:color w:val="000000"/>
        </w:rPr>
      </w:pPr>
      <w:r w:rsidRPr="00524435">
        <w:t xml:space="preserve">At the same time, </w:t>
      </w:r>
      <w:proofErr w:type="gramStart"/>
      <w:r w:rsidRPr="00524435">
        <w:t>in order to</w:t>
      </w:r>
      <w:proofErr w:type="gramEnd"/>
      <w:r w:rsidRPr="00524435">
        <w:t xml:space="preserve"> promote compliance with the merits reports at this stage, or to verify that in the event of non-compliance, the case should be sent to the Court, the Commission held a total of 19 working meetings. This initiative, which has been promoted since the end of 2019, has contributed to a greater rapprochement between States, victims, and the petitioning party, generating opportunities for dialogue to identify challenges and progress in the implementation of the recommendations, as well as the chances that exist for compliance, or the need to submit matters to the jurisdiction of the Inter-American Court. Additionally, the IACHR has sent written communications at this stage requesting specific information or remitting technical notes aimed at promoting compliance with the recommendations contained in its reports on the merits, thereby ensuring reparations that are comprehensive and, therefore, compatible inter-American </w:t>
      </w:r>
      <w:r w:rsidRPr="00524435">
        <w:lastRenderedPageBreak/>
        <w:t>system standards.</w:t>
      </w:r>
      <w:r w:rsidR="00CB4C8F" w:rsidRPr="00524435">
        <w:t xml:space="preserve"> In 2021, the IACHR decided not to refer 5 cases to the Inter-American Court in view of the advances achieved </w:t>
      </w:r>
      <w:proofErr w:type="gramStart"/>
      <w:r w:rsidR="00CB4C8F" w:rsidRPr="00524435">
        <w:t>towards  the</w:t>
      </w:r>
      <w:proofErr w:type="gramEnd"/>
      <w:r w:rsidR="00CB4C8F" w:rsidRPr="00524435">
        <w:t xml:space="preserve"> fulfillment of recommendations.</w:t>
      </w:r>
    </w:p>
    <w:p w14:paraId="178FE61C" w14:textId="77777777" w:rsidR="001D3A5D" w:rsidRPr="00524435" w:rsidRDefault="001D3A5D" w:rsidP="001B3575">
      <w:pPr>
        <w:pStyle w:val="ListParagraph"/>
        <w:rPr>
          <w:color w:val="000000"/>
        </w:rPr>
      </w:pPr>
      <w:r w:rsidRPr="00524435">
        <w:t>The Commission continued to exercise its mandate before the Inter-American Court through the submission of cases, participation in both the written and oral stages of contentious cases under way, and by submitting its observations on the judgments handed down. Likewise, the Commission continued to participate in the processes of requesting advisory opinions before the Court related to differentiated approaches to persons deprived of their liberty.</w:t>
      </w:r>
    </w:p>
    <w:p w14:paraId="067B7FA4" w14:textId="5A7B5B30" w:rsidR="001D3A5D" w:rsidRPr="00524435" w:rsidRDefault="001D3A5D" w:rsidP="001B3575">
      <w:pPr>
        <w:pStyle w:val="ListParagraph"/>
        <w:rPr>
          <w:rFonts w:eastAsia="Times New Roman" w:cs="Cambria"/>
        </w:rPr>
      </w:pPr>
      <w:r w:rsidRPr="00524435">
        <w:rPr>
          <w:color w:val="000000"/>
        </w:rPr>
        <w:t xml:space="preserve">In 2021, the Commission decided to refer a total of </w:t>
      </w:r>
      <w:r w:rsidR="00943D31" w:rsidRPr="00524435">
        <w:rPr>
          <w:color w:val="000000"/>
        </w:rPr>
        <w:t>40</w:t>
      </w:r>
      <w:r w:rsidRPr="00524435">
        <w:rPr>
          <w:color w:val="000000"/>
        </w:rPr>
        <w:t xml:space="preserve"> cases to the jurisdiction of the Inter-American Court.</w:t>
      </w:r>
      <w:r w:rsidRPr="00524435">
        <w:t xml:space="preserve"> Inter-American public order issues raised in the cases that were referred to the Court in 2021 </w:t>
      </w:r>
      <w:r w:rsidRPr="00524435">
        <w:rPr>
          <w:color w:val="000000"/>
        </w:rPr>
        <w:t>included the guarantees that migration procedures must meet, particularly in cases of expulsion of foreigners and children who are lawfully present in the country; the use of force in connection with protests, particularly protests by rural workers regarding land claims/distribution; the obligation of due diligence in the investigation and prosecution of cases of violence against journalists who, in the exercise of their right to freedom of expression, investigate and/or report facts and news of public interest in dangerous areas; the international obligations of States with respect to the right to health, life, and personal integrity of pregnant women, particularly with respect to obstetric services and care during childbirth; the right to non-discrimination of persons with disabilities in the workplace; the duties imposed by international human rights law on States in the fight against terrorism; the incompatibility of the concept of "</w:t>
      </w:r>
      <w:proofErr w:type="spellStart"/>
      <w:r w:rsidRPr="00524435">
        <w:rPr>
          <w:i/>
          <w:iCs/>
          <w:color w:val="000000"/>
        </w:rPr>
        <w:t>arraigo</w:t>
      </w:r>
      <w:proofErr w:type="spellEnd"/>
      <w:r w:rsidRPr="00524435">
        <w:rPr>
          <w:color w:val="000000"/>
        </w:rPr>
        <w:t xml:space="preserve">" (precautionary detention) with the American Convention, particularly with the right to personal liberty; international obligations regarding the prohibition of discrimination based on sexual orientation in the private business sphere; the right to equal access to political office; the protection of whistleblowers, particularly with respect to their right to freedom of expression, when they, by reason of their employment, the work they perform or their institutional position, warn of and expose irregularities, acts of mismanagement, acts of corruption, or human rights violations; and  </w:t>
      </w:r>
      <w:r w:rsidRPr="00524435">
        <w:t xml:space="preserve">the international obligations of the State with respect to protection of the right to a healthy environment, and the scope of the duties of regulation, supervision, and oversight of public or private activities that may cause harm to the environment and to the health of persons. </w:t>
      </w:r>
    </w:p>
    <w:p w14:paraId="040016B8" w14:textId="264F7746" w:rsidR="001D3A5D" w:rsidRPr="00524435" w:rsidRDefault="001D3A5D" w:rsidP="001B3575">
      <w:pPr>
        <w:pStyle w:val="ListParagraph"/>
      </w:pPr>
      <w:r w:rsidRPr="00524435">
        <w:t xml:space="preserve">The Commission participated in 30 hearings before the Inter-American Court, 17 of which were related to ongoing contentious cases, 12 to compliance monitoring, and 1 to a request for an advisory opinion. The Commission sent more than </w:t>
      </w:r>
      <w:r w:rsidR="00943D31" w:rsidRPr="00524435">
        <w:t>200</w:t>
      </w:r>
      <w:r w:rsidRPr="00524435">
        <w:t xml:space="preserve"> briefs to the Court related to contentious cases under way and regarding the supervision of sentences.</w:t>
      </w:r>
    </w:p>
    <w:p w14:paraId="12EC1E43" w14:textId="0D0FA1C5" w:rsidR="001D3A5D" w:rsidRPr="00524435" w:rsidRDefault="001D3A5D" w:rsidP="001D3A5D">
      <w:pPr>
        <w:numPr>
          <w:ilvl w:val="0"/>
          <w:numId w:val="1"/>
        </w:numPr>
        <w:autoSpaceDE w:val="0"/>
        <w:autoSpaceDN w:val="0"/>
        <w:adjustRightInd w:val="0"/>
        <w:spacing w:after="240" w:line="240" w:lineRule="auto"/>
        <w:ind w:left="0" w:firstLine="720"/>
        <w:jc w:val="both"/>
        <w:rPr>
          <w:rFonts w:ascii="Cambria" w:hAnsi="Cambria" w:cs="Calibri"/>
          <w:sz w:val="20"/>
          <w:szCs w:val="20"/>
        </w:rPr>
      </w:pPr>
      <w:r w:rsidRPr="00524435">
        <w:rPr>
          <w:rFonts w:ascii="Cambria" w:hAnsi="Cambria"/>
          <w:color w:val="000000" w:themeColor="text1"/>
          <w:sz w:val="20"/>
        </w:rPr>
        <w:t xml:space="preserve">The Commission adopted </w:t>
      </w:r>
      <w:r w:rsidR="00943D31" w:rsidRPr="00524435">
        <w:rPr>
          <w:rFonts w:ascii="Cambria" w:hAnsi="Cambria"/>
          <w:color w:val="000000" w:themeColor="text1"/>
          <w:sz w:val="20"/>
        </w:rPr>
        <w:t>75</w:t>
      </w:r>
      <w:r w:rsidRPr="00524435">
        <w:rPr>
          <w:rFonts w:ascii="Cambria" w:hAnsi="Cambria"/>
          <w:color w:val="000000" w:themeColor="text1"/>
          <w:sz w:val="20"/>
        </w:rPr>
        <w:t xml:space="preserve"> reports. The following is a description of some of the pronouncements and advances made in reports </w:t>
      </w:r>
      <w:r w:rsidRPr="00524435">
        <w:rPr>
          <w:rStyle w:val="ListParagraphChar"/>
        </w:rPr>
        <w:t>on the merits adopted during 2021. It should be noted that, pursuant to Article 50 of the American Convention and 43 of its Rules of Procedure, the reports on the merits related to such decisions are not published after their adoption until the Commission</w:t>
      </w:r>
      <w:r w:rsidRPr="00524435">
        <w:rPr>
          <w:rFonts w:ascii="Cambria" w:hAnsi="Cambria"/>
          <w:color w:val="000000" w:themeColor="text1"/>
          <w:sz w:val="20"/>
        </w:rPr>
        <w:t xml:space="preserve"> decides whether to send them to the Inter-American Court in respect of those States that have recognized its jurisdiction, or to publish them in accordance with Article 51 of the same instrument and 47 of the Rules of Procedure of the IACHR.</w:t>
      </w:r>
    </w:p>
    <w:p w14:paraId="0751BEB8" w14:textId="77777777" w:rsidR="001D3A5D" w:rsidRPr="00524435" w:rsidRDefault="001D3A5D" w:rsidP="002B0ECE">
      <w:pPr>
        <w:pStyle w:val="Style1"/>
      </w:pPr>
      <w:r w:rsidRPr="00524435">
        <w:t>Access to justice and proportionality of punishment for crimes against humanity </w:t>
      </w:r>
    </w:p>
    <w:p w14:paraId="660E4C2B" w14:textId="77777777" w:rsidR="001D3A5D" w:rsidRPr="00524435" w:rsidRDefault="001D3A5D" w:rsidP="001B3575">
      <w:pPr>
        <w:pStyle w:val="ListParagraph"/>
      </w:pPr>
      <w:r w:rsidRPr="00524435">
        <w:t xml:space="preserve">In a case related to the investigation and prosecution of crimes against humanity, the Commission established that States violate their duty to punish such crimes when they apply legal concepts that allow for a substantial reduction in the amount of the penalty/sentence based on the time elapsed between the commission of the acts and the handing down of the judgment. As indicated in that case, the rationale for such a reduction in the penalty was supposedly that, the longer the </w:t>
      </w:r>
      <w:proofErr w:type="gramStart"/>
      <w:r w:rsidRPr="00524435">
        <w:t>period of time</w:t>
      </w:r>
      <w:proofErr w:type="gramEnd"/>
      <w:r w:rsidRPr="00524435">
        <w:t xml:space="preserve"> in which the penalty has not been imposed, the shorter the sentence should be. Here, the Commission notes that the idea of a progressive reduction of criminal law penalties for crimes against humanity merely because of the passage of time or alleged legal certainty concerns is clearly incompatible with the obligations to adequately punish those responsible for gross human rights violations. The Commission also highlighted how problematic it is to assert that the State's own failure to investigate and individualize those responsible should be the determining factor in the reduction of punishment. </w:t>
      </w:r>
      <w:bookmarkStart w:id="0" w:name="_Hlk88058060"/>
    </w:p>
    <w:p w14:paraId="4D8CF7B8" w14:textId="41524FF5" w:rsidR="001D3A5D" w:rsidRPr="00524435" w:rsidRDefault="001D3A5D" w:rsidP="002B0ECE">
      <w:pPr>
        <w:pStyle w:val="Style1"/>
      </w:pPr>
      <w:r w:rsidRPr="00524435">
        <w:lastRenderedPageBreak/>
        <w:t>Women's rights in the context of deprivation of liberty</w:t>
      </w:r>
    </w:p>
    <w:p w14:paraId="34082F7A" w14:textId="57C3B81F" w:rsidR="001D3A5D" w:rsidRPr="00524435" w:rsidRDefault="001D3A5D" w:rsidP="001B3575">
      <w:pPr>
        <w:pStyle w:val="ListParagraph"/>
        <w:rPr>
          <w:color w:val="000000"/>
        </w:rPr>
      </w:pPr>
      <w:r w:rsidRPr="00524435">
        <w:rPr>
          <w:color w:val="000000"/>
          <w:bdr w:val="none" w:sz="0" w:space="0" w:color="auto" w:frame="1"/>
        </w:rPr>
        <w:t>In two cases involving</w:t>
      </w:r>
      <w:r w:rsidRPr="00524435">
        <w:rPr>
          <w:rStyle w:val="apple-converted-space"/>
          <w:color w:val="000000"/>
          <w:bdr w:val="none" w:sz="0" w:space="0" w:color="auto" w:frame="1"/>
        </w:rPr>
        <w:t> </w:t>
      </w:r>
      <w:r w:rsidR="009F0BE5" w:rsidRPr="00524435">
        <w:rPr>
          <w:bdr w:val="none" w:sz="0" w:space="0" w:color="auto" w:frame="1"/>
        </w:rPr>
        <w:t>pregnant women</w:t>
      </w:r>
      <w:r w:rsidRPr="00524435">
        <w:rPr>
          <w:bdr w:val="none" w:sz="0" w:space="0" w:color="auto" w:frame="1"/>
        </w:rPr>
        <w:t xml:space="preserve"> deprived of their liberty, the Commission considered that, in contexts of deprivation of liberty, </w:t>
      </w:r>
      <w:proofErr w:type="gramStart"/>
      <w:r w:rsidRPr="00524435">
        <w:rPr>
          <w:bdr w:val="none" w:sz="0" w:space="0" w:color="auto" w:frame="1"/>
        </w:rPr>
        <w:t>in order to</w:t>
      </w:r>
      <w:proofErr w:type="gramEnd"/>
      <w:r w:rsidRPr="00524435">
        <w:rPr>
          <w:bdr w:val="none" w:sz="0" w:space="0" w:color="auto" w:frame="1"/>
        </w:rPr>
        <w:t xml:space="preserve"> ensure that pregnant, breastfeeding, and postpartum women do not face discrimination and violence, States should adopt specific measures that respond to their special </w:t>
      </w:r>
      <w:r w:rsidR="006D5F49" w:rsidRPr="00524435">
        <w:rPr>
          <w:bdr w:val="none" w:sz="0" w:space="0" w:color="auto" w:frame="1"/>
        </w:rPr>
        <w:t>conditions</w:t>
      </w:r>
      <w:r w:rsidR="006D5F49" w:rsidRPr="00524435">
        <w:rPr>
          <w:rStyle w:val="apple-converted-space"/>
          <w:color w:val="201F1E"/>
          <w:bdr w:val="none" w:sz="0" w:space="0" w:color="auto" w:frame="1"/>
        </w:rPr>
        <w:t>.</w:t>
      </w:r>
      <w:r w:rsidRPr="00524435">
        <w:rPr>
          <w:color w:val="000000"/>
        </w:rPr>
        <w:t xml:space="preserve"> These measures include, among other things, preparation and supervision of their diet, dietary counseling, and food storage,</w:t>
      </w:r>
      <w:r w:rsidRPr="00524435">
        <w:rPr>
          <w:color w:val="000000"/>
          <w:shd w:val="clear" w:color="auto" w:fill="FFFFFF"/>
        </w:rPr>
        <w:t xml:space="preserve"> the provision of</w:t>
      </w:r>
      <w:r w:rsidRPr="00524435">
        <w:rPr>
          <w:rStyle w:val="apple-converted-space"/>
          <w:color w:val="000000"/>
          <w:shd w:val="clear" w:color="auto" w:fill="FFFFFF"/>
        </w:rPr>
        <w:t> </w:t>
      </w:r>
      <w:r w:rsidRPr="00524435">
        <w:rPr>
          <w:color w:val="000000"/>
        </w:rPr>
        <w:t xml:space="preserve">adequate pre- and post-natal medical care, as well as ensuring adequate clothing for pregnant women.  The IACHR noted that the specific obligations of States should focus on providing medical care that adequately responds to the needs of these women, derived from their pregnancy, breastfeeding, or postpartum status, and that is comparable to the care they would receive in the community. Otherwise, these women would suffer a differentiated impact due to their </w:t>
      </w:r>
      <w:proofErr w:type="gramStart"/>
      <w:r w:rsidRPr="00524435">
        <w:rPr>
          <w:color w:val="000000"/>
        </w:rPr>
        <w:t>particular condition</w:t>
      </w:r>
      <w:proofErr w:type="gramEnd"/>
      <w:r w:rsidRPr="00524435">
        <w:rPr>
          <w:color w:val="000000"/>
        </w:rPr>
        <w:t>, which could impair their life, personal integrity, and health.</w:t>
      </w:r>
    </w:p>
    <w:p w14:paraId="391228CC" w14:textId="77777777" w:rsidR="001D3A5D" w:rsidRPr="00524435" w:rsidRDefault="001D3A5D" w:rsidP="002B0ECE">
      <w:pPr>
        <w:pStyle w:val="Style1"/>
      </w:pPr>
      <w:r w:rsidRPr="00524435">
        <w:t>Right to reparation due to corporate liability in connection with gross human rights violations</w:t>
      </w:r>
    </w:p>
    <w:p w14:paraId="08B3ECE9" w14:textId="77777777" w:rsidR="001D3A5D" w:rsidRPr="00524435" w:rsidRDefault="001D3A5D" w:rsidP="001B3575">
      <w:pPr>
        <w:pStyle w:val="ListParagraph"/>
      </w:pPr>
      <w:r w:rsidRPr="00524435">
        <w:t xml:space="preserve">In a case related to, among other aspects, the lack of reparation by a company in connection with serious human rights violations during a dictatorship, the Commission established that the application of the statute of limitations to civil suits for reparation in labor matters, linked to the effects of crimes against humanity in circumstances in which the employer was involved in such violations, violates the right of access to justice and reparation, since, according to the legal framework, such suits were the only way available to demand corporate liability. </w:t>
      </w:r>
    </w:p>
    <w:p w14:paraId="79944F1A" w14:textId="77777777" w:rsidR="001D3A5D" w:rsidRPr="00524435" w:rsidRDefault="001D3A5D" w:rsidP="001B3575">
      <w:pPr>
        <w:pStyle w:val="ListParagraph"/>
      </w:pPr>
      <w:r w:rsidRPr="00524435">
        <w:t xml:space="preserve">The Commission determined that the right to a judicial remedy to obtain reparation for serious human rights violations does not undermine the principle of legal certainty derived from the statute of limitations, but rather strengthens it and contributes to its optimization. This is due to the duty to guarantee access to remedies so that the victims of serious violations of their rights are fully compensated and those responsible are punished, even if the acts are committed by private parties, such as a company. It determined that reparation for crimes against humanity, given their gravity and impact on society, has even greater weight vis-à-vis legal certainty. </w:t>
      </w:r>
    </w:p>
    <w:p w14:paraId="49AB9BF2" w14:textId="77777777" w:rsidR="001D3A5D" w:rsidRPr="00524435" w:rsidRDefault="001D3A5D" w:rsidP="001B3575">
      <w:pPr>
        <w:pStyle w:val="ListParagraph"/>
      </w:pPr>
      <w:r w:rsidRPr="00524435">
        <w:t>In relation to a legal amendment that recognized the non-applicability of statutes of limitations to civil suits without retroactive application, the Commission considered that the rule entailed unjustifiably differentiated treatment, since, in cases of crimes against humanity, two categories of persons are generated facing two different legal responses to the possibility of access to a remedy, restricting access to it based on a merely temporal aspect, without having demonstrated in the case that the victims who filed their appeals before the amendment had any other means to exercise that right.</w:t>
      </w:r>
    </w:p>
    <w:p w14:paraId="578A645C" w14:textId="28BA88CA" w:rsidR="001D3A5D" w:rsidRPr="00524435" w:rsidRDefault="001D3A5D" w:rsidP="002B0ECE">
      <w:pPr>
        <w:pStyle w:val="Style1"/>
        <w:rPr>
          <w:rFonts w:eastAsiaTheme="minorHAnsi"/>
          <w:color w:val="000000"/>
        </w:rPr>
      </w:pPr>
      <w:r w:rsidRPr="00524435">
        <w:rPr>
          <w:bdr w:val="none" w:sz="0" w:space="0" w:color="auto" w:frame="1"/>
          <w:shd w:val="clear" w:color="auto" w:fill="FFFFFF"/>
        </w:rPr>
        <w:t>The obligation to prevent torture and sexual violence against missing women in contexts of violence against women</w:t>
      </w:r>
    </w:p>
    <w:p w14:paraId="6DFF19A7" w14:textId="77777777" w:rsidR="001D3A5D" w:rsidRPr="00524435" w:rsidRDefault="001D3A5D" w:rsidP="001B3575">
      <w:pPr>
        <w:pStyle w:val="ListParagraph"/>
        <w:rPr>
          <w:color w:val="000000"/>
        </w:rPr>
      </w:pPr>
      <w:r w:rsidRPr="00524435">
        <w:rPr>
          <w:bdr w:val="none" w:sz="0" w:space="0" w:color="auto" w:frame="1"/>
          <w:shd w:val="clear" w:color="auto" w:fill="FFFFFF"/>
        </w:rPr>
        <w:t xml:space="preserve">The Commission addressed cases related to the disappearance of women in proven contexts of gender-based violence, and the subsequent discovery of their lifeless bodies with signs of sexual violence. It considered the State's obligations in relation to the search for them, </w:t>
      </w:r>
      <w:proofErr w:type="gramStart"/>
      <w:r w:rsidRPr="00524435">
        <w:rPr>
          <w:bdr w:val="none" w:sz="0" w:space="0" w:color="auto" w:frame="1"/>
          <w:shd w:val="clear" w:color="auto" w:fill="FFFFFF"/>
        </w:rPr>
        <w:t>in light of</w:t>
      </w:r>
      <w:proofErr w:type="gramEnd"/>
      <w:r w:rsidRPr="00524435">
        <w:rPr>
          <w:bdr w:val="none" w:sz="0" w:space="0" w:color="auto" w:frame="1"/>
          <w:shd w:val="clear" w:color="auto" w:fill="FFFFFF"/>
        </w:rPr>
        <w:t xml:space="preserve"> the </w:t>
      </w:r>
      <w:r w:rsidRPr="00524435">
        <w:rPr>
          <w:color w:val="000000"/>
        </w:rPr>
        <w:t xml:space="preserve">United Nations Guiding Principles for the Search for Disappeared Persons. It also highlighted the content of the principle of strict or enhanced due diligence in the investigation, especially in the first hours following the report of a missing woman; and characterized the importance of those actions for determining responsibility for prevention with respect to violations of rights such as the right to life and integrity. In particular, the Commission took into consideration that in cases of women whose lifeless bodies were found with signs of sexual violence and regarding whom it was determined that no search had been conducted using strict due diligence despite the proven context of violence and the risk it posed to their integrity, the State's omission after the women and girls were reported missing entailed a breach of its duty to prevent acts of torture, especially since it was fully aware of the context of violence against women proven in the case, and of the possibility that missing young women and girls were subjected to sexual violence and subsequent execution. That violated the obligations </w:t>
      </w:r>
      <w:r w:rsidRPr="00524435">
        <w:rPr>
          <w:color w:val="000000"/>
        </w:rPr>
        <w:lastRenderedPageBreak/>
        <w:t>established in the Belem Do Para Convention and the Inter-American Commission to Prevent and Punish Torture.</w:t>
      </w:r>
    </w:p>
    <w:p w14:paraId="745D65E1" w14:textId="6110BE7F" w:rsidR="001D3A5D" w:rsidRPr="00524435" w:rsidRDefault="001D3A5D" w:rsidP="002B0ECE">
      <w:pPr>
        <w:pStyle w:val="Style1"/>
        <w:rPr>
          <w:color w:val="000000"/>
        </w:rPr>
      </w:pPr>
      <w:r w:rsidRPr="00524435">
        <w:rPr>
          <w:bdr w:val="none" w:sz="0" w:space="0" w:color="auto" w:frame="1"/>
          <w:shd w:val="clear" w:color="auto" w:fill="FFFFFF"/>
        </w:rPr>
        <w:t xml:space="preserve">Maternity leave for adoptive mothers </w:t>
      </w:r>
    </w:p>
    <w:p w14:paraId="3E1A63FF" w14:textId="77777777" w:rsidR="001D3A5D" w:rsidRPr="00524435" w:rsidRDefault="001D3A5D" w:rsidP="001B3575">
      <w:pPr>
        <w:pStyle w:val="ListParagraph"/>
        <w:rPr>
          <w:color w:val="000000"/>
        </w:rPr>
      </w:pPr>
      <w:r w:rsidRPr="00524435">
        <w:t xml:space="preserve">The Commission analyzed a case involving a claim by an adoptive mother to obtain maternity leave from her job that the State had recognized exclusively for biological mothers. In its analysis, the Commission referred to the ILO Maternity Protection Convention and Conference Recommendation 191 on equal access to the system for adoptive and biological parents. It also referred to a European Court decision which addressed a similar issue and concluded that the distinction between adoptive and biological mothers is contrary to equality and privacy. It also described the legislation of the States Parties to the Convention, most of which recognize leave of absence for women who adopt children. Subsequently, when analyzing the difference in treatment </w:t>
      </w:r>
      <w:proofErr w:type="gramStart"/>
      <w:r w:rsidRPr="00524435">
        <w:t>in light of</w:t>
      </w:r>
      <w:proofErr w:type="gramEnd"/>
      <w:r w:rsidRPr="00524435">
        <w:t xml:space="preserve"> the right to equality, it found that such difference in treatment violated not only the right to equality of women, but also the rights of the child and family life. It also considered that the restriction reinforced a stereotype of motherhood associated only with biological motherhood and, as a form of discrimination, constituted a form of violence against women.  </w:t>
      </w:r>
      <w:bookmarkEnd w:id="0"/>
    </w:p>
    <w:p w14:paraId="157AFFD6" w14:textId="77777777" w:rsidR="001D3A5D" w:rsidRPr="00524435" w:rsidRDefault="001D3A5D" w:rsidP="002B0ECE">
      <w:pPr>
        <w:pStyle w:val="Style1"/>
        <w:rPr>
          <w:bCs/>
        </w:rPr>
      </w:pPr>
      <w:r w:rsidRPr="00524435">
        <w:t>The right to property of indigenous peoples and the application of administrative silence</w:t>
      </w:r>
      <w:r w:rsidRPr="00524435">
        <w:rPr>
          <w:sz w:val="22"/>
        </w:rPr>
        <w:t xml:space="preserve"> </w:t>
      </w:r>
    </w:p>
    <w:p w14:paraId="2AB5722F" w14:textId="4F686762" w:rsidR="001D3A5D" w:rsidRPr="00524435" w:rsidRDefault="001D3A5D" w:rsidP="001B3575">
      <w:pPr>
        <w:pStyle w:val="ListParagraph"/>
        <w:rPr>
          <w:rFonts w:eastAsia="Cambria" w:cs="Cambria"/>
        </w:rPr>
      </w:pPr>
      <w:r w:rsidRPr="00524435">
        <w:t xml:space="preserve">In a case related to a process of purchase and sale of land between the community and a foreign businessman, the Commission highlighted the duty of the judicial authorities to ensure that decisions regarding the disposition of ancestral property are made in accordance with the traditional procedures of the indigenous peoples, and that this situation does not result in an infringement of their rights as a people, their self-determination, and the ownership of their collective property. Specifically, the Commission determined that as part of the obligation to guarantee property and provide judicial protection, the State should ensure that established forms and methods for the transmission of land rights are respected.  The Commission concluded that, in view of the above omission, the authorities violated the right to collective property when they automatically applied an administrative law notion, such as administrative silence or tacit consent that would give rise to recognition of the sale of the indigenous property. </w:t>
      </w:r>
    </w:p>
    <w:p w14:paraId="0DEA4CD2" w14:textId="77777777" w:rsidR="001D3A5D" w:rsidRPr="00524435" w:rsidRDefault="001D3A5D" w:rsidP="002B0ECE">
      <w:pPr>
        <w:pStyle w:val="Style1"/>
        <w:rPr>
          <w:rFonts w:eastAsia="Cambria" w:cs="Cambria"/>
          <w:bCs/>
        </w:rPr>
      </w:pPr>
      <w:r w:rsidRPr="00524435">
        <w:t>The right to health of older adults in geriatric institutions</w:t>
      </w:r>
    </w:p>
    <w:p w14:paraId="7091BC4C" w14:textId="77777777" w:rsidR="001D3A5D" w:rsidRPr="00524435" w:rsidRDefault="001D3A5D" w:rsidP="001B3575">
      <w:pPr>
        <w:pStyle w:val="ListParagraph"/>
        <w:rPr>
          <w:rFonts w:eastAsia="Cambria" w:cs="Cambria"/>
        </w:rPr>
      </w:pPr>
      <w:r w:rsidRPr="00524435">
        <w:t xml:space="preserve">In a case involving the mistreatment of an elderly person suffering from Alzheimer's disease while in a public geriatric institution, the Commission determined the State's obligations in relation to the rights of older adults with disabilities </w:t>
      </w:r>
      <w:proofErr w:type="gramStart"/>
      <w:r w:rsidRPr="00524435">
        <w:t>in the area of</w:t>
      </w:r>
      <w:proofErr w:type="gramEnd"/>
      <w:r w:rsidRPr="00524435">
        <w:t xml:space="preserve"> health care and its duty as guarantor with respect to persons in its custody in geriatric institutions. The Commission established that in this case it was not proven that the medical personnel who treated the victim in the public institution fulfilled their obligation to care for her in an adequate manner, in accordance with her situation as an older adult with a progressive degenerative mental illness. The Commission also noted that the State did not provide information regarding its regulation or oversight of the geriatric center. It also considered that the judicial authorities did not act with the special diligence required to guarantee the victim's rights by providing her with effective protection. </w:t>
      </w:r>
    </w:p>
    <w:p w14:paraId="21F1AFAA" w14:textId="7D889AFB" w:rsidR="001D3A5D" w:rsidRPr="00524435" w:rsidRDefault="001D3A5D" w:rsidP="002B0ECE">
      <w:pPr>
        <w:pStyle w:val="Style1"/>
        <w:rPr>
          <w:rFonts w:eastAsia="Cambria" w:cs="Cambria"/>
          <w:bCs/>
        </w:rPr>
      </w:pPr>
      <w:r w:rsidRPr="00524435">
        <w:t>The obligations to regulate and oversee public policies related to reproductive health and family planning programs</w:t>
      </w:r>
      <w:r w:rsidRPr="00524435">
        <w:rPr>
          <w:sz w:val="22"/>
        </w:rPr>
        <w:t xml:space="preserve"> </w:t>
      </w:r>
    </w:p>
    <w:p w14:paraId="4FECD091" w14:textId="3A663193" w:rsidR="001D3A5D" w:rsidRPr="00524435" w:rsidRDefault="001D3A5D" w:rsidP="0003552D">
      <w:pPr>
        <w:pStyle w:val="ListParagraph"/>
        <w:rPr>
          <w:rFonts w:eastAsia="Cambria" w:cs="Cambria"/>
          <w:b/>
          <w:bCs/>
        </w:rPr>
      </w:pPr>
      <w:r w:rsidRPr="00524435">
        <w:t xml:space="preserve">In a case related to the sterilization of a woman </w:t>
      </w:r>
      <w:proofErr w:type="gramStart"/>
      <w:r w:rsidRPr="00524435">
        <w:t>as a result of</w:t>
      </w:r>
      <w:proofErr w:type="gramEnd"/>
      <w:r w:rsidRPr="00524435">
        <w:t xml:space="preserve"> the implementation of a public reproductive health and family planning program, the Commission emphasized that in view of the impact it may have on the rights of individuals, the State has the obligation to monitor and regulate it. In this case, it found that the reproductive health program set goals that responded to gender stereotypes about the role of women in society as reproductive entities and had a discriminatory impact, </w:t>
      </w:r>
      <w:proofErr w:type="gramStart"/>
      <w:r w:rsidRPr="00524435">
        <w:t>inasmuch as</w:t>
      </w:r>
      <w:proofErr w:type="gramEnd"/>
      <w:r w:rsidRPr="00524435">
        <w:t xml:space="preserve"> it focused on women of childbearing age and living in poverty, for whom it offered sterilization as the main alternative. The Commission noted that the State failed to comply with the </w:t>
      </w:r>
      <w:proofErr w:type="gramStart"/>
      <w:r w:rsidRPr="00524435">
        <w:t>aforementioned obligations</w:t>
      </w:r>
      <w:proofErr w:type="gramEnd"/>
      <w:r w:rsidRPr="00524435">
        <w:t xml:space="preserve">, as well as its duty to </w:t>
      </w:r>
      <w:r w:rsidRPr="00524435">
        <w:lastRenderedPageBreak/>
        <w:t xml:space="preserve">obtain full and </w:t>
      </w:r>
      <w:r w:rsidR="002B0ECE" w:rsidRPr="00524435">
        <w:t>Report</w:t>
      </w:r>
      <w:r w:rsidR="00E1597F">
        <w:t>e</w:t>
      </w:r>
      <w:r w:rsidRPr="00524435">
        <w:t xml:space="preserve">d consent for the sterilization, by not allowing the victim a reasonable period of time to reflect and consciously exercise her consent. </w:t>
      </w:r>
    </w:p>
    <w:p w14:paraId="4B0A3346" w14:textId="77777777" w:rsidR="001D3A5D" w:rsidRPr="00524435" w:rsidRDefault="001D3A5D" w:rsidP="004C47D5">
      <w:pPr>
        <w:pStyle w:val="Heading2"/>
        <w:numPr>
          <w:ilvl w:val="0"/>
          <w:numId w:val="4"/>
        </w:numPr>
        <w:ind w:firstLine="0"/>
        <w:rPr>
          <w:rFonts w:eastAsia="Cambria" w:cs="Cambria"/>
          <w:bCs/>
          <w:sz w:val="20"/>
        </w:rPr>
      </w:pPr>
      <w:r w:rsidRPr="00524435">
        <w:rPr>
          <w:sz w:val="20"/>
        </w:rPr>
        <w:t>Published reports</w:t>
      </w:r>
    </w:p>
    <w:p w14:paraId="615DF425" w14:textId="10216659" w:rsidR="001D3A5D" w:rsidRPr="00524435" w:rsidRDefault="001D3A5D" w:rsidP="001B3575">
      <w:pPr>
        <w:pStyle w:val="ListParagraph"/>
        <w:rPr>
          <w:b/>
        </w:rPr>
      </w:pPr>
      <w:r w:rsidRPr="00524435">
        <w:t xml:space="preserve">During 2021, in accordance with the provisions of Article 47 of its Rules of Procedure and Article 51 of the American Convention, the Commission decided to publish </w:t>
      </w:r>
      <w:r w:rsidR="00F31CA9" w:rsidRPr="00524435">
        <w:t>the following 14</w:t>
      </w:r>
      <w:r w:rsidRPr="00524435">
        <w:t xml:space="preserve"> reports: </w:t>
      </w:r>
    </w:p>
    <w:p w14:paraId="1D1F452A" w14:textId="77777777" w:rsidR="00F31CA9" w:rsidRPr="003F238D" w:rsidRDefault="00F31CA9" w:rsidP="00140E6F">
      <w:pPr>
        <w:pStyle w:val="Heading3"/>
        <w:numPr>
          <w:ilvl w:val="0"/>
          <w:numId w:val="14"/>
        </w:numPr>
        <w:spacing w:after="0"/>
        <w:rPr>
          <w:b w:val="0"/>
          <w:bCs/>
          <w:sz w:val="20"/>
          <w:szCs w:val="22"/>
          <w:lang w:val="es-US"/>
        </w:rPr>
      </w:pPr>
      <w:r w:rsidRPr="003F238D">
        <w:rPr>
          <w:b w:val="0"/>
          <w:bCs/>
          <w:sz w:val="20"/>
          <w:szCs w:val="22"/>
          <w:lang w:val="es-US"/>
        </w:rPr>
        <w:t xml:space="preserve">Case 12.681, </w:t>
      </w:r>
      <w:proofErr w:type="spellStart"/>
      <w:r w:rsidRPr="003F238D">
        <w:rPr>
          <w:b w:val="0"/>
          <w:bCs/>
          <w:sz w:val="20"/>
          <w:szCs w:val="22"/>
          <w:lang w:val="es-US"/>
        </w:rPr>
        <w:t>Report</w:t>
      </w:r>
      <w:proofErr w:type="spellEnd"/>
      <w:r w:rsidRPr="003F238D">
        <w:rPr>
          <w:b w:val="0"/>
          <w:bCs/>
          <w:sz w:val="20"/>
          <w:szCs w:val="22"/>
          <w:lang w:val="es-US"/>
        </w:rPr>
        <w:t xml:space="preserve"> No. 268/21, Marcos Alejandro Martín (Argentina)</w:t>
      </w:r>
    </w:p>
    <w:p w14:paraId="19C4129A" w14:textId="77777777" w:rsidR="00F31CA9" w:rsidRPr="003F238D" w:rsidRDefault="00F31CA9" w:rsidP="00140E6F">
      <w:pPr>
        <w:pStyle w:val="Heading3"/>
        <w:numPr>
          <w:ilvl w:val="0"/>
          <w:numId w:val="14"/>
        </w:numPr>
        <w:spacing w:after="0"/>
        <w:rPr>
          <w:b w:val="0"/>
          <w:bCs/>
          <w:sz w:val="20"/>
          <w:szCs w:val="22"/>
          <w:lang w:val="es-US"/>
        </w:rPr>
      </w:pPr>
      <w:r w:rsidRPr="003F238D">
        <w:rPr>
          <w:b w:val="0"/>
          <w:bCs/>
          <w:sz w:val="20"/>
          <w:szCs w:val="22"/>
          <w:lang w:val="es-US"/>
        </w:rPr>
        <w:t xml:space="preserve">Case 13,639, </w:t>
      </w:r>
      <w:proofErr w:type="spellStart"/>
      <w:r w:rsidRPr="003F238D">
        <w:rPr>
          <w:b w:val="0"/>
          <w:bCs/>
          <w:sz w:val="20"/>
          <w:szCs w:val="22"/>
          <w:lang w:val="es-US"/>
        </w:rPr>
        <w:t>Report</w:t>
      </w:r>
      <w:proofErr w:type="spellEnd"/>
      <w:r w:rsidRPr="003F238D">
        <w:rPr>
          <w:b w:val="0"/>
          <w:bCs/>
          <w:sz w:val="20"/>
          <w:szCs w:val="22"/>
          <w:lang w:val="es-US"/>
        </w:rPr>
        <w:t xml:space="preserve"> No. 297/21, Yoani María Sánchez Cordero (Cuba)</w:t>
      </w:r>
    </w:p>
    <w:p w14:paraId="3523658D" w14:textId="62881615" w:rsidR="00F31CA9" w:rsidRPr="003F238D" w:rsidRDefault="00F31CA9" w:rsidP="00140E6F">
      <w:pPr>
        <w:pStyle w:val="Heading3"/>
        <w:numPr>
          <w:ilvl w:val="0"/>
          <w:numId w:val="14"/>
        </w:numPr>
        <w:spacing w:after="0"/>
        <w:rPr>
          <w:b w:val="0"/>
          <w:bCs/>
          <w:sz w:val="20"/>
          <w:szCs w:val="22"/>
          <w:lang w:val="es-US"/>
        </w:rPr>
      </w:pPr>
      <w:r w:rsidRPr="003F238D">
        <w:rPr>
          <w:b w:val="0"/>
          <w:bCs/>
          <w:sz w:val="20"/>
          <w:szCs w:val="22"/>
          <w:lang w:val="es-US"/>
        </w:rPr>
        <w:t xml:space="preserve">Case 12.931, </w:t>
      </w:r>
      <w:proofErr w:type="spellStart"/>
      <w:r w:rsidRPr="003F238D">
        <w:rPr>
          <w:b w:val="0"/>
          <w:bCs/>
          <w:sz w:val="20"/>
          <w:szCs w:val="22"/>
          <w:lang w:val="es-US"/>
        </w:rPr>
        <w:t>Report</w:t>
      </w:r>
      <w:proofErr w:type="spellEnd"/>
      <w:r w:rsidRPr="003F238D">
        <w:rPr>
          <w:b w:val="0"/>
          <w:bCs/>
          <w:sz w:val="20"/>
          <w:szCs w:val="22"/>
          <w:lang w:val="es-US"/>
        </w:rPr>
        <w:t xml:space="preserve"> No. 328/21, Daría Olinda Puertocarrero Hurtado (Ecuador)</w:t>
      </w:r>
    </w:p>
    <w:p w14:paraId="29FB936A" w14:textId="77777777" w:rsidR="00F31CA9" w:rsidRPr="00524435" w:rsidRDefault="00F31CA9" w:rsidP="00140E6F">
      <w:pPr>
        <w:pStyle w:val="Heading3"/>
        <w:numPr>
          <w:ilvl w:val="0"/>
          <w:numId w:val="14"/>
        </w:numPr>
        <w:spacing w:after="0"/>
        <w:rPr>
          <w:b w:val="0"/>
          <w:bCs/>
          <w:sz w:val="20"/>
          <w:szCs w:val="22"/>
        </w:rPr>
      </w:pPr>
      <w:r w:rsidRPr="00524435">
        <w:rPr>
          <w:b w:val="0"/>
          <w:bCs/>
          <w:sz w:val="20"/>
          <w:szCs w:val="22"/>
        </w:rPr>
        <w:t>Case 12,871, Report No. 333/21, Virgilio Maldonado Rodríguez (United States)</w:t>
      </w:r>
    </w:p>
    <w:p w14:paraId="33531509" w14:textId="77777777" w:rsidR="00F31CA9" w:rsidRPr="00524435" w:rsidRDefault="00F31CA9" w:rsidP="00140E6F">
      <w:pPr>
        <w:pStyle w:val="Heading3"/>
        <w:numPr>
          <w:ilvl w:val="0"/>
          <w:numId w:val="14"/>
        </w:numPr>
        <w:spacing w:after="0"/>
        <w:rPr>
          <w:b w:val="0"/>
          <w:bCs/>
          <w:sz w:val="20"/>
          <w:szCs w:val="22"/>
        </w:rPr>
      </w:pPr>
      <w:r w:rsidRPr="00524435">
        <w:rPr>
          <w:b w:val="0"/>
          <w:bCs/>
          <w:sz w:val="20"/>
          <w:szCs w:val="22"/>
        </w:rPr>
        <w:t>Case 13,339, Report No. 453/21, Manuel Valle (United States)</w:t>
      </w:r>
    </w:p>
    <w:p w14:paraId="155AD7B5" w14:textId="77777777" w:rsidR="00F31CA9" w:rsidRPr="00524435" w:rsidRDefault="00F31CA9" w:rsidP="00140E6F">
      <w:pPr>
        <w:pStyle w:val="Heading3"/>
        <w:numPr>
          <w:ilvl w:val="0"/>
          <w:numId w:val="14"/>
        </w:numPr>
        <w:spacing w:after="0"/>
        <w:rPr>
          <w:b w:val="0"/>
          <w:bCs/>
          <w:sz w:val="20"/>
          <w:szCs w:val="22"/>
        </w:rPr>
      </w:pPr>
      <w:r w:rsidRPr="00524435">
        <w:rPr>
          <w:b w:val="0"/>
          <w:bCs/>
          <w:sz w:val="20"/>
          <w:szCs w:val="22"/>
        </w:rPr>
        <w:t xml:space="preserve">Case 13,478, Report No. 454/21, José Trinidad </w:t>
      </w:r>
      <w:proofErr w:type="spellStart"/>
      <w:r w:rsidRPr="00524435">
        <w:rPr>
          <w:b w:val="0"/>
          <w:bCs/>
          <w:sz w:val="20"/>
          <w:szCs w:val="22"/>
        </w:rPr>
        <w:t>Loza</w:t>
      </w:r>
      <w:proofErr w:type="spellEnd"/>
      <w:r w:rsidRPr="00524435">
        <w:rPr>
          <w:b w:val="0"/>
          <w:bCs/>
          <w:sz w:val="20"/>
          <w:szCs w:val="22"/>
        </w:rPr>
        <w:t xml:space="preserve"> Ventura (United States)</w:t>
      </w:r>
    </w:p>
    <w:p w14:paraId="591201A3" w14:textId="77777777" w:rsidR="00F31CA9" w:rsidRPr="00524435" w:rsidRDefault="00F31CA9" w:rsidP="00140E6F">
      <w:pPr>
        <w:pStyle w:val="Heading3"/>
        <w:numPr>
          <w:ilvl w:val="0"/>
          <w:numId w:val="14"/>
        </w:numPr>
        <w:spacing w:after="0"/>
        <w:rPr>
          <w:b w:val="0"/>
          <w:bCs/>
          <w:sz w:val="20"/>
          <w:szCs w:val="22"/>
        </w:rPr>
      </w:pPr>
      <w:r w:rsidRPr="00524435">
        <w:rPr>
          <w:b w:val="0"/>
          <w:bCs/>
          <w:sz w:val="20"/>
          <w:szCs w:val="22"/>
        </w:rPr>
        <w:t>Case 12,832, Report No. 455/21, Gregory Thompson (United States)</w:t>
      </w:r>
    </w:p>
    <w:p w14:paraId="22D59D9D" w14:textId="77777777" w:rsidR="00F31CA9" w:rsidRPr="00524435" w:rsidRDefault="00F31CA9" w:rsidP="00140E6F">
      <w:pPr>
        <w:pStyle w:val="Heading3"/>
        <w:numPr>
          <w:ilvl w:val="0"/>
          <w:numId w:val="14"/>
        </w:numPr>
        <w:spacing w:after="0"/>
        <w:rPr>
          <w:b w:val="0"/>
          <w:bCs/>
          <w:sz w:val="20"/>
          <w:szCs w:val="22"/>
        </w:rPr>
      </w:pPr>
      <w:r w:rsidRPr="00524435">
        <w:rPr>
          <w:b w:val="0"/>
          <w:bCs/>
          <w:sz w:val="20"/>
          <w:szCs w:val="22"/>
        </w:rPr>
        <w:t>Case 13,829, Report No. 456/21, Ramiro Ibarra Rubi (United States)</w:t>
      </w:r>
    </w:p>
    <w:p w14:paraId="780C49E0" w14:textId="77777777" w:rsidR="00F31CA9" w:rsidRPr="003F238D" w:rsidRDefault="00F31CA9" w:rsidP="00140E6F">
      <w:pPr>
        <w:pStyle w:val="Heading3"/>
        <w:numPr>
          <w:ilvl w:val="0"/>
          <w:numId w:val="14"/>
        </w:numPr>
        <w:spacing w:after="0"/>
        <w:rPr>
          <w:b w:val="0"/>
          <w:bCs/>
          <w:sz w:val="20"/>
          <w:szCs w:val="22"/>
          <w:lang w:val="es-US"/>
        </w:rPr>
      </w:pPr>
      <w:r w:rsidRPr="003F238D">
        <w:rPr>
          <w:b w:val="0"/>
          <w:bCs/>
          <w:sz w:val="20"/>
          <w:szCs w:val="22"/>
          <w:lang w:val="es-US"/>
        </w:rPr>
        <w:t xml:space="preserve">Case 11,444, </w:t>
      </w:r>
      <w:proofErr w:type="spellStart"/>
      <w:r w:rsidRPr="003F238D">
        <w:rPr>
          <w:b w:val="0"/>
          <w:bCs/>
          <w:sz w:val="20"/>
          <w:szCs w:val="22"/>
          <w:lang w:val="es-US"/>
        </w:rPr>
        <w:t>Report</w:t>
      </w:r>
      <w:proofErr w:type="spellEnd"/>
      <w:r w:rsidRPr="003F238D">
        <w:rPr>
          <w:b w:val="0"/>
          <w:bCs/>
          <w:sz w:val="20"/>
          <w:szCs w:val="22"/>
          <w:lang w:val="es-US"/>
        </w:rPr>
        <w:t xml:space="preserve"> No. 457/21, Amparo Constante Merizalde (Ecuador)</w:t>
      </w:r>
    </w:p>
    <w:p w14:paraId="0A7B1F46" w14:textId="77777777" w:rsidR="00F31CA9" w:rsidRPr="00DF0CD0" w:rsidRDefault="00F31CA9" w:rsidP="00140E6F">
      <w:pPr>
        <w:pStyle w:val="Heading3"/>
        <w:numPr>
          <w:ilvl w:val="0"/>
          <w:numId w:val="14"/>
        </w:numPr>
        <w:spacing w:after="0"/>
        <w:rPr>
          <w:b w:val="0"/>
          <w:bCs/>
          <w:sz w:val="20"/>
          <w:szCs w:val="22"/>
          <w:lang w:val="es-US"/>
        </w:rPr>
      </w:pPr>
      <w:r w:rsidRPr="00DF0CD0">
        <w:rPr>
          <w:b w:val="0"/>
          <w:bCs/>
          <w:sz w:val="20"/>
          <w:szCs w:val="22"/>
          <w:lang w:val="es-US"/>
        </w:rPr>
        <w:t xml:space="preserve">Case 12,880, </w:t>
      </w:r>
      <w:proofErr w:type="spellStart"/>
      <w:r w:rsidRPr="00DF0CD0">
        <w:rPr>
          <w:b w:val="0"/>
          <w:bCs/>
          <w:sz w:val="20"/>
          <w:szCs w:val="22"/>
          <w:lang w:val="es-US"/>
        </w:rPr>
        <w:t>Report</w:t>
      </w:r>
      <w:proofErr w:type="spellEnd"/>
      <w:r w:rsidRPr="00DF0CD0">
        <w:rPr>
          <w:b w:val="0"/>
          <w:bCs/>
          <w:sz w:val="20"/>
          <w:szCs w:val="22"/>
          <w:lang w:val="es-US"/>
        </w:rPr>
        <w:t xml:space="preserve"> No. 458/21, Edmundo Alex </w:t>
      </w:r>
      <w:proofErr w:type="spellStart"/>
      <w:r w:rsidRPr="00DF0CD0">
        <w:rPr>
          <w:b w:val="0"/>
          <w:bCs/>
          <w:sz w:val="20"/>
          <w:szCs w:val="22"/>
          <w:lang w:val="es-US"/>
        </w:rPr>
        <w:t>Lemún</w:t>
      </w:r>
      <w:proofErr w:type="spellEnd"/>
      <w:r w:rsidRPr="00DF0CD0">
        <w:rPr>
          <w:b w:val="0"/>
          <w:bCs/>
          <w:sz w:val="20"/>
          <w:szCs w:val="22"/>
          <w:lang w:val="es-US"/>
        </w:rPr>
        <w:t xml:space="preserve"> et al.</w:t>
      </w:r>
    </w:p>
    <w:p w14:paraId="306B6E83" w14:textId="75094479" w:rsidR="00F31CA9" w:rsidRPr="00524435" w:rsidRDefault="00F31CA9" w:rsidP="00140E6F">
      <w:pPr>
        <w:pStyle w:val="Heading3"/>
        <w:numPr>
          <w:ilvl w:val="0"/>
          <w:numId w:val="14"/>
        </w:numPr>
        <w:spacing w:after="0"/>
        <w:rPr>
          <w:b w:val="0"/>
          <w:bCs/>
          <w:sz w:val="20"/>
          <w:szCs w:val="22"/>
        </w:rPr>
      </w:pPr>
      <w:r w:rsidRPr="00524435">
        <w:rPr>
          <w:b w:val="0"/>
          <w:bCs/>
          <w:sz w:val="20"/>
          <w:szCs w:val="22"/>
        </w:rPr>
        <w:t>Case 12,071, Report No. 459/21, Cuban and Haitian nationals detained at and deported from the Carmichael Road Detention Center (The Commonwealth of the Bahamas)</w:t>
      </w:r>
    </w:p>
    <w:p w14:paraId="247B6644" w14:textId="77777777" w:rsidR="00F31CA9" w:rsidRPr="007A5442" w:rsidRDefault="00F31CA9" w:rsidP="00140E6F">
      <w:pPr>
        <w:pStyle w:val="Heading3"/>
        <w:numPr>
          <w:ilvl w:val="0"/>
          <w:numId w:val="14"/>
        </w:numPr>
        <w:spacing w:after="0"/>
        <w:rPr>
          <w:b w:val="0"/>
          <w:bCs/>
          <w:sz w:val="20"/>
          <w:szCs w:val="22"/>
          <w:lang w:val="pt-PT"/>
        </w:rPr>
      </w:pPr>
      <w:r w:rsidRPr="007A5442">
        <w:rPr>
          <w:b w:val="0"/>
          <w:bCs/>
          <w:sz w:val="20"/>
          <w:szCs w:val="22"/>
          <w:lang w:val="pt-PT"/>
        </w:rPr>
        <w:t>Case 12,721, Report No. 460/21, Pedro Angel Falanga (Argentina)</w:t>
      </w:r>
    </w:p>
    <w:p w14:paraId="2D0F0DE7" w14:textId="77777777" w:rsidR="00F31CA9" w:rsidRPr="00524435" w:rsidRDefault="00F31CA9" w:rsidP="00140E6F">
      <w:pPr>
        <w:pStyle w:val="Heading3"/>
        <w:numPr>
          <w:ilvl w:val="0"/>
          <w:numId w:val="14"/>
        </w:numPr>
        <w:spacing w:after="0"/>
        <w:rPr>
          <w:b w:val="0"/>
          <w:bCs/>
          <w:sz w:val="20"/>
          <w:szCs w:val="22"/>
        </w:rPr>
      </w:pPr>
      <w:r w:rsidRPr="00524435">
        <w:rPr>
          <w:b w:val="0"/>
          <w:bCs/>
          <w:sz w:val="20"/>
          <w:szCs w:val="22"/>
        </w:rPr>
        <w:t xml:space="preserve">Case 13,394, Report No. 461/21, Pete Carl </w:t>
      </w:r>
      <w:proofErr w:type="spellStart"/>
      <w:r w:rsidRPr="00524435">
        <w:rPr>
          <w:b w:val="0"/>
          <w:bCs/>
          <w:sz w:val="20"/>
          <w:szCs w:val="22"/>
        </w:rPr>
        <w:t>Rogovich</w:t>
      </w:r>
      <w:proofErr w:type="spellEnd"/>
      <w:r w:rsidRPr="00524435">
        <w:rPr>
          <w:b w:val="0"/>
          <w:bCs/>
          <w:sz w:val="20"/>
          <w:szCs w:val="22"/>
        </w:rPr>
        <w:t xml:space="preserve"> (United States)</w:t>
      </w:r>
    </w:p>
    <w:p w14:paraId="0C6CCA20" w14:textId="66B2132A" w:rsidR="001D3A5D" w:rsidRPr="00524435" w:rsidRDefault="00F31CA9" w:rsidP="00140E6F">
      <w:pPr>
        <w:pStyle w:val="Heading3"/>
        <w:numPr>
          <w:ilvl w:val="0"/>
          <w:numId w:val="14"/>
        </w:numPr>
        <w:spacing w:after="0"/>
        <w:rPr>
          <w:b w:val="0"/>
          <w:bCs/>
          <w:sz w:val="20"/>
          <w:szCs w:val="22"/>
        </w:rPr>
      </w:pPr>
      <w:r w:rsidRPr="00524435">
        <w:rPr>
          <w:b w:val="0"/>
          <w:bCs/>
          <w:sz w:val="20"/>
          <w:szCs w:val="22"/>
        </w:rPr>
        <w:t>Case 12,505, Report No. 462/21, Marlin Gray (United States)</w:t>
      </w:r>
    </w:p>
    <w:p w14:paraId="58961EFA" w14:textId="77777777" w:rsidR="00F31CA9" w:rsidRPr="00524435" w:rsidRDefault="00F31CA9" w:rsidP="0003552D">
      <w:pPr>
        <w:spacing w:after="0" w:line="240" w:lineRule="auto"/>
        <w:rPr>
          <w:rFonts w:ascii="Cambria" w:hAnsi="Cambria"/>
        </w:rPr>
      </w:pPr>
    </w:p>
    <w:p w14:paraId="4492F63B" w14:textId="77777777" w:rsidR="001D3A5D" w:rsidRPr="00524435" w:rsidRDefault="001D3A5D" w:rsidP="004C47D5">
      <w:pPr>
        <w:pStyle w:val="Heading2"/>
        <w:numPr>
          <w:ilvl w:val="0"/>
          <w:numId w:val="4"/>
        </w:numPr>
        <w:ind w:firstLine="0"/>
        <w:rPr>
          <w:sz w:val="20"/>
        </w:rPr>
      </w:pPr>
      <w:r w:rsidRPr="00524435">
        <w:rPr>
          <w:sz w:val="20"/>
        </w:rPr>
        <w:t>Hearings and working meetings</w:t>
      </w:r>
    </w:p>
    <w:p w14:paraId="54FD0FA5" w14:textId="2203A5A3" w:rsidR="001D3A5D" w:rsidRPr="00524435" w:rsidRDefault="001D3A5D" w:rsidP="001D3A5D">
      <w:pPr>
        <w:numPr>
          <w:ilvl w:val="0"/>
          <w:numId w:val="1"/>
        </w:numPr>
        <w:autoSpaceDE w:val="0"/>
        <w:autoSpaceDN w:val="0"/>
        <w:adjustRightInd w:val="0"/>
        <w:spacing w:after="240" w:line="240" w:lineRule="auto"/>
        <w:ind w:left="0" w:firstLine="720"/>
        <w:jc w:val="both"/>
        <w:rPr>
          <w:rFonts w:ascii="Cambria" w:hAnsi="Cambria" w:cs="Calibri"/>
          <w:sz w:val="20"/>
          <w:szCs w:val="20"/>
        </w:rPr>
      </w:pPr>
      <w:r w:rsidRPr="00524435">
        <w:rPr>
          <w:rFonts w:ascii="Cambria" w:hAnsi="Cambria"/>
          <w:sz w:val="20"/>
        </w:rPr>
        <w:t xml:space="preserve">During 2021, in accordance with the provisions of Article 64 of the Rules of Procedure, the Commission held a total of </w:t>
      </w:r>
      <w:r w:rsidR="00B9743E" w:rsidRPr="00524435">
        <w:rPr>
          <w:rFonts w:ascii="Cambria" w:hAnsi="Cambria"/>
          <w:sz w:val="20"/>
        </w:rPr>
        <w:t>15</w:t>
      </w:r>
      <w:r w:rsidRPr="00524435">
        <w:rPr>
          <w:rFonts w:ascii="Cambria" w:hAnsi="Cambria"/>
          <w:sz w:val="20"/>
        </w:rPr>
        <w:t xml:space="preserve"> hearings of pending cases. In such hearings, the Commission received testimonial or expert evidence and heard the arguments of the parties involved.  The Commission will analyze the information received and deliberate on such cases in due course. The following hearings were held:</w:t>
      </w:r>
    </w:p>
    <w:p w14:paraId="53D7E62F" w14:textId="6BE4881A" w:rsidR="00B9743E" w:rsidRPr="00524435" w:rsidRDefault="00B9743E" w:rsidP="00B9743E">
      <w:pPr>
        <w:autoSpaceDE w:val="0"/>
        <w:autoSpaceDN w:val="0"/>
        <w:adjustRightInd w:val="0"/>
        <w:spacing w:after="0" w:line="240" w:lineRule="auto"/>
        <w:ind w:left="360"/>
        <w:rPr>
          <w:rFonts w:ascii="Cambria" w:hAnsi="Cambria" w:cs="Calibri"/>
          <w:sz w:val="20"/>
          <w:szCs w:val="20"/>
        </w:rPr>
      </w:pPr>
      <w:r w:rsidRPr="00524435">
        <w:rPr>
          <w:rFonts w:ascii="Cambria" w:hAnsi="Cambria" w:cs="Calibri"/>
          <w:sz w:val="20"/>
          <w:szCs w:val="20"/>
        </w:rPr>
        <w:t>In the 179th Period of Sessions:</w:t>
      </w:r>
    </w:p>
    <w:p w14:paraId="32466C12" w14:textId="77777777" w:rsidR="007425A1" w:rsidRPr="00524435" w:rsidRDefault="007425A1" w:rsidP="00B9743E">
      <w:pPr>
        <w:autoSpaceDE w:val="0"/>
        <w:autoSpaceDN w:val="0"/>
        <w:adjustRightInd w:val="0"/>
        <w:spacing w:after="0" w:line="240" w:lineRule="auto"/>
        <w:ind w:left="360"/>
        <w:rPr>
          <w:rFonts w:ascii="Cambria" w:hAnsi="Cambria" w:cs="Calibri"/>
          <w:sz w:val="20"/>
          <w:szCs w:val="20"/>
        </w:rPr>
      </w:pPr>
    </w:p>
    <w:p w14:paraId="1CA67A55" w14:textId="117AE240" w:rsidR="00B9743E" w:rsidRPr="003F238D" w:rsidRDefault="00B9743E" w:rsidP="00B9743E">
      <w:pPr>
        <w:autoSpaceDE w:val="0"/>
        <w:autoSpaceDN w:val="0"/>
        <w:adjustRightInd w:val="0"/>
        <w:spacing w:after="0" w:line="240" w:lineRule="auto"/>
        <w:ind w:left="360"/>
        <w:rPr>
          <w:rFonts w:ascii="Cambria" w:hAnsi="Cambria" w:cs="Calibri"/>
          <w:sz w:val="20"/>
          <w:szCs w:val="20"/>
          <w:lang w:val="es-US"/>
        </w:rPr>
      </w:pPr>
      <w:r w:rsidRPr="003F238D">
        <w:rPr>
          <w:rFonts w:ascii="Cambria" w:hAnsi="Cambria" w:cs="Calibri"/>
          <w:sz w:val="20"/>
          <w:szCs w:val="20"/>
          <w:lang w:val="es-US"/>
        </w:rPr>
        <w:t>Case 12.895 - José Julio Tulio Carrillo Hernández (Guatemala)</w:t>
      </w:r>
    </w:p>
    <w:p w14:paraId="39AFDFE1" w14:textId="77777777" w:rsidR="00B9743E" w:rsidRPr="007A5442" w:rsidRDefault="00B9743E" w:rsidP="00B9743E">
      <w:pPr>
        <w:autoSpaceDE w:val="0"/>
        <w:autoSpaceDN w:val="0"/>
        <w:adjustRightInd w:val="0"/>
        <w:spacing w:after="0" w:line="240" w:lineRule="auto"/>
        <w:ind w:left="360"/>
        <w:rPr>
          <w:rFonts w:ascii="Cambria" w:hAnsi="Cambria" w:cs="Calibri"/>
          <w:sz w:val="20"/>
          <w:szCs w:val="20"/>
          <w:lang w:val="pt-PT"/>
        </w:rPr>
      </w:pPr>
      <w:r w:rsidRPr="007A5442">
        <w:rPr>
          <w:rFonts w:ascii="Cambria" w:hAnsi="Cambria" w:cs="Calibri"/>
          <w:sz w:val="20"/>
          <w:szCs w:val="20"/>
          <w:lang w:val="pt-PT"/>
        </w:rPr>
        <w:t>Case No. 13.752 - Celia Edith Ramos Durand (Peru)</w:t>
      </w:r>
    </w:p>
    <w:p w14:paraId="2B2C7BC7" w14:textId="77777777" w:rsidR="00B9743E" w:rsidRPr="007A5442" w:rsidRDefault="00B9743E" w:rsidP="00B9743E">
      <w:pPr>
        <w:autoSpaceDE w:val="0"/>
        <w:autoSpaceDN w:val="0"/>
        <w:adjustRightInd w:val="0"/>
        <w:spacing w:after="0" w:line="240" w:lineRule="auto"/>
        <w:ind w:left="360"/>
        <w:rPr>
          <w:rFonts w:ascii="Cambria" w:hAnsi="Cambria" w:cs="Calibri"/>
          <w:sz w:val="20"/>
          <w:szCs w:val="20"/>
        </w:rPr>
      </w:pPr>
      <w:r w:rsidRPr="007A5442">
        <w:rPr>
          <w:rFonts w:ascii="Cambria" w:hAnsi="Cambria" w:cs="Calibri"/>
          <w:sz w:val="20"/>
          <w:szCs w:val="20"/>
        </w:rPr>
        <w:t>Case No. 13,004 - Camp Massacre (Colombia)</w:t>
      </w:r>
    </w:p>
    <w:p w14:paraId="64954E3E" w14:textId="77777777" w:rsidR="00B9743E" w:rsidRPr="007A5442" w:rsidRDefault="00B9743E" w:rsidP="00B9743E">
      <w:pPr>
        <w:autoSpaceDE w:val="0"/>
        <w:autoSpaceDN w:val="0"/>
        <w:adjustRightInd w:val="0"/>
        <w:spacing w:after="0" w:line="240" w:lineRule="auto"/>
        <w:ind w:left="360"/>
        <w:rPr>
          <w:rFonts w:ascii="Cambria" w:hAnsi="Cambria" w:cs="Calibri"/>
          <w:sz w:val="20"/>
          <w:szCs w:val="20"/>
        </w:rPr>
      </w:pPr>
      <w:r w:rsidRPr="007A5442">
        <w:rPr>
          <w:rFonts w:ascii="Cambria" w:hAnsi="Cambria" w:cs="Calibri"/>
          <w:sz w:val="20"/>
          <w:szCs w:val="20"/>
        </w:rPr>
        <w:t>Case No. 13.678 - Ana Matilde Gómez (Panama)</w:t>
      </w:r>
    </w:p>
    <w:p w14:paraId="4EE78F44" w14:textId="77777777" w:rsidR="00B9743E" w:rsidRPr="007A5442" w:rsidRDefault="00B9743E" w:rsidP="00B9743E">
      <w:pPr>
        <w:autoSpaceDE w:val="0"/>
        <w:autoSpaceDN w:val="0"/>
        <w:adjustRightInd w:val="0"/>
        <w:spacing w:after="0" w:line="240" w:lineRule="auto"/>
        <w:ind w:left="360"/>
        <w:rPr>
          <w:rFonts w:ascii="Cambria" w:hAnsi="Cambria" w:cs="Calibri"/>
          <w:sz w:val="20"/>
          <w:szCs w:val="20"/>
        </w:rPr>
      </w:pPr>
    </w:p>
    <w:p w14:paraId="24700F61" w14:textId="4BFA0210" w:rsidR="00B9743E" w:rsidRPr="00524435" w:rsidRDefault="00B9743E" w:rsidP="00B9743E">
      <w:pPr>
        <w:autoSpaceDE w:val="0"/>
        <w:autoSpaceDN w:val="0"/>
        <w:adjustRightInd w:val="0"/>
        <w:spacing w:after="0" w:line="240" w:lineRule="auto"/>
        <w:ind w:left="360"/>
        <w:rPr>
          <w:rFonts w:ascii="Cambria" w:hAnsi="Cambria" w:cs="Calibri"/>
          <w:sz w:val="20"/>
          <w:szCs w:val="20"/>
        </w:rPr>
      </w:pPr>
      <w:r w:rsidRPr="00524435">
        <w:rPr>
          <w:rFonts w:ascii="Cambria" w:hAnsi="Cambria" w:cs="Calibri"/>
          <w:sz w:val="20"/>
          <w:szCs w:val="20"/>
        </w:rPr>
        <w:t>In the 180th Period of Sessions:</w:t>
      </w:r>
    </w:p>
    <w:p w14:paraId="47317E33" w14:textId="77777777" w:rsidR="007425A1" w:rsidRPr="00524435" w:rsidRDefault="007425A1" w:rsidP="00B9743E">
      <w:pPr>
        <w:autoSpaceDE w:val="0"/>
        <w:autoSpaceDN w:val="0"/>
        <w:adjustRightInd w:val="0"/>
        <w:spacing w:after="0" w:line="240" w:lineRule="auto"/>
        <w:ind w:left="360"/>
        <w:rPr>
          <w:rFonts w:ascii="Cambria" w:hAnsi="Cambria" w:cs="Calibri"/>
          <w:sz w:val="20"/>
          <w:szCs w:val="20"/>
        </w:rPr>
      </w:pPr>
    </w:p>
    <w:p w14:paraId="7A0AB063" w14:textId="52ACB891" w:rsidR="00B9743E" w:rsidRPr="00524435" w:rsidRDefault="00B9743E" w:rsidP="00B9743E">
      <w:pPr>
        <w:autoSpaceDE w:val="0"/>
        <w:autoSpaceDN w:val="0"/>
        <w:adjustRightInd w:val="0"/>
        <w:spacing w:after="0" w:line="240" w:lineRule="auto"/>
        <w:ind w:left="360"/>
        <w:rPr>
          <w:rFonts w:ascii="Cambria" w:hAnsi="Cambria" w:cs="Calibri"/>
          <w:sz w:val="20"/>
          <w:szCs w:val="20"/>
        </w:rPr>
      </w:pPr>
      <w:r w:rsidRPr="00524435">
        <w:rPr>
          <w:rFonts w:ascii="Cambria" w:hAnsi="Cambria" w:cs="Calibri"/>
          <w:sz w:val="20"/>
          <w:szCs w:val="20"/>
        </w:rPr>
        <w:t xml:space="preserve">Case 12.920 - Spencer Friend </w:t>
      </w:r>
      <w:proofErr w:type="spellStart"/>
      <w:r w:rsidRPr="00524435">
        <w:rPr>
          <w:rFonts w:ascii="Cambria" w:hAnsi="Cambria" w:cs="Calibri"/>
          <w:sz w:val="20"/>
          <w:szCs w:val="20"/>
        </w:rPr>
        <w:t>Montehermoso</w:t>
      </w:r>
      <w:proofErr w:type="spellEnd"/>
      <w:r w:rsidRPr="00524435">
        <w:rPr>
          <w:rFonts w:ascii="Cambria" w:hAnsi="Cambria" w:cs="Calibri"/>
          <w:sz w:val="20"/>
          <w:szCs w:val="20"/>
        </w:rPr>
        <w:t xml:space="preserve"> and Walter </w:t>
      </w:r>
      <w:proofErr w:type="spellStart"/>
      <w:r w:rsidRPr="00524435">
        <w:rPr>
          <w:rFonts w:ascii="Cambria" w:hAnsi="Cambria" w:cs="Calibri"/>
          <w:sz w:val="20"/>
          <w:szCs w:val="20"/>
        </w:rPr>
        <w:t>Panezzo</w:t>
      </w:r>
      <w:proofErr w:type="spellEnd"/>
      <w:r w:rsidRPr="00524435">
        <w:rPr>
          <w:rFonts w:ascii="Cambria" w:hAnsi="Cambria" w:cs="Calibri"/>
          <w:sz w:val="20"/>
          <w:szCs w:val="20"/>
        </w:rPr>
        <w:t xml:space="preserve"> (Guatemala)</w:t>
      </w:r>
    </w:p>
    <w:p w14:paraId="071DAFFE" w14:textId="77777777" w:rsidR="00B9743E" w:rsidRPr="007A5442" w:rsidRDefault="00B9743E" w:rsidP="00B9743E">
      <w:pPr>
        <w:autoSpaceDE w:val="0"/>
        <w:autoSpaceDN w:val="0"/>
        <w:adjustRightInd w:val="0"/>
        <w:spacing w:after="0" w:line="240" w:lineRule="auto"/>
        <w:ind w:left="360"/>
        <w:rPr>
          <w:rFonts w:ascii="Cambria" w:hAnsi="Cambria" w:cs="Calibri"/>
          <w:sz w:val="20"/>
          <w:szCs w:val="20"/>
        </w:rPr>
      </w:pPr>
      <w:r w:rsidRPr="007A5442">
        <w:rPr>
          <w:rFonts w:ascii="Cambria" w:hAnsi="Cambria" w:cs="Calibri"/>
          <w:sz w:val="20"/>
          <w:szCs w:val="20"/>
        </w:rPr>
        <w:t xml:space="preserve">Case 14.483 - Claudia Andrea Amigo Bravo, Claudia Margarita Calderón </w:t>
      </w:r>
      <w:proofErr w:type="gramStart"/>
      <w:r w:rsidRPr="007A5442">
        <w:rPr>
          <w:rFonts w:ascii="Cambria" w:hAnsi="Cambria" w:cs="Calibri"/>
          <w:sz w:val="20"/>
          <w:szCs w:val="20"/>
        </w:rPr>
        <w:t>Esquivel</w:t>
      </w:r>
      <w:proofErr w:type="gramEnd"/>
      <w:r w:rsidRPr="007A5442">
        <w:rPr>
          <w:rFonts w:ascii="Cambria" w:hAnsi="Cambria" w:cs="Calibri"/>
          <w:sz w:val="20"/>
          <w:szCs w:val="20"/>
        </w:rPr>
        <w:t xml:space="preserve"> and Gabriela Andrea Amigo (Chile)</w:t>
      </w:r>
    </w:p>
    <w:p w14:paraId="18F557A7" w14:textId="77777777" w:rsidR="00B9743E" w:rsidRPr="007A5442" w:rsidRDefault="00B9743E" w:rsidP="00B9743E">
      <w:pPr>
        <w:autoSpaceDE w:val="0"/>
        <w:autoSpaceDN w:val="0"/>
        <w:adjustRightInd w:val="0"/>
        <w:spacing w:after="0" w:line="240" w:lineRule="auto"/>
        <w:ind w:left="360"/>
        <w:rPr>
          <w:rFonts w:ascii="Cambria" w:hAnsi="Cambria" w:cs="Calibri"/>
          <w:sz w:val="20"/>
          <w:szCs w:val="20"/>
        </w:rPr>
      </w:pPr>
      <w:r w:rsidRPr="007A5442">
        <w:rPr>
          <w:rFonts w:ascii="Cambria" w:hAnsi="Cambria" w:cs="Calibri"/>
          <w:sz w:val="20"/>
          <w:szCs w:val="20"/>
        </w:rPr>
        <w:t xml:space="preserve">Case 13.541 -Mirta Elizabeth Canelo </w:t>
      </w:r>
      <w:proofErr w:type="spellStart"/>
      <w:r w:rsidRPr="007A5442">
        <w:rPr>
          <w:rFonts w:ascii="Cambria" w:hAnsi="Cambria" w:cs="Calibri"/>
          <w:sz w:val="20"/>
          <w:szCs w:val="20"/>
        </w:rPr>
        <w:t>Castaño</w:t>
      </w:r>
      <w:proofErr w:type="spellEnd"/>
      <w:r w:rsidRPr="007A5442">
        <w:rPr>
          <w:rFonts w:ascii="Cambria" w:hAnsi="Cambria" w:cs="Calibri"/>
          <w:sz w:val="20"/>
          <w:szCs w:val="20"/>
        </w:rPr>
        <w:t xml:space="preserve"> and family (Argentina)</w:t>
      </w:r>
    </w:p>
    <w:p w14:paraId="173053DF" w14:textId="77777777" w:rsidR="00B9743E" w:rsidRPr="003F238D" w:rsidRDefault="00B9743E" w:rsidP="00B9743E">
      <w:pPr>
        <w:autoSpaceDE w:val="0"/>
        <w:autoSpaceDN w:val="0"/>
        <w:adjustRightInd w:val="0"/>
        <w:spacing w:after="0" w:line="240" w:lineRule="auto"/>
        <w:ind w:left="360"/>
        <w:rPr>
          <w:rFonts w:ascii="Cambria" w:hAnsi="Cambria" w:cs="Calibri"/>
          <w:sz w:val="20"/>
          <w:szCs w:val="20"/>
          <w:lang w:val="es-US"/>
        </w:rPr>
      </w:pPr>
      <w:r w:rsidRPr="003F238D">
        <w:rPr>
          <w:rFonts w:ascii="Cambria" w:hAnsi="Cambria" w:cs="Calibri"/>
          <w:sz w:val="20"/>
          <w:szCs w:val="20"/>
          <w:lang w:val="es-US"/>
        </w:rPr>
        <w:t>Case 13.163 - Carlos Arturo Ibarra Bernal et al.</w:t>
      </w:r>
    </w:p>
    <w:p w14:paraId="340E6050" w14:textId="77777777" w:rsidR="00B9743E" w:rsidRPr="003F238D" w:rsidRDefault="00B9743E" w:rsidP="00B9743E">
      <w:pPr>
        <w:autoSpaceDE w:val="0"/>
        <w:autoSpaceDN w:val="0"/>
        <w:adjustRightInd w:val="0"/>
        <w:spacing w:after="0" w:line="240" w:lineRule="auto"/>
        <w:ind w:left="360"/>
        <w:rPr>
          <w:rFonts w:ascii="Cambria" w:hAnsi="Cambria" w:cs="Calibri"/>
          <w:sz w:val="20"/>
          <w:szCs w:val="20"/>
          <w:lang w:val="es-US"/>
        </w:rPr>
      </w:pPr>
    </w:p>
    <w:p w14:paraId="2691AFC9" w14:textId="347C6844" w:rsidR="00B9743E" w:rsidRPr="00524435" w:rsidRDefault="00B9743E" w:rsidP="00B9743E">
      <w:pPr>
        <w:autoSpaceDE w:val="0"/>
        <w:autoSpaceDN w:val="0"/>
        <w:adjustRightInd w:val="0"/>
        <w:spacing w:after="0" w:line="240" w:lineRule="auto"/>
        <w:ind w:left="360"/>
        <w:rPr>
          <w:rFonts w:ascii="Cambria" w:hAnsi="Cambria" w:cs="Calibri"/>
          <w:sz w:val="20"/>
          <w:szCs w:val="20"/>
        </w:rPr>
      </w:pPr>
      <w:r w:rsidRPr="00524435">
        <w:rPr>
          <w:rFonts w:ascii="Cambria" w:hAnsi="Cambria" w:cs="Calibri"/>
          <w:sz w:val="20"/>
          <w:szCs w:val="20"/>
        </w:rPr>
        <w:t>In the 181st Period of Sessions:</w:t>
      </w:r>
    </w:p>
    <w:p w14:paraId="6C25D2B5" w14:textId="77777777" w:rsidR="007425A1" w:rsidRPr="00524435" w:rsidRDefault="007425A1" w:rsidP="00B9743E">
      <w:pPr>
        <w:autoSpaceDE w:val="0"/>
        <w:autoSpaceDN w:val="0"/>
        <w:adjustRightInd w:val="0"/>
        <w:spacing w:after="0" w:line="240" w:lineRule="auto"/>
        <w:ind w:left="360"/>
        <w:rPr>
          <w:rFonts w:ascii="Cambria" w:hAnsi="Cambria" w:cs="Calibri"/>
          <w:sz w:val="20"/>
          <w:szCs w:val="20"/>
        </w:rPr>
      </w:pPr>
    </w:p>
    <w:p w14:paraId="3E1179E0" w14:textId="50C3371A" w:rsidR="00B9743E" w:rsidRPr="00524435" w:rsidRDefault="00B9743E" w:rsidP="00B9743E">
      <w:pPr>
        <w:autoSpaceDE w:val="0"/>
        <w:autoSpaceDN w:val="0"/>
        <w:adjustRightInd w:val="0"/>
        <w:spacing w:after="0" w:line="240" w:lineRule="auto"/>
        <w:ind w:left="360"/>
        <w:rPr>
          <w:rFonts w:ascii="Cambria" w:hAnsi="Cambria" w:cs="Calibri"/>
          <w:sz w:val="20"/>
          <w:szCs w:val="20"/>
        </w:rPr>
      </w:pPr>
      <w:r w:rsidRPr="00524435">
        <w:rPr>
          <w:rFonts w:ascii="Cambria" w:hAnsi="Cambria" w:cs="Calibri"/>
          <w:sz w:val="20"/>
          <w:szCs w:val="20"/>
        </w:rPr>
        <w:t>Case 14.059 - María and her son (Argentina)</w:t>
      </w:r>
    </w:p>
    <w:p w14:paraId="3F7D67A2" w14:textId="77777777" w:rsidR="00B9743E" w:rsidRPr="003F238D" w:rsidRDefault="00B9743E" w:rsidP="00B9743E">
      <w:pPr>
        <w:autoSpaceDE w:val="0"/>
        <w:autoSpaceDN w:val="0"/>
        <w:adjustRightInd w:val="0"/>
        <w:spacing w:after="0" w:line="240" w:lineRule="auto"/>
        <w:ind w:left="360"/>
        <w:rPr>
          <w:rFonts w:ascii="Cambria" w:hAnsi="Cambria" w:cs="Calibri"/>
          <w:sz w:val="20"/>
          <w:szCs w:val="20"/>
          <w:lang w:val="es-US"/>
        </w:rPr>
      </w:pPr>
      <w:r w:rsidRPr="003F238D">
        <w:rPr>
          <w:rFonts w:ascii="Cambria" w:hAnsi="Cambria" w:cs="Calibri"/>
          <w:sz w:val="20"/>
          <w:szCs w:val="20"/>
          <w:lang w:val="es-US"/>
        </w:rPr>
        <w:t xml:space="preserve">Case 13,021 - Luiza </w:t>
      </w:r>
      <w:proofErr w:type="spellStart"/>
      <w:r w:rsidRPr="003F238D">
        <w:rPr>
          <w:rFonts w:ascii="Cambria" w:hAnsi="Cambria" w:cs="Calibri"/>
          <w:sz w:val="20"/>
          <w:szCs w:val="20"/>
          <w:lang w:val="es-US"/>
        </w:rPr>
        <w:t>Melinho</w:t>
      </w:r>
      <w:proofErr w:type="spellEnd"/>
      <w:r w:rsidRPr="003F238D">
        <w:rPr>
          <w:rFonts w:ascii="Cambria" w:hAnsi="Cambria" w:cs="Calibri"/>
          <w:sz w:val="20"/>
          <w:szCs w:val="20"/>
          <w:lang w:val="es-US"/>
        </w:rPr>
        <w:t xml:space="preserve"> (</w:t>
      </w:r>
      <w:proofErr w:type="spellStart"/>
      <w:r w:rsidRPr="003F238D">
        <w:rPr>
          <w:rFonts w:ascii="Cambria" w:hAnsi="Cambria" w:cs="Calibri"/>
          <w:sz w:val="20"/>
          <w:szCs w:val="20"/>
          <w:lang w:val="es-US"/>
        </w:rPr>
        <w:t>Brazil</w:t>
      </w:r>
      <w:proofErr w:type="spellEnd"/>
      <w:r w:rsidRPr="003F238D">
        <w:rPr>
          <w:rFonts w:ascii="Cambria" w:hAnsi="Cambria" w:cs="Calibri"/>
          <w:sz w:val="20"/>
          <w:szCs w:val="20"/>
          <w:lang w:val="es-US"/>
        </w:rPr>
        <w:t>)</w:t>
      </w:r>
    </w:p>
    <w:p w14:paraId="48FD82D9" w14:textId="77777777" w:rsidR="00B9743E" w:rsidRPr="003F238D" w:rsidRDefault="00B9743E" w:rsidP="00B9743E">
      <w:pPr>
        <w:autoSpaceDE w:val="0"/>
        <w:autoSpaceDN w:val="0"/>
        <w:adjustRightInd w:val="0"/>
        <w:spacing w:after="0" w:line="240" w:lineRule="auto"/>
        <w:ind w:left="360"/>
        <w:rPr>
          <w:rFonts w:ascii="Cambria" w:hAnsi="Cambria" w:cs="Calibri"/>
          <w:sz w:val="20"/>
          <w:szCs w:val="20"/>
          <w:lang w:val="es-US"/>
        </w:rPr>
      </w:pPr>
      <w:r w:rsidRPr="003F238D">
        <w:rPr>
          <w:rFonts w:ascii="Cambria" w:hAnsi="Cambria" w:cs="Calibri"/>
          <w:sz w:val="20"/>
          <w:szCs w:val="20"/>
          <w:lang w:val="es-US"/>
        </w:rPr>
        <w:t>Case 12.881 - Antonio María Rivera Movilla (Colombia)</w:t>
      </w:r>
    </w:p>
    <w:p w14:paraId="4091A63C" w14:textId="77777777" w:rsidR="00B9743E" w:rsidRPr="003F238D" w:rsidRDefault="00B9743E" w:rsidP="00B9743E">
      <w:pPr>
        <w:autoSpaceDE w:val="0"/>
        <w:autoSpaceDN w:val="0"/>
        <w:adjustRightInd w:val="0"/>
        <w:spacing w:after="0" w:line="240" w:lineRule="auto"/>
        <w:ind w:left="360"/>
        <w:rPr>
          <w:rFonts w:ascii="Cambria" w:hAnsi="Cambria" w:cs="Calibri"/>
          <w:sz w:val="20"/>
          <w:szCs w:val="20"/>
          <w:lang w:val="es-US"/>
        </w:rPr>
      </w:pPr>
      <w:r w:rsidRPr="003F238D">
        <w:rPr>
          <w:rFonts w:ascii="Cambria" w:hAnsi="Cambria" w:cs="Calibri"/>
          <w:sz w:val="20"/>
          <w:szCs w:val="20"/>
          <w:lang w:val="es-US"/>
        </w:rPr>
        <w:t xml:space="preserve">Case 13.662 - Nadia Alejandra Muciño Márquez and </w:t>
      </w:r>
      <w:proofErr w:type="spellStart"/>
      <w:r w:rsidRPr="003F238D">
        <w:rPr>
          <w:rFonts w:ascii="Cambria" w:hAnsi="Cambria" w:cs="Calibri"/>
          <w:sz w:val="20"/>
          <w:szCs w:val="20"/>
          <w:lang w:val="es-US"/>
        </w:rPr>
        <w:t>Family</w:t>
      </w:r>
      <w:proofErr w:type="spellEnd"/>
      <w:r w:rsidRPr="003F238D">
        <w:rPr>
          <w:rFonts w:ascii="Cambria" w:hAnsi="Cambria" w:cs="Calibri"/>
          <w:sz w:val="20"/>
          <w:szCs w:val="20"/>
          <w:lang w:val="es-US"/>
        </w:rPr>
        <w:t xml:space="preserve"> (</w:t>
      </w:r>
      <w:proofErr w:type="spellStart"/>
      <w:r w:rsidRPr="003F238D">
        <w:rPr>
          <w:rFonts w:ascii="Cambria" w:hAnsi="Cambria" w:cs="Calibri"/>
          <w:sz w:val="20"/>
          <w:szCs w:val="20"/>
          <w:lang w:val="es-US"/>
        </w:rPr>
        <w:t>Mexico</w:t>
      </w:r>
      <w:proofErr w:type="spellEnd"/>
      <w:r w:rsidRPr="003F238D">
        <w:rPr>
          <w:rFonts w:ascii="Cambria" w:hAnsi="Cambria" w:cs="Calibri"/>
          <w:sz w:val="20"/>
          <w:szCs w:val="20"/>
          <w:lang w:val="es-US"/>
        </w:rPr>
        <w:t>)</w:t>
      </w:r>
    </w:p>
    <w:p w14:paraId="2EA318C0" w14:textId="77777777" w:rsidR="00B9743E" w:rsidRPr="003F238D" w:rsidRDefault="00B9743E" w:rsidP="00B9743E">
      <w:pPr>
        <w:autoSpaceDE w:val="0"/>
        <w:autoSpaceDN w:val="0"/>
        <w:adjustRightInd w:val="0"/>
        <w:spacing w:after="0" w:line="240" w:lineRule="auto"/>
        <w:ind w:left="360"/>
        <w:rPr>
          <w:rFonts w:ascii="Cambria" w:hAnsi="Cambria" w:cs="Calibri"/>
          <w:sz w:val="20"/>
          <w:szCs w:val="20"/>
          <w:lang w:val="es-US"/>
        </w:rPr>
      </w:pPr>
    </w:p>
    <w:p w14:paraId="41F94622" w14:textId="743F6A81" w:rsidR="00B9743E" w:rsidRPr="00524435" w:rsidRDefault="00B9743E" w:rsidP="00B9743E">
      <w:pPr>
        <w:autoSpaceDE w:val="0"/>
        <w:autoSpaceDN w:val="0"/>
        <w:adjustRightInd w:val="0"/>
        <w:spacing w:after="0" w:line="240" w:lineRule="auto"/>
        <w:ind w:left="360"/>
        <w:rPr>
          <w:rFonts w:ascii="Cambria" w:hAnsi="Cambria" w:cs="Calibri"/>
          <w:sz w:val="20"/>
          <w:szCs w:val="20"/>
        </w:rPr>
      </w:pPr>
      <w:r w:rsidRPr="00524435">
        <w:rPr>
          <w:rFonts w:ascii="Cambria" w:hAnsi="Cambria" w:cs="Calibri"/>
          <w:sz w:val="20"/>
          <w:szCs w:val="20"/>
        </w:rPr>
        <w:lastRenderedPageBreak/>
        <w:t>In the 182nd Period of Sessions:</w:t>
      </w:r>
    </w:p>
    <w:p w14:paraId="711D8D8B" w14:textId="77777777" w:rsidR="007425A1" w:rsidRPr="00524435" w:rsidRDefault="007425A1" w:rsidP="00B9743E">
      <w:pPr>
        <w:autoSpaceDE w:val="0"/>
        <w:autoSpaceDN w:val="0"/>
        <w:adjustRightInd w:val="0"/>
        <w:spacing w:after="0" w:line="240" w:lineRule="auto"/>
        <w:ind w:left="360"/>
        <w:rPr>
          <w:rFonts w:ascii="Cambria" w:hAnsi="Cambria" w:cs="Calibri"/>
          <w:sz w:val="20"/>
          <w:szCs w:val="20"/>
        </w:rPr>
      </w:pPr>
    </w:p>
    <w:p w14:paraId="13044BAA" w14:textId="02116A09" w:rsidR="00B9743E" w:rsidRPr="00524435" w:rsidRDefault="00B9743E" w:rsidP="00B9743E">
      <w:pPr>
        <w:autoSpaceDE w:val="0"/>
        <w:autoSpaceDN w:val="0"/>
        <w:adjustRightInd w:val="0"/>
        <w:spacing w:after="0" w:line="240" w:lineRule="auto"/>
        <w:ind w:left="360"/>
        <w:rPr>
          <w:rFonts w:ascii="Cambria" w:hAnsi="Cambria" w:cs="Calibri"/>
          <w:sz w:val="20"/>
          <w:szCs w:val="20"/>
        </w:rPr>
      </w:pPr>
      <w:r w:rsidRPr="00524435">
        <w:rPr>
          <w:rFonts w:ascii="Cambria" w:hAnsi="Cambria" w:cs="Calibri"/>
          <w:sz w:val="20"/>
          <w:szCs w:val="20"/>
        </w:rPr>
        <w:t xml:space="preserve">Case 14.196 - Oswaldo </w:t>
      </w:r>
      <w:proofErr w:type="spellStart"/>
      <w:r w:rsidRPr="00524435">
        <w:rPr>
          <w:rFonts w:ascii="Cambria" w:hAnsi="Cambria" w:cs="Calibri"/>
          <w:sz w:val="20"/>
          <w:szCs w:val="20"/>
        </w:rPr>
        <w:t>Payá</w:t>
      </w:r>
      <w:proofErr w:type="spellEnd"/>
      <w:r w:rsidRPr="00524435">
        <w:rPr>
          <w:rFonts w:ascii="Cambria" w:hAnsi="Cambria" w:cs="Calibri"/>
          <w:sz w:val="20"/>
          <w:szCs w:val="20"/>
        </w:rPr>
        <w:t>, Harold Cepero et al.</w:t>
      </w:r>
    </w:p>
    <w:p w14:paraId="26D76CE9" w14:textId="77777777" w:rsidR="00B9743E" w:rsidRPr="00524435" w:rsidRDefault="00B9743E" w:rsidP="00B9743E">
      <w:pPr>
        <w:autoSpaceDE w:val="0"/>
        <w:autoSpaceDN w:val="0"/>
        <w:adjustRightInd w:val="0"/>
        <w:spacing w:after="0" w:line="240" w:lineRule="auto"/>
        <w:ind w:left="360"/>
        <w:rPr>
          <w:rFonts w:ascii="Cambria" w:hAnsi="Cambria" w:cs="Calibri"/>
          <w:sz w:val="20"/>
          <w:szCs w:val="20"/>
        </w:rPr>
      </w:pPr>
      <w:r w:rsidRPr="00524435">
        <w:rPr>
          <w:rFonts w:ascii="Cambria" w:hAnsi="Cambria" w:cs="Calibri"/>
          <w:sz w:val="20"/>
          <w:szCs w:val="20"/>
        </w:rPr>
        <w:t>Case 12.934-A - Patients of the psychiatry service of the Santo Tomás Hospital (Panama)</w:t>
      </w:r>
    </w:p>
    <w:p w14:paraId="3179EA4E" w14:textId="77777777" w:rsidR="00B9743E" w:rsidRPr="00524435" w:rsidRDefault="00B9743E" w:rsidP="00B9743E">
      <w:pPr>
        <w:autoSpaceDE w:val="0"/>
        <w:autoSpaceDN w:val="0"/>
        <w:adjustRightInd w:val="0"/>
        <w:spacing w:after="0" w:line="240" w:lineRule="auto"/>
        <w:ind w:left="360"/>
        <w:rPr>
          <w:rFonts w:ascii="Cambria" w:hAnsi="Cambria" w:cs="Calibri"/>
          <w:sz w:val="20"/>
          <w:szCs w:val="20"/>
        </w:rPr>
      </w:pPr>
      <w:r w:rsidRPr="00524435">
        <w:rPr>
          <w:rFonts w:ascii="Cambria" w:hAnsi="Cambria" w:cs="Calibri"/>
          <w:sz w:val="20"/>
          <w:szCs w:val="20"/>
        </w:rPr>
        <w:t>Case 13.108 - Paula Albanese and others (Argentina)</w:t>
      </w:r>
    </w:p>
    <w:p w14:paraId="4F664A4A" w14:textId="5DB41B7E" w:rsidR="001D3A5D" w:rsidRPr="00524435" w:rsidRDefault="001D3A5D" w:rsidP="001D3A5D">
      <w:pPr>
        <w:autoSpaceDE w:val="0"/>
        <w:autoSpaceDN w:val="0"/>
        <w:adjustRightInd w:val="0"/>
        <w:spacing w:after="0" w:line="240" w:lineRule="auto"/>
        <w:ind w:left="990"/>
        <w:jc w:val="both"/>
        <w:rPr>
          <w:rFonts w:ascii="Cambria" w:hAnsi="Cambria" w:cs="Calibri"/>
          <w:sz w:val="20"/>
          <w:szCs w:val="20"/>
        </w:rPr>
      </w:pPr>
    </w:p>
    <w:p w14:paraId="223CC8FC" w14:textId="77777777" w:rsidR="001D3A5D" w:rsidRPr="00524435" w:rsidRDefault="001D3A5D" w:rsidP="0003552D">
      <w:pPr>
        <w:pStyle w:val="ListParagraph"/>
      </w:pPr>
      <w:r w:rsidRPr="00524435">
        <w:t>Additionally, during 2021, the Commission held 19 working meetings to follow up on compliance with the recommendations in relation to cases that already have a report on the merits and regarding which the Commission will adopt a decision on their eventual submission to the Inter-American Court of Human Rights.</w:t>
      </w:r>
    </w:p>
    <w:p w14:paraId="10F725B2" w14:textId="26E9ACFF" w:rsidR="001D3A5D" w:rsidRPr="00524435" w:rsidRDefault="001D3A5D" w:rsidP="0003552D">
      <w:pPr>
        <w:pStyle w:val="ListParagraph"/>
        <w:rPr>
          <w:color w:val="000000"/>
        </w:rPr>
      </w:pPr>
      <w:r w:rsidRPr="00524435">
        <w:t xml:space="preserve">The holding and promotion of working meetings for cases at this stage seeks to bolster opportunities for compliance with their recommendations as well as the effectiveness of the decisions adopted by the IACHR through its reports on the merits. Such meetings have also made it possible to identify obstacles that may affect compliance with the recommendations, find ways to overcome them, or consider that the criteria for deciding to send the case to the Inter-American Court have been met. The Commission acknowledges the participation of the States of </w:t>
      </w:r>
      <w:r w:rsidRPr="00524435">
        <w:rPr>
          <w:color w:val="000000" w:themeColor="text1"/>
        </w:rPr>
        <w:t>Argentina, Brazil</w:t>
      </w:r>
      <w:r w:rsidRPr="00524435">
        <w:t>,</w:t>
      </w:r>
      <w:r w:rsidRPr="00524435">
        <w:rPr>
          <w:color w:val="000000" w:themeColor="text1"/>
        </w:rPr>
        <w:t xml:space="preserve"> Chile, Colombia, Ecuador, Honduras, Mexico, and Peru, as well as the victims and their representatives, at such meetings. In view of the progress made in complying with the recommendations or with reaching agreements for compliance, the IACHR decided to move forward with the publication of 4 reports on the merits.</w:t>
      </w:r>
    </w:p>
    <w:p w14:paraId="69DF6941" w14:textId="77B1CAA0" w:rsidR="007425A1" w:rsidRPr="00524435" w:rsidRDefault="005161AE" w:rsidP="006A03BE">
      <w:pPr>
        <w:pStyle w:val="Heading1"/>
      </w:pPr>
      <w:r w:rsidRPr="00524435">
        <w:t xml:space="preserve">Archival </w:t>
      </w:r>
      <w:r w:rsidR="00622342" w:rsidRPr="00524435">
        <w:t>decisions</w:t>
      </w:r>
    </w:p>
    <w:p w14:paraId="3AD5C7C4" w14:textId="2590AFEF" w:rsidR="007425A1" w:rsidRPr="00E1597F" w:rsidRDefault="00194947" w:rsidP="006A03BE">
      <w:pPr>
        <w:pStyle w:val="ListParagraph"/>
        <w:numPr>
          <w:ilvl w:val="0"/>
          <w:numId w:val="4"/>
        </w:numPr>
        <w:spacing w:before="60" w:after="60"/>
        <w:ind w:firstLine="0"/>
        <w:jc w:val="left"/>
      </w:pPr>
      <w:r w:rsidRPr="00E1597F">
        <w:rPr>
          <w:b/>
          <w:bCs/>
        </w:rPr>
        <w:t>Archive decisions in process</w:t>
      </w:r>
      <w:r w:rsidR="006A03BE" w:rsidRPr="00E1597F">
        <w:rPr>
          <w:b/>
          <w:bCs/>
        </w:rPr>
        <w:br/>
      </w:r>
    </w:p>
    <w:tbl>
      <w:tblPr>
        <w:tblW w:w="0" w:type="auto"/>
        <w:tblLook w:val="04A0" w:firstRow="1" w:lastRow="0" w:firstColumn="1" w:lastColumn="0" w:noHBand="0" w:noVBand="1"/>
      </w:tblPr>
      <w:tblGrid>
        <w:gridCol w:w="549"/>
        <w:gridCol w:w="1403"/>
        <w:gridCol w:w="1657"/>
        <w:gridCol w:w="954"/>
        <w:gridCol w:w="637"/>
        <w:gridCol w:w="2899"/>
        <w:gridCol w:w="1251"/>
      </w:tblGrid>
      <w:tr w:rsidR="007425A1" w:rsidRPr="00524435" w14:paraId="3497B4DA" w14:textId="77777777" w:rsidTr="008B7C11">
        <w:trPr>
          <w:trHeight w:val="1410"/>
        </w:trPr>
        <w:tc>
          <w:tcPr>
            <w:tcW w:w="0" w:type="auto"/>
            <w:tcBorders>
              <w:top w:val="single" w:sz="4" w:space="0" w:color="auto"/>
              <w:left w:val="single" w:sz="4" w:space="0" w:color="auto"/>
              <w:bottom w:val="single" w:sz="4" w:space="0" w:color="auto"/>
              <w:right w:val="single" w:sz="4" w:space="0" w:color="auto"/>
            </w:tcBorders>
            <w:shd w:val="clear" w:color="000000" w:fill="000000"/>
            <w:vAlign w:val="center"/>
            <w:hideMark/>
          </w:tcPr>
          <w:p w14:paraId="365D8C49" w14:textId="77777777" w:rsidR="007425A1" w:rsidRPr="00524435" w:rsidRDefault="007425A1" w:rsidP="008B7C11">
            <w:pPr>
              <w:jc w:val="center"/>
              <w:rPr>
                <w:rFonts w:ascii="Cambria" w:hAnsi="Cambria" w:cs="Calibri"/>
                <w:b/>
                <w:bCs/>
                <w:color w:val="FFFFFF"/>
                <w:sz w:val="20"/>
                <w:szCs w:val="20"/>
              </w:rPr>
            </w:pPr>
            <w:r w:rsidRPr="00524435">
              <w:rPr>
                <w:rFonts w:ascii="Cambria" w:hAnsi="Cambria" w:cs="Calibri"/>
                <w:b/>
                <w:bCs/>
                <w:color w:val="FFFFFF"/>
                <w:sz w:val="20"/>
                <w:szCs w:val="20"/>
              </w:rPr>
              <w:t>Nº</w:t>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14:paraId="3DDB9D71" w14:textId="77777777" w:rsidR="007425A1" w:rsidRPr="00524435" w:rsidRDefault="007425A1" w:rsidP="008B7C11">
            <w:pPr>
              <w:jc w:val="center"/>
              <w:rPr>
                <w:rFonts w:ascii="Cambria" w:hAnsi="Cambria" w:cs="Calibri"/>
                <w:b/>
                <w:bCs/>
                <w:color w:val="FFFFFF"/>
                <w:sz w:val="20"/>
                <w:szCs w:val="20"/>
              </w:rPr>
            </w:pPr>
            <w:r w:rsidRPr="00524435">
              <w:rPr>
                <w:rFonts w:ascii="Cambria" w:hAnsi="Cambria" w:cs="Calibri"/>
                <w:b/>
                <w:bCs/>
                <w:color w:val="FFFFFF"/>
                <w:sz w:val="20"/>
                <w:szCs w:val="20"/>
              </w:rPr>
              <w:br/>
            </w:r>
            <w:r w:rsidRPr="00524435">
              <w:rPr>
                <w:rFonts w:ascii="Cambria" w:hAnsi="Cambria" w:cs="Calibri"/>
                <w:b/>
                <w:bCs/>
                <w:i/>
                <w:iCs/>
                <w:color w:val="FFFFFF"/>
                <w:sz w:val="20"/>
                <w:szCs w:val="20"/>
              </w:rPr>
              <w:t>State</w:t>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14:paraId="2D33D87C" w14:textId="77777777" w:rsidR="007425A1" w:rsidRPr="00524435" w:rsidRDefault="007425A1" w:rsidP="008B7C11">
            <w:pPr>
              <w:jc w:val="center"/>
              <w:rPr>
                <w:rFonts w:ascii="Cambria" w:hAnsi="Cambria" w:cs="Calibri"/>
                <w:b/>
                <w:bCs/>
                <w:color w:val="FFFFFF"/>
                <w:sz w:val="20"/>
                <w:szCs w:val="20"/>
              </w:rPr>
            </w:pPr>
            <w:r w:rsidRPr="00524435">
              <w:rPr>
                <w:rFonts w:ascii="Cambria" w:hAnsi="Cambria" w:cs="Calibri"/>
                <w:b/>
                <w:bCs/>
                <w:color w:val="FFFFFF"/>
                <w:sz w:val="20"/>
                <w:szCs w:val="20"/>
              </w:rPr>
              <w:br/>
            </w:r>
            <w:r w:rsidRPr="00524435">
              <w:rPr>
                <w:rFonts w:ascii="Cambria" w:hAnsi="Cambria" w:cs="Calibri"/>
                <w:b/>
                <w:bCs/>
                <w:i/>
                <w:iCs/>
                <w:color w:val="FFFFFF"/>
                <w:sz w:val="20"/>
                <w:szCs w:val="20"/>
              </w:rPr>
              <w:t>Petition number</w:t>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14:paraId="3904DE1F" w14:textId="77777777" w:rsidR="007425A1" w:rsidRPr="00524435" w:rsidRDefault="007425A1" w:rsidP="008B7C11">
            <w:pPr>
              <w:jc w:val="center"/>
              <w:rPr>
                <w:rFonts w:ascii="Cambria" w:hAnsi="Cambria" w:cs="Calibri"/>
                <w:b/>
                <w:bCs/>
                <w:color w:val="FFFFFF"/>
                <w:sz w:val="20"/>
                <w:szCs w:val="20"/>
              </w:rPr>
            </w:pPr>
            <w:r w:rsidRPr="00524435">
              <w:rPr>
                <w:rFonts w:ascii="Cambria" w:hAnsi="Cambria" w:cs="Calibri"/>
                <w:b/>
                <w:bCs/>
                <w:i/>
                <w:iCs/>
                <w:color w:val="FFFFFF"/>
                <w:sz w:val="20"/>
                <w:szCs w:val="20"/>
              </w:rPr>
              <w:t>Case number</w:t>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14:paraId="0ACA1345" w14:textId="77777777" w:rsidR="007425A1" w:rsidRPr="00524435" w:rsidRDefault="007425A1" w:rsidP="008B7C11">
            <w:pPr>
              <w:jc w:val="center"/>
              <w:rPr>
                <w:rFonts w:ascii="Cambria" w:hAnsi="Cambria" w:cs="Calibri"/>
                <w:b/>
                <w:bCs/>
                <w:color w:val="FFFFFF"/>
                <w:sz w:val="20"/>
                <w:szCs w:val="20"/>
              </w:rPr>
            </w:pPr>
            <w:r w:rsidRPr="00524435">
              <w:rPr>
                <w:rFonts w:ascii="Cambria" w:hAnsi="Cambria" w:cs="Calibri"/>
                <w:b/>
                <w:bCs/>
                <w:color w:val="FFFFFF"/>
                <w:sz w:val="20"/>
                <w:szCs w:val="20"/>
              </w:rPr>
              <w:br/>
            </w:r>
            <w:r w:rsidRPr="00524435">
              <w:rPr>
                <w:rFonts w:ascii="Cambria" w:hAnsi="Cambria" w:cs="Calibri"/>
                <w:b/>
                <w:bCs/>
                <w:i/>
                <w:iCs/>
                <w:color w:val="FFFFFF"/>
                <w:sz w:val="20"/>
                <w:szCs w:val="20"/>
              </w:rPr>
              <w:t>Year</w:t>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14:paraId="055206E7" w14:textId="77777777" w:rsidR="007425A1" w:rsidRPr="00524435" w:rsidRDefault="007425A1" w:rsidP="008B7C11">
            <w:pPr>
              <w:jc w:val="center"/>
              <w:rPr>
                <w:rFonts w:ascii="Cambria" w:hAnsi="Cambria" w:cs="Calibri"/>
                <w:b/>
                <w:bCs/>
                <w:color w:val="FFFFFF"/>
                <w:sz w:val="20"/>
                <w:szCs w:val="20"/>
              </w:rPr>
            </w:pPr>
            <w:r w:rsidRPr="00524435">
              <w:rPr>
                <w:rFonts w:ascii="Cambria" w:hAnsi="Cambria" w:cs="Calibri"/>
                <w:b/>
                <w:bCs/>
                <w:color w:val="FFFFFF"/>
                <w:sz w:val="20"/>
                <w:szCs w:val="20"/>
              </w:rPr>
              <w:br/>
            </w:r>
            <w:r w:rsidRPr="00524435">
              <w:rPr>
                <w:rFonts w:ascii="Cambria" w:hAnsi="Cambria" w:cs="Calibri"/>
                <w:b/>
                <w:bCs/>
                <w:i/>
                <w:iCs/>
                <w:color w:val="FFFFFF"/>
                <w:sz w:val="20"/>
                <w:szCs w:val="20"/>
              </w:rPr>
              <w:t>Name</w:t>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14:paraId="36DF6E50" w14:textId="77777777" w:rsidR="007425A1" w:rsidRPr="00524435" w:rsidRDefault="007425A1" w:rsidP="008B7C11">
            <w:pPr>
              <w:jc w:val="center"/>
              <w:rPr>
                <w:rFonts w:ascii="Cambria" w:hAnsi="Cambria" w:cs="Calibri"/>
                <w:b/>
                <w:bCs/>
                <w:color w:val="FFFFFF"/>
                <w:sz w:val="20"/>
                <w:szCs w:val="20"/>
              </w:rPr>
            </w:pPr>
            <w:r w:rsidRPr="00524435">
              <w:rPr>
                <w:rFonts w:ascii="Cambria" w:hAnsi="Cambria" w:cs="Calibri"/>
                <w:b/>
                <w:bCs/>
                <w:color w:val="FFFFFF"/>
                <w:sz w:val="20"/>
                <w:szCs w:val="20"/>
              </w:rPr>
              <w:br/>
            </w:r>
            <w:r w:rsidRPr="00524435">
              <w:rPr>
                <w:rFonts w:ascii="Cambria" w:hAnsi="Cambria" w:cs="Calibri"/>
                <w:b/>
                <w:bCs/>
                <w:i/>
                <w:iCs/>
                <w:color w:val="FFFFFF"/>
                <w:sz w:val="20"/>
                <w:szCs w:val="20"/>
              </w:rPr>
              <w:t>Procedural stage</w:t>
            </w:r>
          </w:p>
        </w:tc>
      </w:tr>
      <w:tr w:rsidR="007425A1" w:rsidRPr="00524435" w14:paraId="3F386499" w14:textId="77777777" w:rsidTr="00140E6F">
        <w:trPr>
          <w:trHeight w:val="275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B01D51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5059325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shd w:val="clear" w:color="000000" w:fill="FFFFFF"/>
            <w:vAlign w:val="center"/>
            <w:hideMark/>
          </w:tcPr>
          <w:p w14:paraId="08ED230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 xml:space="preserve">Partial archiving (closing) </w:t>
            </w:r>
            <w:proofErr w:type="gramStart"/>
            <w:r w:rsidRPr="00524435">
              <w:rPr>
                <w:rFonts w:ascii="Cambria" w:hAnsi="Cambria" w:cs="Calibri"/>
                <w:color w:val="000000"/>
                <w:sz w:val="20"/>
                <w:szCs w:val="20"/>
              </w:rPr>
              <w:t>with regard to</w:t>
            </w:r>
            <w:proofErr w:type="gramEnd"/>
            <w:r w:rsidRPr="00524435">
              <w:rPr>
                <w:rFonts w:ascii="Cambria" w:hAnsi="Cambria" w:cs="Calibri"/>
                <w:color w:val="000000"/>
                <w:sz w:val="20"/>
                <w:szCs w:val="20"/>
              </w:rPr>
              <w:t xml:space="preserve"> petitions: 672-00, 378 CA, 99-00, 576-99, 131-01</w:t>
            </w:r>
          </w:p>
        </w:tc>
        <w:tc>
          <w:tcPr>
            <w:tcW w:w="0" w:type="auto"/>
            <w:tcBorders>
              <w:top w:val="nil"/>
              <w:left w:val="nil"/>
              <w:bottom w:val="single" w:sz="4" w:space="0" w:color="auto"/>
              <w:right w:val="single" w:sz="4" w:space="0" w:color="auto"/>
            </w:tcBorders>
            <w:shd w:val="clear" w:color="000000" w:fill="FFFFFF"/>
            <w:vAlign w:val="center"/>
            <w:hideMark/>
          </w:tcPr>
          <w:p w14:paraId="0C657AD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12.926</w:t>
            </w:r>
          </w:p>
        </w:tc>
        <w:tc>
          <w:tcPr>
            <w:tcW w:w="0" w:type="auto"/>
            <w:tcBorders>
              <w:top w:val="nil"/>
              <w:left w:val="nil"/>
              <w:bottom w:val="single" w:sz="4" w:space="0" w:color="auto"/>
              <w:right w:val="single" w:sz="4" w:space="0" w:color="auto"/>
            </w:tcBorders>
            <w:shd w:val="clear" w:color="000000" w:fill="FFFFFF"/>
            <w:vAlign w:val="center"/>
            <w:hideMark/>
          </w:tcPr>
          <w:p w14:paraId="2C2665E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CA</w:t>
            </w:r>
          </w:p>
        </w:tc>
        <w:tc>
          <w:tcPr>
            <w:tcW w:w="0" w:type="auto"/>
            <w:tcBorders>
              <w:top w:val="nil"/>
              <w:left w:val="nil"/>
              <w:bottom w:val="single" w:sz="4" w:space="0" w:color="auto"/>
              <w:right w:val="single" w:sz="4" w:space="0" w:color="auto"/>
            </w:tcBorders>
            <w:shd w:val="clear" w:color="000000" w:fill="FFFFFF"/>
            <w:vAlign w:val="center"/>
            <w:hideMark/>
          </w:tcPr>
          <w:p w14:paraId="581FC939" w14:textId="77777777" w:rsidR="007425A1" w:rsidRPr="003F238D" w:rsidRDefault="007425A1" w:rsidP="004C47D5">
            <w:pPr>
              <w:spacing w:after="0" w:line="240" w:lineRule="auto"/>
              <w:jc w:val="center"/>
              <w:rPr>
                <w:rFonts w:ascii="Cambria" w:hAnsi="Cambria" w:cs="Calibri"/>
                <w:color w:val="000000"/>
                <w:sz w:val="20"/>
                <w:szCs w:val="20"/>
                <w:lang w:val="es-US"/>
              </w:rPr>
            </w:pPr>
            <w:r w:rsidRPr="003F238D">
              <w:rPr>
                <w:rFonts w:ascii="Cambria" w:hAnsi="Cambria" w:cs="Calibri"/>
                <w:color w:val="000000"/>
                <w:sz w:val="20"/>
                <w:szCs w:val="20"/>
                <w:lang w:val="es-US"/>
              </w:rPr>
              <w:t xml:space="preserve">Leandro Héctor </w:t>
            </w:r>
            <w:proofErr w:type="spellStart"/>
            <w:r w:rsidRPr="003F238D">
              <w:rPr>
                <w:rFonts w:ascii="Cambria" w:hAnsi="Cambria" w:cs="Calibri"/>
                <w:color w:val="000000"/>
                <w:sz w:val="20"/>
                <w:szCs w:val="20"/>
                <w:lang w:val="es-US"/>
              </w:rPr>
              <w:t>Parpaglione</w:t>
            </w:r>
            <w:proofErr w:type="spellEnd"/>
            <w:r w:rsidRPr="003F238D">
              <w:rPr>
                <w:rFonts w:ascii="Cambria" w:hAnsi="Cambria" w:cs="Calibri"/>
                <w:color w:val="000000"/>
                <w:sz w:val="20"/>
                <w:szCs w:val="20"/>
                <w:lang w:val="es-US"/>
              </w:rPr>
              <w:t xml:space="preserve"> y otros </w:t>
            </w:r>
            <w:r w:rsidRPr="003F238D">
              <w:rPr>
                <w:rFonts w:ascii="Cambria" w:hAnsi="Cambria" w:cs="Calibri"/>
                <w:color w:val="000000"/>
                <w:sz w:val="20"/>
                <w:szCs w:val="20"/>
                <w:lang w:val="es-US"/>
              </w:rPr>
              <w:br/>
              <w:t>Archivo parcial:</w:t>
            </w:r>
            <w:r w:rsidRPr="003F238D">
              <w:rPr>
                <w:rFonts w:ascii="Cambria" w:hAnsi="Cambria" w:cs="Calibri"/>
                <w:color w:val="000000"/>
                <w:sz w:val="20"/>
                <w:szCs w:val="20"/>
                <w:lang w:val="es-US"/>
              </w:rPr>
              <w:br/>
            </w:r>
            <w:r w:rsidRPr="003F238D">
              <w:rPr>
                <w:rFonts w:ascii="Cambria" w:hAnsi="Cambria" w:cs="Calibri"/>
                <w:color w:val="000000"/>
                <w:sz w:val="20"/>
                <w:szCs w:val="20"/>
                <w:lang w:val="es-US"/>
              </w:rPr>
              <w:br/>
              <w:t xml:space="preserve">P-672-00 - Enrique Luis </w:t>
            </w:r>
            <w:proofErr w:type="spellStart"/>
            <w:r w:rsidRPr="003F238D">
              <w:rPr>
                <w:rFonts w:ascii="Cambria" w:hAnsi="Cambria" w:cs="Calibri"/>
                <w:color w:val="000000"/>
                <w:sz w:val="20"/>
                <w:szCs w:val="20"/>
                <w:lang w:val="es-US"/>
              </w:rPr>
              <w:t>Saccella</w:t>
            </w:r>
            <w:proofErr w:type="spellEnd"/>
            <w:r w:rsidRPr="003F238D">
              <w:rPr>
                <w:rFonts w:ascii="Cambria" w:hAnsi="Cambria" w:cs="Calibri"/>
                <w:color w:val="000000"/>
                <w:sz w:val="20"/>
                <w:szCs w:val="20"/>
                <w:lang w:val="es-US"/>
              </w:rPr>
              <w:br/>
              <w:t>P-378-CA - Marcelo Darío Posadas</w:t>
            </w:r>
            <w:r w:rsidRPr="003F238D">
              <w:rPr>
                <w:rFonts w:ascii="Cambria" w:hAnsi="Cambria" w:cs="Calibri"/>
                <w:color w:val="000000"/>
                <w:sz w:val="20"/>
                <w:szCs w:val="20"/>
                <w:lang w:val="es-US"/>
              </w:rPr>
              <w:br/>
              <w:t xml:space="preserve">P-99-00 - María Alejandra Torres </w:t>
            </w:r>
            <w:r w:rsidRPr="003F238D">
              <w:rPr>
                <w:rFonts w:ascii="Cambria" w:hAnsi="Cambria" w:cs="Calibri"/>
                <w:color w:val="000000"/>
                <w:sz w:val="20"/>
                <w:szCs w:val="20"/>
                <w:lang w:val="es-US"/>
              </w:rPr>
              <w:br/>
              <w:t xml:space="preserve">P-576-99 - María Marta Susana </w:t>
            </w:r>
            <w:proofErr w:type="spellStart"/>
            <w:r w:rsidRPr="003F238D">
              <w:rPr>
                <w:rFonts w:ascii="Cambria" w:hAnsi="Cambria" w:cs="Calibri"/>
                <w:color w:val="000000"/>
                <w:sz w:val="20"/>
                <w:szCs w:val="20"/>
                <w:lang w:val="es-US"/>
              </w:rPr>
              <w:t>Ábalo</w:t>
            </w:r>
            <w:proofErr w:type="spellEnd"/>
            <w:r w:rsidRPr="003F238D">
              <w:rPr>
                <w:rFonts w:ascii="Cambria" w:hAnsi="Cambria" w:cs="Calibri"/>
                <w:color w:val="000000"/>
                <w:sz w:val="20"/>
                <w:szCs w:val="20"/>
                <w:lang w:val="es-US"/>
              </w:rPr>
              <w:t xml:space="preserve"> </w:t>
            </w:r>
            <w:r w:rsidRPr="003F238D">
              <w:rPr>
                <w:rFonts w:ascii="Cambria" w:hAnsi="Cambria" w:cs="Calibri"/>
                <w:color w:val="000000"/>
                <w:sz w:val="20"/>
                <w:szCs w:val="20"/>
                <w:lang w:val="es-US"/>
              </w:rPr>
              <w:br/>
              <w:t xml:space="preserve">P-131-01 - Jaime Amado Burgos   </w:t>
            </w:r>
          </w:p>
        </w:tc>
        <w:tc>
          <w:tcPr>
            <w:tcW w:w="0" w:type="auto"/>
            <w:tcBorders>
              <w:top w:val="nil"/>
              <w:left w:val="nil"/>
              <w:bottom w:val="single" w:sz="4" w:space="0" w:color="auto"/>
              <w:right w:val="single" w:sz="4" w:space="0" w:color="auto"/>
            </w:tcBorders>
            <w:shd w:val="clear" w:color="auto" w:fill="auto"/>
            <w:vAlign w:val="center"/>
            <w:hideMark/>
          </w:tcPr>
          <w:p w14:paraId="5677710A" w14:textId="77777777" w:rsidR="007425A1" w:rsidRPr="00524435" w:rsidRDefault="007425A1" w:rsidP="008B7C11">
            <w:pPr>
              <w:jc w:val="center"/>
              <w:rPr>
                <w:rFonts w:ascii="Cambria" w:hAnsi="Cambria" w:cs="Calibri"/>
                <w:color w:val="000000"/>
                <w:sz w:val="20"/>
                <w:szCs w:val="20"/>
              </w:rPr>
            </w:pPr>
            <w:r w:rsidRPr="003F238D">
              <w:rPr>
                <w:rFonts w:ascii="Cambria" w:hAnsi="Cambria" w:cs="Calibri"/>
                <w:color w:val="000000"/>
                <w:sz w:val="20"/>
                <w:szCs w:val="20"/>
                <w:lang w:val="es-US"/>
              </w:rPr>
              <w:br/>
            </w:r>
            <w:r w:rsidRPr="00524435">
              <w:rPr>
                <w:rFonts w:ascii="Cambria" w:hAnsi="Cambria" w:cs="Calibri"/>
                <w:i/>
                <w:iCs/>
                <w:color w:val="000000"/>
                <w:sz w:val="20"/>
                <w:szCs w:val="20"/>
              </w:rPr>
              <w:t>Merit</w:t>
            </w:r>
          </w:p>
        </w:tc>
      </w:tr>
      <w:tr w:rsidR="007425A1" w:rsidRPr="00524435" w14:paraId="33907DFC"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7824D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292AFF9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shd w:val="clear" w:color="auto" w:fill="auto"/>
            <w:vAlign w:val="center"/>
            <w:hideMark/>
          </w:tcPr>
          <w:p w14:paraId="719CEEE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P-202-01</w:t>
            </w:r>
          </w:p>
        </w:tc>
        <w:tc>
          <w:tcPr>
            <w:tcW w:w="0" w:type="auto"/>
            <w:tcBorders>
              <w:top w:val="nil"/>
              <w:left w:val="nil"/>
              <w:bottom w:val="single" w:sz="4" w:space="0" w:color="auto"/>
              <w:right w:val="single" w:sz="4" w:space="0" w:color="auto"/>
            </w:tcBorders>
            <w:shd w:val="clear" w:color="auto" w:fill="auto"/>
            <w:vAlign w:val="center"/>
            <w:hideMark/>
          </w:tcPr>
          <w:p w14:paraId="2C859E42"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13.359</w:t>
            </w:r>
          </w:p>
        </w:tc>
        <w:tc>
          <w:tcPr>
            <w:tcW w:w="0" w:type="auto"/>
            <w:tcBorders>
              <w:top w:val="nil"/>
              <w:left w:val="nil"/>
              <w:bottom w:val="single" w:sz="4" w:space="0" w:color="auto"/>
              <w:right w:val="single" w:sz="4" w:space="0" w:color="auto"/>
            </w:tcBorders>
            <w:shd w:val="clear" w:color="auto" w:fill="auto"/>
            <w:vAlign w:val="center"/>
            <w:hideMark/>
          </w:tcPr>
          <w:p w14:paraId="1D15268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4F7355F1"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Amado Alejandro </w:t>
            </w:r>
            <w:proofErr w:type="spellStart"/>
            <w:r w:rsidRPr="00524435">
              <w:rPr>
                <w:rFonts w:ascii="Cambria" w:hAnsi="Cambria" w:cs="Calibri"/>
                <w:color w:val="000000"/>
                <w:sz w:val="20"/>
                <w:szCs w:val="20"/>
              </w:rPr>
              <w:t>Vecchi</w:t>
            </w:r>
            <w:proofErr w:type="spellEnd"/>
            <w:r w:rsidRPr="00524435">
              <w:rPr>
                <w:rFonts w:ascii="Cambria" w:hAnsi="Cambria" w:cs="Calibr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16B4DD0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2F6EE2FB"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3DEC9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67AB021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shd w:val="clear" w:color="auto" w:fill="auto"/>
            <w:vAlign w:val="center"/>
            <w:hideMark/>
          </w:tcPr>
          <w:p w14:paraId="267D5D3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P-4476-02</w:t>
            </w:r>
          </w:p>
        </w:tc>
        <w:tc>
          <w:tcPr>
            <w:tcW w:w="0" w:type="auto"/>
            <w:tcBorders>
              <w:top w:val="nil"/>
              <w:left w:val="nil"/>
              <w:bottom w:val="single" w:sz="4" w:space="0" w:color="auto"/>
              <w:right w:val="single" w:sz="4" w:space="0" w:color="auto"/>
            </w:tcBorders>
            <w:shd w:val="clear" w:color="auto" w:fill="auto"/>
            <w:vAlign w:val="center"/>
            <w:hideMark/>
          </w:tcPr>
          <w:p w14:paraId="326DEDC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13.065</w:t>
            </w:r>
          </w:p>
        </w:tc>
        <w:tc>
          <w:tcPr>
            <w:tcW w:w="0" w:type="auto"/>
            <w:tcBorders>
              <w:top w:val="nil"/>
              <w:left w:val="nil"/>
              <w:bottom w:val="single" w:sz="4" w:space="0" w:color="auto"/>
              <w:right w:val="single" w:sz="4" w:space="0" w:color="auto"/>
            </w:tcBorders>
            <w:shd w:val="clear" w:color="auto" w:fill="auto"/>
            <w:vAlign w:val="center"/>
            <w:hideMark/>
          </w:tcPr>
          <w:p w14:paraId="3E47F39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6958AAD7"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Beatriz Leticia </w:t>
            </w:r>
            <w:proofErr w:type="spellStart"/>
            <w:r w:rsidRPr="00524435">
              <w:rPr>
                <w:rFonts w:ascii="Cambria" w:hAnsi="Cambria" w:cs="Calibri"/>
                <w:color w:val="000000"/>
                <w:sz w:val="20"/>
                <w:szCs w:val="20"/>
              </w:rPr>
              <w:t>Basoalto</w:t>
            </w:r>
            <w:proofErr w:type="spellEnd"/>
            <w:r w:rsidRPr="00524435">
              <w:rPr>
                <w:rFonts w:ascii="Cambria" w:hAnsi="Cambria" w:cs="Calibr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99EE2C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5D69A80B" w14:textId="77777777" w:rsidTr="008B7C11">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C06863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lastRenderedPageBreak/>
              <w:t>4</w:t>
            </w:r>
          </w:p>
        </w:tc>
        <w:tc>
          <w:tcPr>
            <w:tcW w:w="0" w:type="auto"/>
            <w:tcBorders>
              <w:top w:val="nil"/>
              <w:left w:val="nil"/>
              <w:bottom w:val="single" w:sz="4" w:space="0" w:color="auto"/>
              <w:right w:val="single" w:sz="4" w:space="0" w:color="auto"/>
            </w:tcBorders>
            <w:shd w:val="clear" w:color="auto" w:fill="auto"/>
            <w:vAlign w:val="center"/>
            <w:hideMark/>
          </w:tcPr>
          <w:p w14:paraId="3158777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shd w:val="clear" w:color="auto" w:fill="auto"/>
            <w:vAlign w:val="center"/>
            <w:hideMark/>
          </w:tcPr>
          <w:p w14:paraId="29EC485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P-208-04</w:t>
            </w:r>
          </w:p>
        </w:tc>
        <w:tc>
          <w:tcPr>
            <w:tcW w:w="0" w:type="auto"/>
            <w:tcBorders>
              <w:top w:val="nil"/>
              <w:left w:val="nil"/>
              <w:bottom w:val="single" w:sz="4" w:space="0" w:color="auto"/>
              <w:right w:val="single" w:sz="4" w:space="0" w:color="auto"/>
            </w:tcBorders>
            <w:shd w:val="clear" w:color="auto" w:fill="auto"/>
            <w:vAlign w:val="center"/>
            <w:hideMark/>
          </w:tcPr>
          <w:p w14:paraId="689FA38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13.446</w:t>
            </w:r>
          </w:p>
        </w:tc>
        <w:tc>
          <w:tcPr>
            <w:tcW w:w="0" w:type="auto"/>
            <w:tcBorders>
              <w:top w:val="nil"/>
              <w:left w:val="nil"/>
              <w:bottom w:val="single" w:sz="4" w:space="0" w:color="auto"/>
              <w:right w:val="single" w:sz="4" w:space="0" w:color="auto"/>
            </w:tcBorders>
            <w:shd w:val="clear" w:color="auto" w:fill="auto"/>
            <w:vAlign w:val="center"/>
            <w:hideMark/>
          </w:tcPr>
          <w:p w14:paraId="4F50F976"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707EFD07"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Fernando Daniel </w:t>
            </w:r>
            <w:proofErr w:type="spellStart"/>
            <w:r w:rsidRPr="00524435">
              <w:rPr>
                <w:rFonts w:ascii="Cambria" w:hAnsi="Cambria" w:cs="Calibri"/>
                <w:color w:val="000000"/>
                <w:sz w:val="20"/>
                <w:szCs w:val="20"/>
              </w:rPr>
              <w:t>Giraldi</w:t>
            </w:r>
            <w:proofErr w:type="spellEnd"/>
            <w:r w:rsidRPr="00524435">
              <w:rPr>
                <w:rFonts w:ascii="Cambria" w:hAnsi="Cambria" w:cs="Calibr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2BDFB9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4992EDD1"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60A62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4BD41A0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shd w:val="clear" w:color="auto" w:fill="auto"/>
            <w:vAlign w:val="center"/>
            <w:hideMark/>
          </w:tcPr>
          <w:p w14:paraId="22F7B79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P-1062-06</w:t>
            </w:r>
          </w:p>
        </w:tc>
        <w:tc>
          <w:tcPr>
            <w:tcW w:w="0" w:type="auto"/>
            <w:tcBorders>
              <w:top w:val="nil"/>
              <w:left w:val="nil"/>
              <w:bottom w:val="single" w:sz="4" w:space="0" w:color="auto"/>
              <w:right w:val="single" w:sz="4" w:space="0" w:color="auto"/>
            </w:tcBorders>
            <w:shd w:val="clear" w:color="auto" w:fill="auto"/>
            <w:vAlign w:val="center"/>
            <w:hideMark/>
          </w:tcPr>
          <w:p w14:paraId="144BF4E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13.568</w:t>
            </w:r>
          </w:p>
        </w:tc>
        <w:tc>
          <w:tcPr>
            <w:tcW w:w="0" w:type="auto"/>
            <w:tcBorders>
              <w:top w:val="nil"/>
              <w:left w:val="nil"/>
              <w:bottom w:val="single" w:sz="4" w:space="0" w:color="auto"/>
              <w:right w:val="single" w:sz="4" w:space="0" w:color="auto"/>
            </w:tcBorders>
            <w:shd w:val="clear" w:color="auto" w:fill="auto"/>
            <w:vAlign w:val="center"/>
            <w:hideMark/>
          </w:tcPr>
          <w:p w14:paraId="40FF06D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12B6B73C" w14:textId="77777777" w:rsidR="007425A1" w:rsidRPr="007A5442" w:rsidRDefault="007425A1" w:rsidP="008B7C11">
            <w:pPr>
              <w:rPr>
                <w:rFonts w:ascii="Cambria" w:hAnsi="Cambria" w:cs="Calibri"/>
                <w:color w:val="000000"/>
                <w:sz w:val="20"/>
                <w:szCs w:val="20"/>
                <w:lang w:val="pt-PT"/>
              </w:rPr>
            </w:pPr>
            <w:r w:rsidRPr="007A5442">
              <w:rPr>
                <w:rFonts w:ascii="Cambria" w:hAnsi="Cambria" w:cs="Calibri"/>
                <w:color w:val="000000"/>
                <w:sz w:val="20"/>
                <w:szCs w:val="20"/>
                <w:lang w:val="pt-PT"/>
              </w:rPr>
              <w:t>A. A. P., Cristina Beatriz Mamani.</w:t>
            </w:r>
          </w:p>
        </w:tc>
        <w:tc>
          <w:tcPr>
            <w:tcW w:w="0" w:type="auto"/>
            <w:tcBorders>
              <w:top w:val="nil"/>
              <w:left w:val="nil"/>
              <w:bottom w:val="single" w:sz="4" w:space="0" w:color="auto"/>
              <w:right w:val="single" w:sz="4" w:space="0" w:color="auto"/>
            </w:tcBorders>
            <w:shd w:val="clear" w:color="auto" w:fill="auto"/>
            <w:vAlign w:val="center"/>
            <w:hideMark/>
          </w:tcPr>
          <w:p w14:paraId="06A02AB4" w14:textId="77777777" w:rsidR="007425A1" w:rsidRPr="00524435" w:rsidRDefault="007425A1" w:rsidP="008B7C11">
            <w:pPr>
              <w:jc w:val="center"/>
              <w:rPr>
                <w:rFonts w:ascii="Cambria" w:hAnsi="Cambria" w:cs="Calibri"/>
                <w:color w:val="000000"/>
                <w:sz w:val="20"/>
                <w:szCs w:val="20"/>
              </w:rPr>
            </w:pPr>
            <w:r w:rsidRPr="007A5442">
              <w:rPr>
                <w:rFonts w:ascii="Cambria" w:hAnsi="Cambria" w:cs="Calibri"/>
                <w:color w:val="000000"/>
                <w:sz w:val="20"/>
                <w:szCs w:val="20"/>
                <w:lang w:val="pt-PT"/>
              </w:rPr>
              <w:br/>
            </w:r>
            <w:r w:rsidRPr="00524435">
              <w:rPr>
                <w:rFonts w:ascii="Cambria" w:hAnsi="Cambria" w:cs="Calibri"/>
                <w:i/>
                <w:iCs/>
                <w:color w:val="000000"/>
                <w:sz w:val="20"/>
                <w:szCs w:val="20"/>
              </w:rPr>
              <w:t>Merit</w:t>
            </w:r>
          </w:p>
        </w:tc>
      </w:tr>
      <w:tr w:rsidR="007425A1" w:rsidRPr="00524435" w14:paraId="4517BCDF"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BA4E22"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1A5434B6"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shd w:val="clear" w:color="auto" w:fill="auto"/>
            <w:vAlign w:val="center"/>
            <w:hideMark/>
          </w:tcPr>
          <w:p w14:paraId="2B76F31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P-1415-06</w:t>
            </w:r>
          </w:p>
        </w:tc>
        <w:tc>
          <w:tcPr>
            <w:tcW w:w="0" w:type="auto"/>
            <w:tcBorders>
              <w:top w:val="nil"/>
              <w:left w:val="nil"/>
              <w:bottom w:val="single" w:sz="4" w:space="0" w:color="auto"/>
              <w:right w:val="single" w:sz="4" w:space="0" w:color="auto"/>
            </w:tcBorders>
            <w:shd w:val="clear" w:color="auto" w:fill="auto"/>
            <w:vAlign w:val="center"/>
            <w:hideMark/>
          </w:tcPr>
          <w:p w14:paraId="0D58DCC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13.762</w:t>
            </w:r>
          </w:p>
        </w:tc>
        <w:tc>
          <w:tcPr>
            <w:tcW w:w="0" w:type="auto"/>
            <w:tcBorders>
              <w:top w:val="nil"/>
              <w:left w:val="nil"/>
              <w:bottom w:val="single" w:sz="4" w:space="0" w:color="auto"/>
              <w:right w:val="single" w:sz="4" w:space="0" w:color="auto"/>
            </w:tcBorders>
            <w:shd w:val="clear" w:color="auto" w:fill="auto"/>
            <w:vAlign w:val="center"/>
            <w:hideMark/>
          </w:tcPr>
          <w:p w14:paraId="251A77D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037439C4" w14:textId="77777777" w:rsidR="007425A1" w:rsidRPr="00DF0CD0" w:rsidRDefault="007425A1" w:rsidP="008B7C11">
            <w:pPr>
              <w:rPr>
                <w:rFonts w:ascii="Cambria" w:hAnsi="Cambria" w:cs="Calibri"/>
                <w:color w:val="000000"/>
                <w:sz w:val="20"/>
                <w:szCs w:val="20"/>
                <w:lang w:val="fr-CA"/>
              </w:rPr>
            </w:pPr>
            <w:r w:rsidRPr="00DF0CD0">
              <w:rPr>
                <w:rFonts w:ascii="Cambria" w:hAnsi="Cambria" w:cs="Calibri"/>
                <w:color w:val="000000"/>
                <w:sz w:val="20"/>
                <w:szCs w:val="20"/>
                <w:lang w:val="fr-CA"/>
              </w:rPr>
              <w:t xml:space="preserve">Yamil Aaron Saunders </w:t>
            </w:r>
            <w:proofErr w:type="spellStart"/>
            <w:r w:rsidRPr="00DF0CD0">
              <w:rPr>
                <w:rFonts w:ascii="Cambria" w:hAnsi="Cambria" w:cs="Calibri"/>
                <w:color w:val="000000"/>
                <w:sz w:val="20"/>
                <w:szCs w:val="20"/>
                <w:lang w:val="fr-CA"/>
              </w:rPr>
              <w:t>Comaschi</w:t>
            </w:r>
            <w:proofErr w:type="spellEnd"/>
            <w:r w:rsidRPr="00DF0CD0">
              <w:rPr>
                <w:rFonts w:ascii="Cambria" w:hAnsi="Cambria" w:cs="Calibri"/>
                <w:color w:val="000000"/>
                <w:sz w:val="20"/>
                <w:szCs w:val="20"/>
                <w:lang w:val="fr-CA"/>
              </w:rPr>
              <w:t xml:space="preserve"> et al.</w:t>
            </w:r>
          </w:p>
        </w:tc>
        <w:tc>
          <w:tcPr>
            <w:tcW w:w="0" w:type="auto"/>
            <w:tcBorders>
              <w:top w:val="nil"/>
              <w:left w:val="nil"/>
              <w:bottom w:val="single" w:sz="4" w:space="0" w:color="auto"/>
              <w:right w:val="single" w:sz="4" w:space="0" w:color="auto"/>
            </w:tcBorders>
            <w:shd w:val="clear" w:color="auto" w:fill="auto"/>
            <w:vAlign w:val="center"/>
            <w:hideMark/>
          </w:tcPr>
          <w:p w14:paraId="1CD8D2B2" w14:textId="77777777" w:rsidR="007425A1" w:rsidRPr="00524435" w:rsidRDefault="007425A1" w:rsidP="008B7C11">
            <w:pPr>
              <w:jc w:val="center"/>
              <w:rPr>
                <w:rFonts w:ascii="Cambria" w:hAnsi="Cambria" w:cs="Calibri"/>
                <w:color w:val="000000"/>
                <w:sz w:val="20"/>
                <w:szCs w:val="20"/>
              </w:rPr>
            </w:pPr>
            <w:r w:rsidRPr="00DF0CD0">
              <w:rPr>
                <w:rFonts w:ascii="Cambria" w:hAnsi="Cambria" w:cs="Calibri"/>
                <w:color w:val="000000"/>
                <w:sz w:val="20"/>
                <w:szCs w:val="20"/>
                <w:lang w:val="fr-CA"/>
              </w:rPr>
              <w:br/>
            </w:r>
            <w:r w:rsidRPr="00524435">
              <w:rPr>
                <w:rFonts w:ascii="Cambria" w:hAnsi="Cambria" w:cs="Calibri"/>
                <w:i/>
                <w:iCs/>
                <w:color w:val="000000"/>
                <w:sz w:val="20"/>
                <w:szCs w:val="20"/>
              </w:rPr>
              <w:t>Merit</w:t>
            </w:r>
          </w:p>
        </w:tc>
      </w:tr>
      <w:tr w:rsidR="007425A1" w:rsidRPr="00524435" w14:paraId="26B78EAC" w14:textId="77777777" w:rsidTr="008B7C11">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AB5986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63A51FC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shd w:val="clear" w:color="auto" w:fill="auto"/>
            <w:vAlign w:val="center"/>
            <w:hideMark/>
          </w:tcPr>
          <w:p w14:paraId="50C200F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P-656-08</w:t>
            </w:r>
          </w:p>
        </w:tc>
        <w:tc>
          <w:tcPr>
            <w:tcW w:w="0" w:type="auto"/>
            <w:tcBorders>
              <w:top w:val="nil"/>
              <w:left w:val="nil"/>
              <w:bottom w:val="single" w:sz="4" w:space="0" w:color="auto"/>
              <w:right w:val="single" w:sz="4" w:space="0" w:color="auto"/>
            </w:tcBorders>
            <w:shd w:val="clear" w:color="auto" w:fill="auto"/>
            <w:vAlign w:val="center"/>
            <w:hideMark/>
          </w:tcPr>
          <w:p w14:paraId="3DAD0456"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13.542</w:t>
            </w:r>
          </w:p>
        </w:tc>
        <w:tc>
          <w:tcPr>
            <w:tcW w:w="0" w:type="auto"/>
            <w:tcBorders>
              <w:top w:val="nil"/>
              <w:left w:val="nil"/>
              <w:bottom w:val="single" w:sz="4" w:space="0" w:color="auto"/>
              <w:right w:val="single" w:sz="4" w:space="0" w:color="auto"/>
            </w:tcBorders>
            <w:shd w:val="clear" w:color="auto" w:fill="auto"/>
            <w:vAlign w:val="center"/>
            <w:hideMark/>
          </w:tcPr>
          <w:p w14:paraId="318C3EF2"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6C578C60"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Emilio </w:t>
            </w:r>
            <w:proofErr w:type="spellStart"/>
            <w:r w:rsidRPr="00524435">
              <w:rPr>
                <w:rFonts w:ascii="Cambria" w:hAnsi="Cambria" w:cs="Calibri"/>
                <w:color w:val="000000"/>
                <w:sz w:val="20"/>
                <w:szCs w:val="20"/>
              </w:rPr>
              <w:t>Peón</w:t>
            </w:r>
            <w:proofErr w:type="spellEnd"/>
            <w:r w:rsidRPr="00524435">
              <w:rPr>
                <w:rFonts w:ascii="Cambria" w:hAnsi="Cambria" w:cs="Calibri"/>
                <w:color w:val="000000"/>
                <w:sz w:val="20"/>
                <w:szCs w:val="20"/>
              </w:rPr>
              <w:t xml:space="preserve"> and family.</w:t>
            </w:r>
          </w:p>
        </w:tc>
        <w:tc>
          <w:tcPr>
            <w:tcW w:w="0" w:type="auto"/>
            <w:tcBorders>
              <w:top w:val="nil"/>
              <w:left w:val="nil"/>
              <w:bottom w:val="single" w:sz="4" w:space="0" w:color="auto"/>
              <w:right w:val="single" w:sz="4" w:space="0" w:color="auto"/>
            </w:tcBorders>
            <w:shd w:val="clear" w:color="auto" w:fill="auto"/>
            <w:vAlign w:val="center"/>
            <w:hideMark/>
          </w:tcPr>
          <w:p w14:paraId="75B11D22"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749F2C69" w14:textId="77777777" w:rsidTr="008B7C11">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AE936E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0FECDEC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shd w:val="clear" w:color="auto" w:fill="auto"/>
            <w:vAlign w:val="center"/>
            <w:hideMark/>
          </w:tcPr>
          <w:p w14:paraId="0D2BCA52"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P-270-11</w:t>
            </w:r>
          </w:p>
        </w:tc>
        <w:tc>
          <w:tcPr>
            <w:tcW w:w="0" w:type="auto"/>
            <w:tcBorders>
              <w:top w:val="nil"/>
              <w:left w:val="nil"/>
              <w:bottom w:val="single" w:sz="4" w:space="0" w:color="auto"/>
              <w:right w:val="single" w:sz="4" w:space="0" w:color="auto"/>
            </w:tcBorders>
            <w:shd w:val="clear" w:color="auto" w:fill="auto"/>
            <w:vAlign w:val="center"/>
            <w:hideMark/>
          </w:tcPr>
          <w:p w14:paraId="63FD649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14.034</w:t>
            </w:r>
          </w:p>
        </w:tc>
        <w:tc>
          <w:tcPr>
            <w:tcW w:w="0" w:type="auto"/>
            <w:tcBorders>
              <w:top w:val="nil"/>
              <w:left w:val="nil"/>
              <w:bottom w:val="single" w:sz="4" w:space="0" w:color="auto"/>
              <w:right w:val="single" w:sz="4" w:space="0" w:color="auto"/>
            </w:tcBorders>
            <w:shd w:val="clear" w:color="auto" w:fill="auto"/>
            <w:vAlign w:val="center"/>
            <w:hideMark/>
          </w:tcPr>
          <w:p w14:paraId="0B089C32"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645CEB80"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Mateo Amelia Griselda.</w:t>
            </w:r>
          </w:p>
        </w:tc>
        <w:tc>
          <w:tcPr>
            <w:tcW w:w="0" w:type="auto"/>
            <w:tcBorders>
              <w:top w:val="nil"/>
              <w:left w:val="nil"/>
              <w:bottom w:val="single" w:sz="4" w:space="0" w:color="auto"/>
              <w:right w:val="single" w:sz="4" w:space="0" w:color="auto"/>
            </w:tcBorders>
            <w:shd w:val="clear" w:color="auto" w:fill="auto"/>
            <w:vAlign w:val="center"/>
            <w:hideMark/>
          </w:tcPr>
          <w:p w14:paraId="5BC3765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51ACF164" w14:textId="77777777" w:rsidTr="008B7C11">
        <w:trPr>
          <w:trHeight w:val="9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977A55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14:paraId="1E0DE0E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shd w:val="clear" w:color="auto" w:fill="auto"/>
            <w:vAlign w:val="center"/>
            <w:hideMark/>
          </w:tcPr>
          <w:p w14:paraId="157ACF66"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P-1172-13</w:t>
            </w:r>
          </w:p>
        </w:tc>
        <w:tc>
          <w:tcPr>
            <w:tcW w:w="0" w:type="auto"/>
            <w:tcBorders>
              <w:top w:val="nil"/>
              <w:left w:val="nil"/>
              <w:bottom w:val="single" w:sz="4" w:space="0" w:color="auto"/>
              <w:right w:val="single" w:sz="4" w:space="0" w:color="auto"/>
            </w:tcBorders>
            <w:shd w:val="clear" w:color="auto" w:fill="auto"/>
            <w:vAlign w:val="center"/>
            <w:hideMark/>
          </w:tcPr>
          <w:p w14:paraId="237333B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13.830</w:t>
            </w:r>
          </w:p>
        </w:tc>
        <w:tc>
          <w:tcPr>
            <w:tcW w:w="0" w:type="auto"/>
            <w:tcBorders>
              <w:top w:val="nil"/>
              <w:left w:val="nil"/>
              <w:bottom w:val="single" w:sz="4" w:space="0" w:color="auto"/>
              <w:right w:val="single" w:sz="4" w:space="0" w:color="auto"/>
            </w:tcBorders>
            <w:shd w:val="clear" w:color="auto" w:fill="auto"/>
            <w:vAlign w:val="center"/>
            <w:hideMark/>
          </w:tcPr>
          <w:p w14:paraId="15943ED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733B7088" w14:textId="77777777" w:rsidR="007425A1" w:rsidRPr="003F238D" w:rsidRDefault="007425A1" w:rsidP="008B7C11">
            <w:pPr>
              <w:rPr>
                <w:rFonts w:ascii="Cambria" w:hAnsi="Cambria" w:cs="Calibri"/>
                <w:color w:val="000000"/>
                <w:sz w:val="20"/>
                <w:szCs w:val="20"/>
                <w:lang w:val="es-US"/>
              </w:rPr>
            </w:pPr>
            <w:r w:rsidRPr="003F238D">
              <w:rPr>
                <w:rFonts w:ascii="Cambria" w:hAnsi="Cambria" w:cs="Calibri"/>
                <w:color w:val="000000"/>
                <w:sz w:val="20"/>
                <w:szCs w:val="20"/>
                <w:lang w:val="es-US"/>
              </w:rPr>
              <w:t xml:space="preserve">María Elena Segurola, Raúl </w:t>
            </w:r>
            <w:proofErr w:type="spellStart"/>
            <w:proofErr w:type="gramStart"/>
            <w:r w:rsidRPr="003F238D">
              <w:rPr>
                <w:rFonts w:ascii="Cambria" w:hAnsi="Cambria" w:cs="Calibri"/>
                <w:color w:val="000000"/>
                <w:sz w:val="20"/>
                <w:szCs w:val="20"/>
                <w:lang w:val="es-US"/>
              </w:rPr>
              <w:t>Bettiga</w:t>
            </w:r>
            <w:proofErr w:type="spellEnd"/>
            <w:r w:rsidRPr="003F238D">
              <w:rPr>
                <w:rFonts w:ascii="Cambria" w:hAnsi="Cambria" w:cs="Calibri"/>
                <w:color w:val="000000"/>
                <w:sz w:val="20"/>
                <w:szCs w:val="20"/>
                <w:lang w:val="es-US"/>
              </w:rPr>
              <w:t xml:space="preserve"> ,</w:t>
            </w:r>
            <w:proofErr w:type="gramEnd"/>
            <w:r w:rsidRPr="003F238D">
              <w:rPr>
                <w:rFonts w:ascii="Cambria" w:hAnsi="Cambria" w:cs="Calibri"/>
                <w:color w:val="000000"/>
                <w:sz w:val="20"/>
                <w:szCs w:val="20"/>
                <w:lang w:val="es-US"/>
              </w:rPr>
              <w:t xml:space="preserve"> José Luis </w:t>
            </w:r>
            <w:proofErr w:type="spellStart"/>
            <w:r w:rsidRPr="003F238D">
              <w:rPr>
                <w:rFonts w:ascii="Cambria" w:hAnsi="Cambria" w:cs="Calibri"/>
                <w:color w:val="000000"/>
                <w:sz w:val="20"/>
                <w:szCs w:val="20"/>
                <w:lang w:val="es-US"/>
              </w:rPr>
              <w:t>Bettiga</w:t>
            </w:r>
            <w:proofErr w:type="spellEnd"/>
            <w:r w:rsidRPr="003F238D">
              <w:rPr>
                <w:rFonts w:ascii="Cambria" w:hAnsi="Cambria" w:cs="Calibri"/>
                <w:color w:val="000000"/>
                <w:sz w:val="20"/>
                <w:szCs w:val="20"/>
                <w:lang w:val="es-US"/>
              </w:rPr>
              <w:t xml:space="preserve"> , Alicia Candia.</w:t>
            </w:r>
          </w:p>
        </w:tc>
        <w:tc>
          <w:tcPr>
            <w:tcW w:w="0" w:type="auto"/>
            <w:tcBorders>
              <w:top w:val="nil"/>
              <w:left w:val="nil"/>
              <w:bottom w:val="single" w:sz="4" w:space="0" w:color="auto"/>
              <w:right w:val="single" w:sz="4" w:space="0" w:color="auto"/>
            </w:tcBorders>
            <w:shd w:val="clear" w:color="auto" w:fill="auto"/>
            <w:vAlign w:val="center"/>
            <w:hideMark/>
          </w:tcPr>
          <w:p w14:paraId="4A58F49C" w14:textId="77777777" w:rsidR="007425A1" w:rsidRPr="00524435" w:rsidRDefault="007425A1" w:rsidP="008B7C11">
            <w:pPr>
              <w:jc w:val="center"/>
              <w:rPr>
                <w:rFonts w:ascii="Cambria" w:hAnsi="Cambria" w:cs="Calibri"/>
                <w:color w:val="000000"/>
                <w:sz w:val="20"/>
                <w:szCs w:val="20"/>
              </w:rPr>
            </w:pPr>
            <w:r w:rsidRPr="003F238D">
              <w:rPr>
                <w:rFonts w:ascii="Cambria" w:hAnsi="Cambria" w:cs="Calibri"/>
                <w:color w:val="000000"/>
                <w:sz w:val="20"/>
                <w:szCs w:val="20"/>
                <w:lang w:val="es-US"/>
              </w:rPr>
              <w:br/>
            </w:r>
            <w:r w:rsidRPr="00524435">
              <w:rPr>
                <w:rFonts w:ascii="Cambria" w:hAnsi="Cambria" w:cs="Calibri"/>
                <w:i/>
                <w:iCs/>
                <w:color w:val="000000"/>
                <w:sz w:val="20"/>
                <w:szCs w:val="20"/>
              </w:rPr>
              <w:t>Merit</w:t>
            </w:r>
          </w:p>
        </w:tc>
      </w:tr>
      <w:tr w:rsidR="007425A1" w:rsidRPr="00524435" w14:paraId="23E4B4C6" w14:textId="77777777" w:rsidTr="008B7C1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B578A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29</w:t>
            </w:r>
          </w:p>
        </w:tc>
        <w:tc>
          <w:tcPr>
            <w:tcW w:w="0" w:type="auto"/>
            <w:tcBorders>
              <w:top w:val="nil"/>
              <w:left w:val="nil"/>
              <w:bottom w:val="single" w:sz="4" w:space="0" w:color="auto"/>
              <w:right w:val="single" w:sz="4" w:space="0" w:color="auto"/>
            </w:tcBorders>
            <w:shd w:val="clear" w:color="auto" w:fill="auto"/>
            <w:vAlign w:val="center"/>
            <w:hideMark/>
          </w:tcPr>
          <w:p w14:paraId="36E3352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shd w:val="clear" w:color="auto" w:fill="auto"/>
            <w:vAlign w:val="center"/>
            <w:hideMark/>
          </w:tcPr>
          <w:p w14:paraId="457BDF5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P-365-CA</w:t>
            </w:r>
            <w:r w:rsidRPr="00524435">
              <w:rPr>
                <w:rFonts w:ascii="Cambria" w:hAnsi="Cambria" w:cs="Calibri"/>
                <w:color w:val="000000"/>
                <w:sz w:val="20"/>
                <w:szCs w:val="20"/>
              </w:rPr>
              <w:br/>
              <w:t>(Partial withdrawal)</w:t>
            </w:r>
          </w:p>
        </w:tc>
        <w:tc>
          <w:tcPr>
            <w:tcW w:w="0" w:type="auto"/>
            <w:tcBorders>
              <w:top w:val="nil"/>
              <w:left w:val="nil"/>
              <w:bottom w:val="single" w:sz="4" w:space="0" w:color="auto"/>
              <w:right w:val="single" w:sz="4" w:space="0" w:color="auto"/>
            </w:tcBorders>
            <w:shd w:val="clear" w:color="auto" w:fill="auto"/>
            <w:vAlign w:val="center"/>
            <w:hideMark/>
          </w:tcPr>
          <w:p w14:paraId="3C338D8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12.128</w:t>
            </w:r>
          </w:p>
        </w:tc>
        <w:tc>
          <w:tcPr>
            <w:tcW w:w="0" w:type="auto"/>
            <w:tcBorders>
              <w:top w:val="nil"/>
              <w:left w:val="nil"/>
              <w:bottom w:val="single" w:sz="4" w:space="0" w:color="auto"/>
              <w:right w:val="single" w:sz="4" w:space="0" w:color="auto"/>
            </w:tcBorders>
            <w:shd w:val="clear" w:color="auto" w:fill="auto"/>
            <w:vAlign w:val="center"/>
            <w:hideMark/>
          </w:tcPr>
          <w:p w14:paraId="20C86E99"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99</w:t>
            </w:r>
          </w:p>
        </w:tc>
        <w:tc>
          <w:tcPr>
            <w:tcW w:w="0" w:type="auto"/>
            <w:tcBorders>
              <w:top w:val="nil"/>
              <w:left w:val="nil"/>
              <w:bottom w:val="single" w:sz="4" w:space="0" w:color="auto"/>
              <w:right w:val="single" w:sz="4" w:space="0" w:color="auto"/>
            </w:tcBorders>
            <w:shd w:val="clear" w:color="auto" w:fill="auto"/>
            <w:vAlign w:val="center"/>
            <w:hideMark/>
          </w:tcPr>
          <w:p w14:paraId="4447AA2A"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Horacio </w:t>
            </w:r>
            <w:proofErr w:type="spellStart"/>
            <w:r w:rsidRPr="00524435">
              <w:rPr>
                <w:rFonts w:ascii="Cambria" w:hAnsi="Cambria" w:cs="Calibri"/>
                <w:color w:val="000000"/>
                <w:sz w:val="20"/>
                <w:szCs w:val="20"/>
              </w:rPr>
              <w:t>Verbitsky</w:t>
            </w:r>
            <w:proofErr w:type="spellEnd"/>
            <w:r w:rsidRPr="00524435">
              <w:rPr>
                <w:rFonts w:ascii="Cambria" w:hAnsi="Cambria" w:cs="Calibri"/>
                <w:color w:val="000000"/>
                <w:sz w:val="20"/>
                <w:szCs w:val="20"/>
              </w:rPr>
              <w:t xml:space="preserve"> and Tomás Sanz </w:t>
            </w:r>
            <w:r w:rsidRPr="00524435">
              <w:rPr>
                <w:rFonts w:ascii="Cambria" w:hAnsi="Cambria" w:cs="Calibri"/>
                <w:color w:val="000000"/>
                <w:sz w:val="20"/>
                <w:szCs w:val="20"/>
              </w:rPr>
              <w:br/>
              <w:t>(Partial withdrawal)</w:t>
            </w:r>
          </w:p>
        </w:tc>
        <w:tc>
          <w:tcPr>
            <w:tcW w:w="0" w:type="auto"/>
            <w:tcBorders>
              <w:top w:val="nil"/>
              <w:left w:val="nil"/>
              <w:bottom w:val="single" w:sz="4" w:space="0" w:color="auto"/>
              <w:right w:val="single" w:sz="4" w:space="0" w:color="auto"/>
            </w:tcBorders>
            <w:shd w:val="clear" w:color="auto" w:fill="auto"/>
            <w:vAlign w:val="center"/>
            <w:hideMark/>
          </w:tcPr>
          <w:p w14:paraId="0C57EB2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4871258E"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F7CA9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30</w:t>
            </w:r>
          </w:p>
        </w:tc>
        <w:tc>
          <w:tcPr>
            <w:tcW w:w="0" w:type="auto"/>
            <w:tcBorders>
              <w:top w:val="nil"/>
              <w:left w:val="nil"/>
              <w:bottom w:val="single" w:sz="4" w:space="0" w:color="auto"/>
              <w:right w:val="single" w:sz="4" w:space="0" w:color="auto"/>
            </w:tcBorders>
            <w:shd w:val="clear" w:color="auto" w:fill="auto"/>
            <w:vAlign w:val="center"/>
            <w:hideMark/>
          </w:tcPr>
          <w:p w14:paraId="1824320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shd w:val="clear" w:color="auto" w:fill="auto"/>
            <w:vAlign w:val="center"/>
            <w:hideMark/>
          </w:tcPr>
          <w:p w14:paraId="3FA0770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P-399-99</w:t>
            </w:r>
          </w:p>
        </w:tc>
        <w:tc>
          <w:tcPr>
            <w:tcW w:w="0" w:type="auto"/>
            <w:tcBorders>
              <w:top w:val="nil"/>
              <w:left w:val="nil"/>
              <w:bottom w:val="single" w:sz="4" w:space="0" w:color="auto"/>
              <w:right w:val="single" w:sz="4" w:space="0" w:color="auto"/>
            </w:tcBorders>
            <w:shd w:val="clear" w:color="auto" w:fill="auto"/>
            <w:vAlign w:val="center"/>
            <w:hideMark/>
          </w:tcPr>
          <w:p w14:paraId="0A03601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12.630</w:t>
            </w:r>
          </w:p>
        </w:tc>
        <w:tc>
          <w:tcPr>
            <w:tcW w:w="0" w:type="auto"/>
            <w:tcBorders>
              <w:top w:val="nil"/>
              <w:left w:val="nil"/>
              <w:bottom w:val="single" w:sz="4" w:space="0" w:color="auto"/>
              <w:right w:val="single" w:sz="4" w:space="0" w:color="auto"/>
            </w:tcBorders>
            <w:shd w:val="clear" w:color="auto" w:fill="auto"/>
            <w:vAlign w:val="center"/>
            <w:hideMark/>
          </w:tcPr>
          <w:p w14:paraId="3E8A720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99</w:t>
            </w:r>
          </w:p>
        </w:tc>
        <w:tc>
          <w:tcPr>
            <w:tcW w:w="0" w:type="auto"/>
            <w:tcBorders>
              <w:top w:val="nil"/>
              <w:left w:val="nil"/>
              <w:bottom w:val="single" w:sz="4" w:space="0" w:color="auto"/>
              <w:right w:val="single" w:sz="4" w:space="0" w:color="auto"/>
            </w:tcBorders>
            <w:shd w:val="clear" w:color="auto" w:fill="auto"/>
            <w:vAlign w:val="center"/>
            <w:hideMark/>
          </w:tcPr>
          <w:p w14:paraId="6045534D"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Mariano </w:t>
            </w:r>
            <w:proofErr w:type="spellStart"/>
            <w:r w:rsidRPr="00524435">
              <w:rPr>
                <w:rFonts w:ascii="Cambria" w:hAnsi="Cambria" w:cs="Calibri"/>
                <w:color w:val="000000"/>
                <w:sz w:val="20"/>
                <w:szCs w:val="20"/>
              </w:rPr>
              <w:t>Gerpe</w:t>
            </w:r>
            <w:proofErr w:type="spellEnd"/>
            <w:r w:rsidRPr="00524435">
              <w:rPr>
                <w:rFonts w:ascii="Cambria" w:hAnsi="Cambria" w:cs="Calibr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E99AC3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53AA221B" w14:textId="77777777" w:rsidTr="008B7C11">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7BA956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31</w:t>
            </w:r>
          </w:p>
        </w:tc>
        <w:tc>
          <w:tcPr>
            <w:tcW w:w="0" w:type="auto"/>
            <w:tcBorders>
              <w:top w:val="nil"/>
              <w:left w:val="nil"/>
              <w:bottom w:val="single" w:sz="4" w:space="0" w:color="auto"/>
              <w:right w:val="single" w:sz="4" w:space="0" w:color="auto"/>
            </w:tcBorders>
            <w:shd w:val="clear" w:color="auto" w:fill="auto"/>
            <w:vAlign w:val="center"/>
            <w:hideMark/>
          </w:tcPr>
          <w:p w14:paraId="0C032C1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BOLIVIA</w:t>
            </w:r>
          </w:p>
        </w:tc>
        <w:tc>
          <w:tcPr>
            <w:tcW w:w="0" w:type="auto"/>
            <w:tcBorders>
              <w:top w:val="nil"/>
              <w:left w:val="nil"/>
              <w:bottom w:val="single" w:sz="4" w:space="0" w:color="auto"/>
              <w:right w:val="single" w:sz="4" w:space="0" w:color="auto"/>
            </w:tcBorders>
            <w:shd w:val="clear" w:color="auto" w:fill="auto"/>
            <w:vAlign w:val="center"/>
            <w:hideMark/>
          </w:tcPr>
          <w:p w14:paraId="70BF891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P-1519-08</w:t>
            </w:r>
          </w:p>
        </w:tc>
        <w:tc>
          <w:tcPr>
            <w:tcW w:w="0" w:type="auto"/>
            <w:tcBorders>
              <w:top w:val="nil"/>
              <w:left w:val="nil"/>
              <w:bottom w:val="single" w:sz="4" w:space="0" w:color="auto"/>
              <w:right w:val="single" w:sz="4" w:space="0" w:color="auto"/>
            </w:tcBorders>
            <w:shd w:val="clear" w:color="auto" w:fill="auto"/>
            <w:vAlign w:val="center"/>
            <w:hideMark/>
          </w:tcPr>
          <w:p w14:paraId="7EFAC7D6"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13.544</w:t>
            </w:r>
          </w:p>
        </w:tc>
        <w:tc>
          <w:tcPr>
            <w:tcW w:w="0" w:type="auto"/>
            <w:tcBorders>
              <w:top w:val="nil"/>
              <w:left w:val="nil"/>
              <w:bottom w:val="single" w:sz="4" w:space="0" w:color="auto"/>
              <w:right w:val="single" w:sz="4" w:space="0" w:color="auto"/>
            </w:tcBorders>
            <w:shd w:val="clear" w:color="auto" w:fill="auto"/>
            <w:vAlign w:val="center"/>
            <w:hideMark/>
          </w:tcPr>
          <w:p w14:paraId="75D15B7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7BAE043E" w14:textId="77777777" w:rsidR="007425A1" w:rsidRPr="003F238D" w:rsidRDefault="007425A1" w:rsidP="008B7C11">
            <w:pPr>
              <w:rPr>
                <w:rFonts w:ascii="Cambria" w:hAnsi="Cambria" w:cs="Calibri"/>
                <w:color w:val="000000"/>
                <w:sz w:val="20"/>
                <w:szCs w:val="20"/>
                <w:lang w:val="es-US"/>
              </w:rPr>
            </w:pPr>
            <w:r w:rsidRPr="003F238D">
              <w:rPr>
                <w:rFonts w:ascii="Cambria" w:hAnsi="Cambria" w:cs="Calibri"/>
                <w:color w:val="000000"/>
                <w:sz w:val="20"/>
                <w:szCs w:val="20"/>
                <w:lang w:val="es-US"/>
              </w:rPr>
              <w:t xml:space="preserve">Juan Carlos Encinas </w:t>
            </w:r>
            <w:proofErr w:type="spellStart"/>
            <w:r w:rsidRPr="003F238D">
              <w:rPr>
                <w:rFonts w:ascii="Cambria" w:hAnsi="Cambria" w:cs="Calibri"/>
                <w:color w:val="000000"/>
                <w:sz w:val="20"/>
                <w:szCs w:val="20"/>
                <w:lang w:val="es-US"/>
              </w:rPr>
              <w:t>Mariaca</w:t>
            </w:r>
            <w:proofErr w:type="spellEnd"/>
            <w:r w:rsidRPr="003F238D">
              <w:rPr>
                <w:rFonts w:ascii="Cambria" w:hAnsi="Cambria" w:cs="Calibri"/>
                <w:color w:val="000000"/>
                <w:sz w:val="20"/>
                <w:szCs w:val="20"/>
                <w:lang w:val="es-US"/>
              </w:rPr>
              <w:t xml:space="preserve"> and </w:t>
            </w:r>
            <w:proofErr w:type="spellStart"/>
            <w:r w:rsidRPr="003F238D">
              <w:rPr>
                <w:rFonts w:ascii="Cambria" w:hAnsi="Cambria" w:cs="Calibri"/>
                <w:color w:val="000000"/>
                <w:sz w:val="20"/>
                <w:szCs w:val="20"/>
                <w:lang w:val="es-US"/>
              </w:rPr>
              <w:t>family</w:t>
            </w:r>
            <w:proofErr w:type="spellEnd"/>
            <w:r w:rsidRPr="003F238D">
              <w:rPr>
                <w:rFonts w:ascii="Cambria" w:hAnsi="Cambria" w:cs="Calibri"/>
                <w:color w:val="000000"/>
                <w:sz w:val="20"/>
                <w:szCs w:val="20"/>
                <w:lang w:val="es-US"/>
              </w:rPr>
              <w:t>.</w:t>
            </w:r>
          </w:p>
        </w:tc>
        <w:tc>
          <w:tcPr>
            <w:tcW w:w="0" w:type="auto"/>
            <w:tcBorders>
              <w:top w:val="nil"/>
              <w:left w:val="nil"/>
              <w:bottom w:val="single" w:sz="4" w:space="0" w:color="auto"/>
              <w:right w:val="single" w:sz="4" w:space="0" w:color="auto"/>
            </w:tcBorders>
            <w:shd w:val="clear" w:color="auto" w:fill="auto"/>
            <w:vAlign w:val="center"/>
            <w:hideMark/>
          </w:tcPr>
          <w:p w14:paraId="5DE5CB03" w14:textId="77777777" w:rsidR="007425A1" w:rsidRPr="00524435" w:rsidRDefault="007425A1" w:rsidP="008B7C11">
            <w:pPr>
              <w:jc w:val="center"/>
              <w:rPr>
                <w:rFonts w:ascii="Cambria" w:hAnsi="Cambria" w:cs="Calibri"/>
                <w:color w:val="000000"/>
                <w:sz w:val="20"/>
                <w:szCs w:val="20"/>
              </w:rPr>
            </w:pPr>
            <w:r w:rsidRPr="003F238D">
              <w:rPr>
                <w:rFonts w:ascii="Cambria" w:hAnsi="Cambria" w:cs="Calibri"/>
                <w:color w:val="000000"/>
                <w:sz w:val="20"/>
                <w:szCs w:val="20"/>
                <w:lang w:val="es-US"/>
              </w:rPr>
              <w:br/>
            </w:r>
            <w:r w:rsidRPr="00524435">
              <w:rPr>
                <w:rFonts w:ascii="Cambria" w:hAnsi="Cambria" w:cs="Calibri"/>
                <w:i/>
                <w:iCs/>
                <w:color w:val="000000"/>
                <w:sz w:val="20"/>
                <w:szCs w:val="20"/>
              </w:rPr>
              <w:t>Merit</w:t>
            </w:r>
          </w:p>
        </w:tc>
      </w:tr>
      <w:tr w:rsidR="007425A1" w:rsidRPr="00524435" w14:paraId="2937A922"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EB54D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32</w:t>
            </w:r>
          </w:p>
        </w:tc>
        <w:tc>
          <w:tcPr>
            <w:tcW w:w="0" w:type="auto"/>
            <w:tcBorders>
              <w:top w:val="nil"/>
              <w:left w:val="nil"/>
              <w:bottom w:val="single" w:sz="4" w:space="0" w:color="auto"/>
              <w:right w:val="single" w:sz="4" w:space="0" w:color="auto"/>
            </w:tcBorders>
            <w:shd w:val="clear" w:color="auto" w:fill="auto"/>
            <w:vAlign w:val="center"/>
            <w:hideMark/>
          </w:tcPr>
          <w:p w14:paraId="1F23106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BOLIVIA</w:t>
            </w:r>
          </w:p>
        </w:tc>
        <w:tc>
          <w:tcPr>
            <w:tcW w:w="0" w:type="auto"/>
            <w:tcBorders>
              <w:top w:val="nil"/>
              <w:left w:val="nil"/>
              <w:bottom w:val="single" w:sz="4" w:space="0" w:color="auto"/>
              <w:right w:val="single" w:sz="4" w:space="0" w:color="auto"/>
            </w:tcBorders>
            <w:shd w:val="clear" w:color="auto" w:fill="auto"/>
            <w:vAlign w:val="center"/>
            <w:hideMark/>
          </w:tcPr>
          <w:p w14:paraId="1F38234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P-1520-08</w:t>
            </w:r>
          </w:p>
        </w:tc>
        <w:tc>
          <w:tcPr>
            <w:tcW w:w="0" w:type="auto"/>
            <w:tcBorders>
              <w:top w:val="nil"/>
              <w:left w:val="nil"/>
              <w:bottom w:val="single" w:sz="4" w:space="0" w:color="auto"/>
              <w:right w:val="single" w:sz="4" w:space="0" w:color="auto"/>
            </w:tcBorders>
            <w:shd w:val="clear" w:color="auto" w:fill="auto"/>
            <w:vAlign w:val="center"/>
            <w:hideMark/>
          </w:tcPr>
          <w:p w14:paraId="47ADD33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13.545</w:t>
            </w:r>
          </w:p>
        </w:tc>
        <w:tc>
          <w:tcPr>
            <w:tcW w:w="0" w:type="auto"/>
            <w:tcBorders>
              <w:top w:val="nil"/>
              <w:left w:val="nil"/>
              <w:bottom w:val="single" w:sz="4" w:space="0" w:color="auto"/>
              <w:right w:val="single" w:sz="4" w:space="0" w:color="auto"/>
            </w:tcBorders>
            <w:shd w:val="clear" w:color="auto" w:fill="auto"/>
            <w:vAlign w:val="center"/>
            <w:hideMark/>
          </w:tcPr>
          <w:p w14:paraId="728D24A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2BC3C035" w14:textId="77777777" w:rsidR="007425A1" w:rsidRPr="003F238D" w:rsidRDefault="007425A1" w:rsidP="008B7C11">
            <w:pPr>
              <w:rPr>
                <w:rFonts w:ascii="Cambria" w:hAnsi="Cambria" w:cs="Calibri"/>
                <w:color w:val="000000"/>
                <w:sz w:val="20"/>
                <w:szCs w:val="20"/>
                <w:lang w:val="es-US"/>
              </w:rPr>
            </w:pPr>
            <w:r w:rsidRPr="003F238D">
              <w:rPr>
                <w:rFonts w:ascii="Cambria" w:hAnsi="Cambria" w:cs="Calibri"/>
                <w:color w:val="000000"/>
                <w:sz w:val="20"/>
                <w:szCs w:val="20"/>
                <w:lang w:val="es-US"/>
              </w:rPr>
              <w:t xml:space="preserve">Carlos Quispe </w:t>
            </w:r>
            <w:proofErr w:type="spellStart"/>
            <w:r w:rsidRPr="003F238D">
              <w:rPr>
                <w:rFonts w:ascii="Cambria" w:hAnsi="Cambria" w:cs="Calibri"/>
                <w:color w:val="000000"/>
                <w:sz w:val="20"/>
                <w:szCs w:val="20"/>
                <w:lang w:val="es-US"/>
              </w:rPr>
              <w:t>Quispe</w:t>
            </w:r>
            <w:proofErr w:type="spellEnd"/>
            <w:r w:rsidRPr="003F238D">
              <w:rPr>
                <w:rFonts w:ascii="Cambria" w:hAnsi="Cambria" w:cs="Calibri"/>
                <w:color w:val="000000"/>
                <w:sz w:val="20"/>
                <w:szCs w:val="20"/>
                <w:lang w:val="es-US"/>
              </w:rPr>
              <w:t xml:space="preserve"> and </w:t>
            </w:r>
            <w:proofErr w:type="spellStart"/>
            <w:r w:rsidRPr="003F238D">
              <w:rPr>
                <w:rFonts w:ascii="Cambria" w:hAnsi="Cambria" w:cs="Calibri"/>
                <w:color w:val="000000"/>
                <w:sz w:val="20"/>
                <w:szCs w:val="20"/>
                <w:lang w:val="es-US"/>
              </w:rPr>
              <w:t>family</w:t>
            </w:r>
            <w:proofErr w:type="spellEnd"/>
            <w:r w:rsidRPr="003F238D">
              <w:rPr>
                <w:rFonts w:ascii="Cambria" w:hAnsi="Cambria" w:cs="Calibri"/>
                <w:color w:val="000000"/>
                <w:sz w:val="20"/>
                <w:szCs w:val="20"/>
                <w:lang w:val="es-US"/>
              </w:rPr>
              <w:t>.</w:t>
            </w:r>
          </w:p>
        </w:tc>
        <w:tc>
          <w:tcPr>
            <w:tcW w:w="0" w:type="auto"/>
            <w:tcBorders>
              <w:top w:val="nil"/>
              <w:left w:val="nil"/>
              <w:bottom w:val="single" w:sz="4" w:space="0" w:color="auto"/>
              <w:right w:val="single" w:sz="4" w:space="0" w:color="auto"/>
            </w:tcBorders>
            <w:shd w:val="clear" w:color="auto" w:fill="auto"/>
            <w:vAlign w:val="center"/>
            <w:hideMark/>
          </w:tcPr>
          <w:p w14:paraId="0FB18B3F" w14:textId="77777777" w:rsidR="007425A1" w:rsidRPr="00524435" w:rsidRDefault="007425A1" w:rsidP="008B7C11">
            <w:pPr>
              <w:jc w:val="center"/>
              <w:rPr>
                <w:rFonts w:ascii="Cambria" w:hAnsi="Cambria" w:cs="Calibri"/>
                <w:color w:val="000000"/>
                <w:sz w:val="20"/>
                <w:szCs w:val="20"/>
              </w:rPr>
            </w:pPr>
            <w:r w:rsidRPr="003F238D">
              <w:rPr>
                <w:rFonts w:ascii="Cambria" w:hAnsi="Cambria" w:cs="Calibri"/>
                <w:color w:val="000000"/>
                <w:sz w:val="20"/>
                <w:szCs w:val="20"/>
                <w:lang w:val="es-US"/>
              </w:rPr>
              <w:br/>
            </w:r>
            <w:r w:rsidRPr="00524435">
              <w:rPr>
                <w:rFonts w:ascii="Cambria" w:hAnsi="Cambria" w:cs="Calibri"/>
                <w:i/>
                <w:iCs/>
                <w:color w:val="000000"/>
                <w:sz w:val="20"/>
                <w:szCs w:val="20"/>
              </w:rPr>
              <w:t>Merit</w:t>
            </w:r>
          </w:p>
        </w:tc>
      </w:tr>
      <w:tr w:rsidR="007425A1" w:rsidRPr="00524435" w14:paraId="1C6B823D" w14:textId="77777777" w:rsidTr="008B7C11">
        <w:trPr>
          <w:trHeight w:val="10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604E7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36</w:t>
            </w:r>
          </w:p>
        </w:tc>
        <w:tc>
          <w:tcPr>
            <w:tcW w:w="0" w:type="auto"/>
            <w:tcBorders>
              <w:top w:val="nil"/>
              <w:left w:val="nil"/>
              <w:bottom w:val="single" w:sz="4" w:space="0" w:color="auto"/>
              <w:right w:val="single" w:sz="4" w:space="0" w:color="auto"/>
            </w:tcBorders>
            <w:shd w:val="clear" w:color="auto" w:fill="auto"/>
            <w:vAlign w:val="center"/>
            <w:hideMark/>
          </w:tcPr>
          <w:p w14:paraId="24B0537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t>Brazil</w:t>
            </w:r>
          </w:p>
        </w:tc>
        <w:tc>
          <w:tcPr>
            <w:tcW w:w="0" w:type="auto"/>
            <w:tcBorders>
              <w:top w:val="nil"/>
              <w:left w:val="nil"/>
              <w:bottom w:val="single" w:sz="4" w:space="0" w:color="auto"/>
              <w:right w:val="single" w:sz="4" w:space="0" w:color="auto"/>
            </w:tcBorders>
            <w:shd w:val="clear" w:color="auto" w:fill="auto"/>
            <w:vAlign w:val="center"/>
            <w:hideMark/>
          </w:tcPr>
          <w:p w14:paraId="1B7F340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P-62-02</w:t>
            </w:r>
          </w:p>
        </w:tc>
        <w:tc>
          <w:tcPr>
            <w:tcW w:w="0" w:type="auto"/>
            <w:tcBorders>
              <w:top w:val="nil"/>
              <w:left w:val="nil"/>
              <w:bottom w:val="single" w:sz="4" w:space="0" w:color="auto"/>
              <w:right w:val="single" w:sz="4" w:space="0" w:color="auto"/>
            </w:tcBorders>
            <w:shd w:val="clear" w:color="auto" w:fill="auto"/>
            <w:vAlign w:val="center"/>
            <w:hideMark/>
          </w:tcPr>
          <w:p w14:paraId="79FBE00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12.567</w:t>
            </w:r>
          </w:p>
        </w:tc>
        <w:tc>
          <w:tcPr>
            <w:tcW w:w="0" w:type="auto"/>
            <w:tcBorders>
              <w:top w:val="nil"/>
              <w:left w:val="nil"/>
              <w:bottom w:val="single" w:sz="4" w:space="0" w:color="auto"/>
              <w:right w:val="single" w:sz="4" w:space="0" w:color="auto"/>
            </w:tcBorders>
            <w:shd w:val="clear" w:color="auto" w:fill="auto"/>
            <w:vAlign w:val="center"/>
            <w:hideMark/>
          </w:tcPr>
          <w:p w14:paraId="4ECE9DE6"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678C584B"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Indigenous communities of </w:t>
            </w:r>
            <w:proofErr w:type="spellStart"/>
            <w:r w:rsidRPr="00524435">
              <w:rPr>
                <w:rFonts w:ascii="Cambria" w:hAnsi="Cambria" w:cs="Calibri"/>
                <w:color w:val="000000"/>
                <w:sz w:val="20"/>
                <w:szCs w:val="20"/>
              </w:rPr>
              <w:t>Ananás</w:t>
            </w:r>
            <w:proofErr w:type="spellEnd"/>
            <w:r w:rsidRPr="00524435">
              <w:rPr>
                <w:rFonts w:ascii="Cambria" w:hAnsi="Cambria" w:cs="Calibri"/>
                <w:color w:val="000000"/>
                <w:sz w:val="20"/>
                <w:szCs w:val="20"/>
              </w:rPr>
              <w:t xml:space="preserve"> and other religious indigenous communities.</w:t>
            </w:r>
          </w:p>
        </w:tc>
        <w:tc>
          <w:tcPr>
            <w:tcW w:w="0" w:type="auto"/>
            <w:tcBorders>
              <w:top w:val="nil"/>
              <w:left w:val="nil"/>
              <w:bottom w:val="single" w:sz="4" w:space="0" w:color="auto"/>
              <w:right w:val="single" w:sz="4" w:space="0" w:color="auto"/>
            </w:tcBorders>
            <w:shd w:val="clear" w:color="auto" w:fill="auto"/>
            <w:vAlign w:val="center"/>
            <w:hideMark/>
          </w:tcPr>
          <w:p w14:paraId="0E2429F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27A8D15F" w14:textId="77777777" w:rsidTr="008512C5">
        <w:trPr>
          <w:trHeight w:val="1178"/>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37021E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37</w:t>
            </w:r>
          </w:p>
        </w:tc>
        <w:tc>
          <w:tcPr>
            <w:tcW w:w="0" w:type="auto"/>
            <w:tcBorders>
              <w:top w:val="nil"/>
              <w:left w:val="nil"/>
              <w:bottom w:val="single" w:sz="4" w:space="0" w:color="auto"/>
              <w:right w:val="single" w:sz="4" w:space="0" w:color="auto"/>
            </w:tcBorders>
            <w:shd w:val="clear" w:color="auto" w:fill="auto"/>
            <w:vAlign w:val="center"/>
            <w:hideMark/>
          </w:tcPr>
          <w:p w14:paraId="5FD12FD2"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t>Brazil</w:t>
            </w:r>
          </w:p>
        </w:tc>
        <w:tc>
          <w:tcPr>
            <w:tcW w:w="0" w:type="auto"/>
            <w:tcBorders>
              <w:top w:val="nil"/>
              <w:left w:val="nil"/>
              <w:bottom w:val="single" w:sz="4" w:space="0" w:color="auto"/>
              <w:right w:val="single" w:sz="4" w:space="0" w:color="auto"/>
            </w:tcBorders>
            <w:shd w:val="clear" w:color="auto" w:fill="auto"/>
            <w:vAlign w:val="center"/>
            <w:hideMark/>
          </w:tcPr>
          <w:p w14:paraId="77247F2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P-1113-06</w:t>
            </w:r>
          </w:p>
        </w:tc>
        <w:tc>
          <w:tcPr>
            <w:tcW w:w="0" w:type="auto"/>
            <w:tcBorders>
              <w:top w:val="nil"/>
              <w:left w:val="nil"/>
              <w:bottom w:val="single" w:sz="4" w:space="0" w:color="auto"/>
              <w:right w:val="single" w:sz="4" w:space="0" w:color="auto"/>
            </w:tcBorders>
            <w:shd w:val="clear" w:color="auto" w:fill="auto"/>
            <w:vAlign w:val="center"/>
            <w:hideMark/>
          </w:tcPr>
          <w:p w14:paraId="4E2DE7C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12.613</w:t>
            </w:r>
          </w:p>
        </w:tc>
        <w:tc>
          <w:tcPr>
            <w:tcW w:w="0" w:type="auto"/>
            <w:tcBorders>
              <w:top w:val="nil"/>
              <w:left w:val="nil"/>
              <w:bottom w:val="single" w:sz="4" w:space="0" w:color="auto"/>
              <w:right w:val="single" w:sz="4" w:space="0" w:color="auto"/>
            </w:tcBorders>
            <w:shd w:val="clear" w:color="auto" w:fill="auto"/>
            <w:vAlign w:val="center"/>
            <w:hideMark/>
          </w:tcPr>
          <w:p w14:paraId="5221D8E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778B9379" w14:textId="77777777" w:rsidR="007425A1" w:rsidRPr="007A5442" w:rsidRDefault="007425A1" w:rsidP="008B7C11">
            <w:pPr>
              <w:rPr>
                <w:rFonts w:ascii="Cambria" w:hAnsi="Cambria" w:cs="Calibri"/>
                <w:color w:val="000000"/>
                <w:sz w:val="20"/>
                <w:szCs w:val="20"/>
                <w:lang w:val="pt-PT"/>
              </w:rPr>
            </w:pPr>
            <w:r w:rsidRPr="007A5442">
              <w:rPr>
                <w:rFonts w:ascii="Cambria" w:hAnsi="Cambria" w:cs="Calibri"/>
                <w:color w:val="000000"/>
                <w:sz w:val="20"/>
                <w:szCs w:val="20"/>
                <w:lang w:val="pt-PT"/>
              </w:rPr>
              <w:t>Pessoas privadas de liberdade na carceragem da 76ª Delegacia de Polícia (76ª DP).</w:t>
            </w:r>
          </w:p>
        </w:tc>
        <w:tc>
          <w:tcPr>
            <w:tcW w:w="0" w:type="auto"/>
            <w:tcBorders>
              <w:top w:val="nil"/>
              <w:left w:val="nil"/>
              <w:bottom w:val="single" w:sz="4" w:space="0" w:color="auto"/>
              <w:right w:val="single" w:sz="4" w:space="0" w:color="auto"/>
            </w:tcBorders>
            <w:shd w:val="clear" w:color="auto" w:fill="auto"/>
            <w:vAlign w:val="center"/>
            <w:hideMark/>
          </w:tcPr>
          <w:p w14:paraId="40A57C92" w14:textId="77777777" w:rsidR="007425A1" w:rsidRPr="00524435" w:rsidRDefault="007425A1" w:rsidP="008B7C11">
            <w:pPr>
              <w:jc w:val="center"/>
              <w:rPr>
                <w:rFonts w:ascii="Cambria" w:hAnsi="Cambria" w:cs="Calibri"/>
                <w:color w:val="000000"/>
                <w:sz w:val="20"/>
                <w:szCs w:val="20"/>
              </w:rPr>
            </w:pPr>
            <w:r w:rsidRPr="007A5442">
              <w:rPr>
                <w:rFonts w:ascii="Cambria" w:hAnsi="Cambria" w:cs="Calibri"/>
                <w:color w:val="000000"/>
                <w:sz w:val="20"/>
                <w:szCs w:val="20"/>
                <w:lang w:val="pt-PT"/>
              </w:rPr>
              <w:br/>
            </w:r>
            <w:r w:rsidRPr="00524435">
              <w:rPr>
                <w:rFonts w:ascii="Cambria" w:hAnsi="Cambria" w:cs="Calibri"/>
                <w:i/>
                <w:iCs/>
                <w:color w:val="000000"/>
                <w:sz w:val="20"/>
                <w:szCs w:val="20"/>
              </w:rPr>
              <w:t>Merit</w:t>
            </w:r>
          </w:p>
        </w:tc>
      </w:tr>
      <w:tr w:rsidR="007425A1" w:rsidRPr="00524435" w14:paraId="59940F46"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74E54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38</w:t>
            </w:r>
          </w:p>
        </w:tc>
        <w:tc>
          <w:tcPr>
            <w:tcW w:w="0" w:type="auto"/>
            <w:tcBorders>
              <w:top w:val="nil"/>
              <w:left w:val="nil"/>
              <w:bottom w:val="single" w:sz="4" w:space="0" w:color="auto"/>
              <w:right w:val="single" w:sz="4" w:space="0" w:color="auto"/>
            </w:tcBorders>
            <w:shd w:val="clear" w:color="auto" w:fill="auto"/>
            <w:vAlign w:val="center"/>
            <w:hideMark/>
          </w:tcPr>
          <w:p w14:paraId="298DB93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t>Brazil</w:t>
            </w:r>
          </w:p>
        </w:tc>
        <w:tc>
          <w:tcPr>
            <w:tcW w:w="0" w:type="auto"/>
            <w:tcBorders>
              <w:top w:val="nil"/>
              <w:left w:val="nil"/>
              <w:bottom w:val="single" w:sz="4" w:space="0" w:color="auto"/>
              <w:right w:val="single" w:sz="4" w:space="0" w:color="auto"/>
            </w:tcBorders>
            <w:shd w:val="clear" w:color="auto" w:fill="auto"/>
            <w:vAlign w:val="center"/>
            <w:hideMark/>
          </w:tcPr>
          <w:p w14:paraId="3D07C262"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P-683-08</w:t>
            </w:r>
          </w:p>
        </w:tc>
        <w:tc>
          <w:tcPr>
            <w:tcW w:w="0" w:type="auto"/>
            <w:tcBorders>
              <w:top w:val="nil"/>
              <w:left w:val="nil"/>
              <w:bottom w:val="single" w:sz="4" w:space="0" w:color="auto"/>
              <w:right w:val="single" w:sz="4" w:space="0" w:color="auto"/>
            </w:tcBorders>
            <w:shd w:val="clear" w:color="auto" w:fill="auto"/>
            <w:vAlign w:val="center"/>
            <w:hideMark/>
          </w:tcPr>
          <w:p w14:paraId="6DB8FB0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13.731</w:t>
            </w:r>
          </w:p>
        </w:tc>
        <w:tc>
          <w:tcPr>
            <w:tcW w:w="0" w:type="auto"/>
            <w:tcBorders>
              <w:top w:val="nil"/>
              <w:left w:val="nil"/>
              <w:bottom w:val="single" w:sz="4" w:space="0" w:color="auto"/>
              <w:right w:val="single" w:sz="4" w:space="0" w:color="auto"/>
            </w:tcBorders>
            <w:shd w:val="clear" w:color="auto" w:fill="auto"/>
            <w:vAlign w:val="center"/>
            <w:hideMark/>
          </w:tcPr>
          <w:p w14:paraId="6C83E63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1B2359FF" w14:textId="77777777" w:rsidR="007425A1" w:rsidRPr="007A5442" w:rsidRDefault="007425A1" w:rsidP="008B7C11">
            <w:pPr>
              <w:rPr>
                <w:rFonts w:ascii="Cambria" w:hAnsi="Cambria" w:cs="Calibri"/>
                <w:color w:val="000000"/>
                <w:sz w:val="20"/>
                <w:szCs w:val="20"/>
                <w:lang w:val="pt-PT"/>
              </w:rPr>
            </w:pPr>
            <w:r w:rsidRPr="007A5442">
              <w:rPr>
                <w:rFonts w:ascii="Cambria" w:hAnsi="Cambria" w:cs="Calibri"/>
                <w:color w:val="000000"/>
                <w:sz w:val="20"/>
                <w:szCs w:val="20"/>
                <w:lang w:val="pt-PT"/>
              </w:rPr>
              <w:t>Sidney da Silva  et al.</w:t>
            </w:r>
          </w:p>
        </w:tc>
        <w:tc>
          <w:tcPr>
            <w:tcW w:w="0" w:type="auto"/>
            <w:tcBorders>
              <w:top w:val="nil"/>
              <w:left w:val="nil"/>
              <w:bottom w:val="single" w:sz="4" w:space="0" w:color="auto"/>
              <w:right w:val="single" w:sz="4" w:space="0" w:color="auto"/>
            </w:tcBorders>
            <w:shd w:val="clear" w:color="auto" w:fill="auto"/>
            <w:vAlign w:val="center"/>
            <w:hideMark/>
          </w:tcPr>
          <w:p w14:paraId="36403DEA" w14:textId="77777777" w:rsidR="007425A1" w:rsidRPr="00524435" w:rsidRDefault="007425A1" w:rsidP="008B7C11">
            <w:pPr>
              <w:jc w:val="center"/>
              <w:rPr>
                <w:rFonts w:ascii="Cambria" w:hAnsi="Cambria" w:cs="Calibri"/>
                <w:color w:val="000000"/>
                <w:sz w:val="20"/>
                <w:szCs w:val="20"/>
              </w:rPr>
            </w:pPr>
            <w:r w:rsidRPr="007A5442">
              <w:rPr>
                <w:rFonts w:ascii="Cambria" w:hAnsi="Cambria" w:cs="Calibri"/>
                <w:color w:val="000000"/>
                <w:sz w:val="20"/>
                <w:szCs w:val="20"/>
                <w:lang w:val="pt-PT"/>
              </w:rPr>
              <w:br/>
            </w:r>
            <w:r w:rsidRPr="00524435">
              <w:rPr>
                <w:rFonts w:ascii="Cambria" w:hAnsi="Cambria" w:cs="Calibri"/>
                <w:i/>
                <w:iCs/>
                <w:color w:val="000000"/>
                <w:sz w:val="20"/>
                <w:szCs w:val="20"/>
              </w:rPr>
              <w:t>Merit</w:t>
            </w:r>
          </w:p>
        </w:tc>
      </w:tr>
      <w:tr w:rsidR="007425A1" w:rsidRPr="00524435" w14:paraId="15F06272" w14:textId="77777777" w:rsidTr="008512C5">
        <w:trPr>
          <w:trHeight w:val="5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1AE56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39</w:t>
            </w:r>
          </w:p>
        </w:tc>
        <w:tc>
          <w:tcPr>
            <w:tcW w:w="0" w:type="auto"/>
            <w:tcBorders>
              <w:top w:val="nil"/>
              <w:left w:val="nil"/>
              <w:bottom w:val="single" w:sz="4" w:space="0" w:color="auto"/>
              <w:right w:val="single" w:sz="4" w:space="0" w:color="auto"/>
            </w:tcBorders>
            <w:shd w:val="clear" w:color="auto" w:fill="auto"/>
            <w:vAlign w:val="center"/>
            <w:hideMark/>
          </w:tcPr>
          <w:p w14:paraId="42DF1BE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t>Brazil</w:t>
            </w:r>
          </w:p>
        </w:tc>
        <w:tc>
          <w:tcPr>
            <w:tcW w:w="0" w:type="auto"/>
            <w:tcBorders>
              <w:top w:val="nil"/>
              <w:left w:val="nil"/>
              <w:bottom w:val="single" w:sz="4" w:space="0" w:color="auto"/>
              <w:right w:val="single" w:sz="4" w:space="0" w:color="auto"/>
            </w:tcBorders>
            <w:shd w:val="clear" w:color="auto" w:fill="auto"/>
            <w:vAlign w:val="center"/>
            <w:hideMark/>
          </w:tcPr>
          <w:p w14:paraId="043F0A7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P-354-10</w:t>
            </w:r>
          </w:p>
        </w:tc>
        <w:tc>
          <w:tcPr>
            <w:tcW w:w="0" w:type="auto"/>
            <w:tcBorders>
              <w:top w:val="nil"/>
              <w:left w:val="nil"/>
              <w:bottom w:val="single" w:sz="4" w:space="0" w:color="auto"/>
              <w:right w:val="single" w:sz="4" w:space="0" w:color="auto"/>
            </w:tcBorders>
            <w:shd w:val="clear" w:color="auto" w:fill="auto"/>
            <w:vAlign w:val="center"/>
            <w:hideMark/>
          </w:tcPr>
          <w:p w14:paraId="0181805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13.757</w:t>
            </w:r>
          </w:p>
        </w:tc>
        <w:tc>
          <w:tcPr>
            <w:tcW w:w="0" w:type="auto"/>
            <w:tcBorders>
              <w:top w:val="nil"/>
              <w:left w:val="nil"/>
              <w:bottom w:val="single" w:sz="4" w:space="0" w:color="auto"/>
              <w:right w:val="single" w:sz="4" w:space="0" w:color="auto"/>
            </w:tcBorders>
            <w:shd w:val="clear" w:color="auto" w:fill="auto"/>
            <w:vAlign w:val="center"/>
            <w:hideMark/>
          </w:tcPr>
          <w:p w14:paraId="6025BF9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23347F05"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Elizabeth </w:t>
            </w:r>
            <w:proofErr w:type="spellStart"/>
            <w:r w:rsidRPr="00524435">
              <w:rPr>
                <w:rFonts w:ascii="Cambria" w:hAnsi="Cambria" w:cs="Calibri"/>
                <w:color w:val="000000"/>
                <w:sz w:val="20"/>
                <w:szCs w:val="20"/>
              </w:rPr>
              <w:t>Semann</w:t>
            </w:r>
            <w:proofErr w:type="spellEnd"/>
            <w:r w:rsidRPr="00524435">
              <w:rPr>
                <w:rFonts w:ascii="Cambria" w:hAnsi="Cambria" w:cs="Calibr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FF99C5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0540D1AE" w14:textId="77777777" w:rsidTr="008B7C11">
        <w:trPr>
          <w:trHeight w:val="9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1FD6DE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43</w:t>
            </w:r>
          </w:p>
        </w:tc>
        <w:tc>
          <w:tcPr>
            <w:tcW w:w="0" w:type="auto"/>
            <w:tcBorders>
              <w:top w:val="nil"/>
              <w:left w:val="nil"/>
              <w:bottom w:val="single" w:sz="4" w:space="0" w:color="auto"/>
              <w:right w:val="single" w:sz="4" w:space="0" w:color="auto"/>
            </w:tcBorders>
            <w:shd w:val="clear" w:color="auto" w:fill="auto"/>
            <w:vAlign w:val="center"/>
            <w:hideMark/>
          </w:tcPr>
          <w:p w14:paraId="326E237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t>Brazil</w:t>
            </w:r>
          </w:p>
        </w:tc>
        <w:tc>
          <w:tcPr>
            <w:tcW w:w="0" w:type="auto"/>
            <w:tcBorders>
              <w:top w:val="nil"/>
              <w:left w:val="nil"/>
              <w:bottom w:val="single" w:sz="4" w:space="0" w:color="auto"/>
              <w:right w:val="single" w:sz="4" w:space="0" w:color="auto"/>
            </w:tcBorders>
            <w:shd w:val="clear" w:color="auto" w:fill="auto"/>
            <w:vAlign w:val="center"/>
            <w:hideMark/>
          </w:tcPr>
          <w:p w14:paraId="465453D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P-69-99</w:t>
            </w:r>
          </w:p>
        </w:tc>
        <w:tc>
          <w:tcPr>
            <w:tcW w:w="0" w:type="auto"/>
            <w:tcBorders>
              <w:top w:val="nil"/>
              <w:left w:val="nil"/>
              <w:bottom w:val="single" w:sz="4" w:space="0" w:color="auto"/>
              <w:right w:val="single" w:sz="4" w:space="0" w:color="auto"/>
            </w:tcBorders>
            <w:shd w:val="clear" w:color="auto" w:fill="auto"/>
            <w:vAlign w:val="center"/>
            <w:hideMark/>
          </w:tcPr>
          <w:p w14:paraId="2C2057D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12.200</w:t>
            </w:r>
          </w:p>
        </w:tc>
        <w:tc>
          <w:tcPr>
            <w:tcW w:w="0" w:type="auto"/>
            <w:tcBorders>
              <w:top w:val="nil"/>
              <w:left w:val="nil"/>
              <w:bottom w:val="single" w:sz="4" w:space="0" w:color="auto"/>
              <w:right w:val="single" w:sz="4" w:space="0" w:color="auto"/>
            </w:tcBorders>
            <w:shd w:val="clear" w:color="auto" w:fill="auto"/>
            <w:vAlign w:val="center"/>
            <w:hideMark/>
          </w:tcPr>
          <w:p w14:paraId="6FD7721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99</w:t>
            </w:r>
          </w:p>
        </w:tc>
        <w:tc>
          <w:tcPr>
            <w:tcW w:w="0" w:type="auto"/>
            <w:tcBorders>
              <w:top w:val="nil"/>
              <w:left w:val="nil"/>
              <w:bottom w:val="single" w:sz="4" w:space="0" w:color="auto"/>
              <w:right w:val="single" w:sz="4" w:space="0" w:color="auto"/>
            </w:tcBorders>
            <w:shd w:val="clear" w:color="auto" w:fill="auto"/>
            <w:vAlign w:val="center"/>
            <w:hideMark/>
          </w:tcPr>
          <w:p w14:paraId="37405D55" w14:textId="77777777" w:rsidR="007425A1" w:rsidRPr="007A5442" w:rsidRDefault="007425A1" w:rsidP="008B7C11">
            <w:pPr>
              <w:rPr>
                <w:rFonts w:ascii="Cambria" w:hAnsi="Cambria" w:cs="Calibri"/>
                <w:color w:val="000000"/>
                <w:sz w:val="20"/>
                <w:szCs w:val="20"/>
                <w:lang w:val="pt-PT"/>
              </w:rPr>
            </w:pPr>
            <w:r w:rsidRPr="007A5442">
              <w:rPr>
                <w:rFonts w:ascii="Cambria" w:hAnsi="Cambria" w:cs="Calibri"/>
                <w:color w:val="000000"/>
                <w:sz w:val="20"/>
                <w:szCs w:val="20"/>
                <w:lang w:val="pt-PT"/>
              </w:rPr>
              <w:t>José Henrique Trindade and Juvenal Ferreira Trindade</w:t>
            </w:r>
          </w:p>
        </w:tc>
        <w:tc>
          <w:tcPr>
            <w:tcW w:w="0" w:type="auto"/>
            <w:tcBorders>
              <w:top w:val="nil"/>
              <w:left w:val="nil"/>
              <w:bottom w:val="single" w:sz="4" w:space="0" w:color="auto"/>
              <w:right w:val="single" w:sz="4" w:space="0" w:color="auto"/>
            </w:tcBorders>
            <w:shd w:val="clear" w:color="auto" w:fill="auto"/>
            <w:vAlign w:val="center"/>
            <w:hideMark/>
          </w:tcPr>
          <w:p w14:paraId="3B49474B" w14:textId="77777777" w:rsidR="007425A1" w:rsidRPr="00524435" w:rsidRDefault="007425A1" w:rsidP="008B7C11">
            <w:pPr>
              <w:jc w:val="center"/>
              <w:rPr>
                <w:rFonts w:ascii="Cambria" w:hAnsi="Cambria" w:cs="Calibri"/>
                <w:color w:val="000000"/>
                <w:sz w:val="20"/>
                <w:szCs w:val="20"/>
              </w:rPr>
            </w:pPr>
            <w:r w:rsidRPr="007A5442">
              <w:rPr>
                <w:rFonts w:ascii="Cambria" w:hAnsi="Cambria" w:cs="Calibri"/>
                <w:color w:val="000000"/>
                <w:sz w:val="20"/>
                <w:szCs w:val="20"/>
                <w:lang w:val="pt-PT"/>
              </w:rPr>
              <w:br/>
            </w:r>
            <w:r w:rsidRPr="00524435">
              <w:rPr>
                <w:rFonts w:ascii="Cambria" w:hAnsi="Cambria" w:cs="Calibri"/>
                <w:i/>
                <w:iCs/>
                <w:color w:val="000000"/>
                <w:sz w:val="20"/>
                <w:szCs w:val="20"/>
              </w:rPr>
              <w:t>Merit</w:t>
            </w:r>
          </w:p>
        </w:tc>
      </w:tr>
      <w:tr w:rsidR="007425A1" w:rsidRPr="00524435" w14:paraId="66C8EE89"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B8B3F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44</w:t>
            </w:r>
          </w:p>
        </w:tc>
        <w:tc>
          <w:tcPr>
            <w:tcW w:w="0" w:type="auto"/>
            <w:tcBorders>
              <w:top w:val="nil"/>
              <w:left w:val="nil"/>
              <w:bottom w:val="single" w:sz="4" w:space="0" w:color="auto"/>
              <w:right w:val="single" w:sz="4" w:space="0" w:color="auto"/>
            </w:tcBorders>
            <w:shd w:val="clear" w:color="auto" w:fill="auto"/>
            <w:vAlign w:val="center"/>
            <w:hideMark/>
          </w:tcPr>
          <w:p w14:paraId="22DDB81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CHILE</w:t>
            </w:r>
          </w:p>
        </w:tc>
        <w:tc>
          <w:tcPr>
            <w:tcW w:w="0" w:type="auto"/>
            <w:tcBorders>
              <w:top w:val="nil"/>
              <w:left w:val="nil"/>
              <w:bottom w:val="single" w:sz="4" w:space="0" w:color="auto"/>
              <w:right w:val="single" w:sz="4" w:space="0" w:color="auto"/>
            </w:tcBorders>
            <w:shd w:val="clear" w:color="auto" w:fill="auto"/>
            <w:vAlign w:val="center"/>
            <w:hideMark/>
          </w:tcPr>
          <w:p w14:paraId="2EEC39A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P-174-02</w:t>
            </w:r>
          </w:p>
        </w:tc>
        <w:tc>
          <w:tcPr>
            <w:tcW w:w="0" w:type="auto"/>
            <w:tcBorders>
              <w:top w:val="nil"/>
              <w:left w:val="nil"/>
              <w:bottom w:val="single" w:sz="4" w:space="0" w:color="auto"/>
              <w:right w:val="single" w:sz="4" w:space="0" w:color="auto"/>
            </w:tcBorders>
            <w:shd w:val="clear" w:color="auto" w:fill="auto"/>
            <w:vAlign w:val="center"/>
            <w:hideMark/>
          </w:tcPr>
          <w:p w14:paraId="376B7ED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13.426</w:t>
            </w:r>
          </w:p>
        </w:tc>
        <w:tc>
          <w:tcPr>
            <w:tcW w:w="0" w:type="auto"/>
            <w:tcBorders>
              <w:top w:val="nil"/>
              <w:left w:val="nil"/>
              <w:bottom w:val="single" w:sz="4" w:space="0" w:color="auto"/>
              <w:right w:val="single" w:sz="4" w:space="0" w:color="auto"/>
            </w:tcBorders>
            <w:shd w:val="clear" w:color="auto" w:fill="auto"/>
            <w:vAlign w:val="center"/>
            <w:hideMark/>
          </w:tcPr>
          <w:p w14:paraId="31EE2ED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19889A92"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Patricio Fernando Suárez </w:t>
            </w:r>
            <w:proofErr w:type="spellStart"/>
            <w:r w:rsidRPr="00524435">
              <w:rPr>
                <w:rFonts w:ascii="Cambria" w:hAnsi="Cambria" w:cs="Calibri"/>
                <w:color w:val="000000"/>
                <w:sz w:val="20"/>
                <w:szCs w:val="20"/>
              </w:rPr>
              <w:t>Tichauer</w:t>
            </w:r>
            <w:proofErr w:type="spellEnd"/>
            <w:r w:rsidRPr="00524435">
              <w:rPr>
                <w:rFonts w:ascii="Cambria" w:hAnsi="Cambria" w:cs="Calibr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89E950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5EA1575B"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73DD4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lastRenderedPageBreak/>
              <w:t>45</w:t>
            </w:r>
          </w:p>
        </w:tc>
        <w:tc>
          <w:tcPr>
            <w:tcW w:w="0" w:type="auto"/>
            <w:tcBorders>
              <w:top w:val="nil"/>
              <w:left w:val="nil"/>
              <w:bottom w:val="single" w:sz="4" w:space="0" w:color="auto"/>
              <w:right w:val="single" w:sz="4" w:space="0" w:color="auto"/>
            </w:tcBorders>
            <w:shd w:val="clear" w:color="auto" w:fill="auto"/>
            <w:vAlign w:val="center"/>
            <w:hideMark/>
          </w:tcPr>
          <w:p w14:paraId="08FDC38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CHILE</w:t>
            </w:r>
          </w:p>
        </w:tc>
        <w:tc>
          <w:tcPr>
            <w:tcW w:w="0" w:type="auto"/>
            <w:tcBorders>
              <w:top w:val="nil"/>
              <w:left w:val="nil"/>
              <w:bottom w:val="single" w:sz="4" w:space="0" w:color="auto"/>
              <w:right w:val="single" w:sz="4" w:space="0" w:color="auto"/>
            </w:tcBorders>
            <w:shd w:val="clear" w:color="auto" w:fill="auto"/>
            <w:vAlign w:val="center"/>
            <w:hideMark/>
          </w:tcPr>
          <w:p w14:paraId="0A42720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P-1468-05</w:t>
            </w:r>
          </w:p>
        </w:tc>
        <w:tc>
          <w:tcPr>
            <w:tcW w:w="0" w:type="auto"/>
            <w:tcBorders>
              <w:top w:val="nil"/>
              <w:left w:val="nil"/>
              <w:bottom w:val="single" w:sz="4" w:space="0" w:color="auto"/>
              <w:right w:val="single" w:sz="4" w:space="0" w:color="auto"/>
            </w:tcBorders>
            <w:shd w:val="clear" w:color="auto" w:fill="auto"/>
            <w:vAlign w:val="center"/>
            <w:hideMark/>
          </w:tcPr>
          <w:p w14:paraId="321E210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13.130</w:t>
            </w:r>
          </w:p>
        </w:tc>
        <w:tc>
          <w:tcPr>
            <w:tcW w:w="0" w:type="auto"/>
            <w:tcBorders>
              <w:top w:val="nil"/>
              <w:left w:val="nil"/>
              <w:bottom w:val="single" w:sz="4" w:space="0" w:color="auto"/>
              <w:right w:val="single" w:sz="4" w:space="0" w:color="auto"/>
            </w:tcBorders>
            <w:shd w:val="clear" w:color="auto" w:fill="auto"/>
            <w:vAlign w:val="center"/>
            <w:hideMark/>
          </w:tcPr>
          <w:p w14:paraId="48E7091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6254FD50"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Osvaldo Washington Richards Conde.</w:t>
            </w:r>
          </w:p>
        </w:tc>
        <w:tc>
          <w:tcPr>
            <w:tcW w:w="0" w:type="auto"/>
            <w:tcBorders>
              <w:top w:val="nil"/>
              <w:left w:val="nil"/>
              <w:bottom w:val="single" w:sz="4" w:space="0" w:color="auto"/>
              <w:right w:val="single" w:sz="4" w:space="0" w:color="auto"/>
            </w:tcBorders>
            <w:shd w:val="clear" w:color="auto" w:fill="auto"/>
            <w:vAlign w:val="center"/>
            <w:hideMark/>
          </w:tcPr>
          <w:p w14:paraId="7186E23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78A9286D" w14:textId="77777777" w:rsidTr="008B7C11">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EA1362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46</w:t>
            </w:r>
          </w:p>
        </w:tc>
        <w:tc>
          <w:tcPr>
            <w:tcW w:w="0" w:type="auto"/>
            <w:tcBorders>
              <w:top w:val="nil"/>
              <w:left w:val="nil"/>
              <w:bottom w:val="single" w:sz="4" w:space="0" w:color="auto"/>
              <w:right w:val="single" w:sz="4" w:space="0" w:color="auto"/>
            </w:tcBorders>
            <w:shd w:val="clear" w:color="auto" w:fill="auto"/>
            <w:vAlign w:val="center"/>
            <w:hideMark/>
          </w:tcPr>
          <w:p w14:paraId="39A7EFF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CHILE</w:t>
            </w:r>
          </w:p>
        </w:tc>
        <w:tc>
          <w:tcPr>
            <w:tcW w:w="0" w:type="auto"/>
            <w:tcBorders>
              <w:top w:val="nil"/>
              <w:left w:val="nil"/>
              <w:bottom w:val="single" w:sz="4" w:space="0" w:color="auto"/>
              <w:right w:val="single" w:sz="4" w:space="0" w:color="auto"/>
            </w:tcBorders>
            <w:shd w:val="clear" w:color="auto" w:fill="auto"/>
            <w:vAlign w:val="center"/>
            <w:hideMark/>
          </w:tcPr>
          <w:p w14:paraId="7AAE3A6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P-1240-06</w:t>
            </w:r>
          </w:p>
        </w:tc>
        <w:tc>
          <w:tcPr>
            <w:tcW w:w="0" w:type="auto"/>
            <w:tcBorders>
              <w:top w:val="nil"/>
              <w:left w:val="nil"/>
              <w:bottom w:val="single" w:sz="4" w:space="0" w:color="auto"/>
              <w:right w:val="single" w:sz="4" w:space="0" w:color="auto"/>
            </w:tcBorders>
            <w:shd w:val="clear" w:color="auto" w:fill="auto"/>
            <w:vAlign w:val="center"/>
            <w:hideMark/>
          </w:tcPr>
          <w:p w14:paraId="0904B4C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13.135</w:t>
            </w:r>
          </w:p>
        </w:tc>
        <w:tc>
          <w:tcPr>
            <w:tcW w:w="0" w:type="auto"/>
            <w:tcBorders>
              <w:top w:val="nil"/>
              <w:left w:val="nil"/>
              <w:bottom w:val="single" w:sz="4" w:space="0" w:color="auto"/>
              <w:right w:val="single" w:sz="4" w:space="0" w:color="auto"/>
            </w:tcBorders>
            <w:shd w:val="clear" w:color="auto" w:fill="auto"/>
            <w:vAlign w:val="center"/>
            <w:hideMark/>
          </w:tcPr>
          <w:p w14:paraId="1497107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025FF34A" w14:textId="77777777" w:rsidR="007425A1" w:rsidRPr="003F238D" w:rsidRDefault="007425A1" w:rsidP="008B7C11">
            <w:pPr>
              <w:rPr>
                <w:rFonts w:ascii="Cambria" w:hAnsi="Cambria" w:cs="Calibri"/>
                <w:color w:val="000000"/>
                <w:sz w:val="20"/>
                <w:szCs w:val="20"/>
                <w:lang w:val="es-US"/>
              </w:rPr>
            </w:pPr>
            <w:r w:rsidRPr="003F238D">
              <w:rPr>
                <w:rFonts w:ascii="Cambria" w:hAnsi="Cambria" w:cs="Calibri"/>
                <w:color w:val="000000"/>
                <w:sz w:val="20"/>
                <w:szCs w:val="20"/>
                <w:lang w:val="es-US"/>
              </w:rPr>
              <w:t xml:space="preserve">Adela </w:t>
            </w:r>
            <w:proofErr w:type="spellStart"/>
            <w:r w:rsidRPr="003F238D">
              <w:rPr>
                <w:rFonts w:ascii="Cambria" w:hAnsi="Cambria" w:cs="Calibri"/>
                <w:color w:val="000000"/>
                <w:sz w:val="20"/>
                <w:szCs w:val="20"/>
                <w:lang w:val="es-US"/>
              </w:rPr>
              <w:t>Breems</w:t>
            </w:r>
            <w:proofErr w:type="spellEnd"/>
            <w:r w:rsidRPr="003F238D">
              <w:rPr>
                <w:rFonts w:ascii="Cambria" w:hAnsi="Cambria" w:cs="Calibri"/>
                <w:color w:val="000000"/>
                <w:sz w:val="20"/>
                <w:szCs w:val="20"/>
                <w:lang w:val="es-US"/>
              </w:rPr>
              <w:t xml:space="preserve"> Vargas et al.</w:t>
            </w:r>
          </w:p>
        </w:tc>
        <w:tc>
          <w:tcPr>
            <w:tcW w:w="0" w:type="auto"/>
            <w:tcBorders>
              <w:top w:val="nil"/>
              <w:left w:val="nil"/>
              <w:bottom w:val="single" w:sz="4" w:space="0" w:color="auto"/>
              <w:right w:val="single" w:sz="4" w:space="0" w:color="auto"/>
            </w:tcBorders>
            <w:shd w:val="clear" w:color="auto" w:fill="auto"/>
            <w:vAlign w:val="center"/>
            <w:hideMark/>
          </w:tcPr>
          <w:p w14:paraId="3604FEA1" w14:textId="77777777" w:rsidR="007425A1" w:rsidRPr="00524435" w:rsidRDefault="007425A1" w:rsidP="008B7C11">
            <w:pPr>
              <w:jc w:val="center"/>
              <w:rPr>
                <w:rFonts w:ascii="Cambria" w:hAnsi="Cambria" w:cs="Calibri"/>
                <w:color w:val="000000"/>
                <w:sz w:val="20"/>
                <w:szCs w:val="20"/>
              </w:rPr>
            </w:pPr>
            <w:r w:rsidRPr="003F238D">
              <w:rPr>
                <w:rFonts w:ascii="Cambria" w:hAnsi="Cambria" w:cs="Calibri"/>
                <w:color w:val="000000"/>
                <w:sz w:val="20"/>
                <w:szCs w:val="20"/>
                <w:lang w:val="es-US"/>
              </w:rPr>
              <w:br/>
            </w:r>
            <w:r w:rsidRPr="00524435">
              <w:rPr>
                <w:rFonts w:ascii="Cambria" w:hAnsi="Cambria" w:cs="Calibri"/>
                <w:i/>
                <w:iCs/>
                <w:color w:val="000000"/>
                <w:sz w:val="20"/>
                <w:szCs w:val="20"/>
              </w:rPr>
              <w:t>Merit</w:t>
            </w:r>
          </w:p>
        </w:tc>
      </w:tr>
      <w:tr w:rsidR="007425A1" w:rsidRPr="00524435" w14:paraId="462A9F72"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80C87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47</w:t>
            </w:r>
          </w:p>
        </w:tc>
        <w:tc>
          <w:tcPr>
            <w:tcW w:w="0" w:type="auto"/>
            <w:tcBorders>
              <w:top w:val="nil"/>
              <w:left w:val="nil"/>
              <w:bottom w:val="single" w:sz="4" w:space="0" w:color="auto"/>
              <w:right w:val="single" w:sz="4" w:space="0" w:color="auto"/>
            </w:tcBorders>
            <w:shd w:val="clear" w:color="auto" w:fill="auto"/>
            <w:vAlign w:val="center"/>
            <w:hideMark/>
          </w:tcPr>
          <w:p w14:paraId="4396982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0357E8B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P-1329-06</w:t>
            </w:r>
          </w:p>
        </w:tc>
        <w:tc>
          <w:tcPr>
            <w:tcW w:w="0" w:type="auto"/>
            <w:tcBorders>
              <w:top w:val="nil"/>
              <w:left w:val="nil"/>
              <w:bottom w:val="single" w:sz="4" w:space="0" w:color="auto"/>
              <w:right w:val="single" w:sz="4" w:space="0" w:color="auto"/>
            </w:tcBorders>
            <w:shd w:val="clear" w:color="auto" w:fill="auto"/>
            <w:vAlign w:val="center"/>
            <w:hideMark/>
          </w:tcPr>
          <w:p w14:paraId="5E88429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13.172</w:t>
            </w:r>
          </w:p>
        </w:tc>
        <w:tc>
          <w:tcPr>
            <w:tcW w:w="0" w:type="auto"/>
            <w:tcBorders>
              <w:top w:val="nil"/>
              <w:left w:val="nil"/>
              <w:bottom w:val="single" w:sz="4" w:space="0" w:color="auto"/>
              <w:right w:val="single" w:sz="4" w:space="0" w:color="auto"/>
            </w:tcBorders>
            <w:shd w:val="clear" w:color="auto" w:fill="auto"/>
            <w:vAlign w:val="center"/>
            <w:hideMark/>
          </w:tcPr>
          <w:p w14:paraId="2C6FBA4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554B0A31"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Johan Paolo Herrera Gaviria.</w:t>
            </w:r>
          </w:p>
        </w:tc>
        <w:tc>
          <w:tcPr>
            <w:tcW w:w="0" w:type="auto"/>
            <w:tcBorders>
              <w:top w:val="nil"/>
              <w:left w:val="nil"/>
              <w:bottom w:val="single" w:sz="4" w:space="0" w:color="auto"/>
              <w:right w:val="single" w:sz="4" w:space="0" w:color="auto"/>
            </w:tcBorders>
            <w:shd w:val="clear" w:color="auto" w:fill="auto"/>
            <w:vAlign w:val="center"/>
            <w:hideMark/>
          </w:tcPr>
          <w:p w14:paraId="3AD2DB0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122B61BB" w14:textId="77777777" w:rsidTr="008B7C11">
        <w:trPr>
          <w:trHeight w:val="226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33BFD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48</w:t>
            </w:r>
          </w:p>
        </w:tc>
        <w:tc>
          <w:tcPr>
            <w:tcW w:w="0" w:type="auto"/>
            <w:tcBorders>
              <w:top w:val="nil"/>
              <w:left w:val="nil"/>
              <w:bottom w:val="single" w:sz="4" w:space="0" w:color="auto"/>
              <w:right w:val="single" w:sz="4" w:space="0" w:color="auto"/>
            </w:tcBorders>
            <w:shd w:val="clear" w:color="auto" w:fill="auto"/>
            <w:vAlign w:val="center"/>
            <w:hideMark/>
          </w:tcPr>
          <w:p w14:paraId="185281E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304D5D32"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P-1481-06</w:t>
            </w:r>
          </w:p>
        </w:tc>
        <w:tc>
          <w:tcPr>
            <w:tcW w:w="0" w:type="auto"/>
            <w:tcBorders>
              <w:top w:val="nil"/>
              <w:left w:val="nil"/>
              <w:bottom w:val="single" w:sz="4" w:space="0" w:color="auto"/>
              <w:right w:val="single" w:sz="4" w:space="0" w:color="auto"/>
            </w:tcBorders>
            <w:shd w:val="clear" w:color="auto" w:fill="auto"/>
            <w:vAlign w:val="center"/>
            <w:hideMark/>
          </w:tcPr>
          <w:p w14:paraId="22FD137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13.569</w:t>
            </w:r>
          </w:p>
        </w:tc>
        <w:tc>
          <w:tcPr>
            <w:tcW w:w="0" w:type="auto"/>
            <w:tcBorders>
              <w:top w:val="nil"/>
              <w:left w:val="nil"/>
              <w:bottom w:val="single" w:sz="4" w:space="0" w:color="auto"/>
              <w:right w:val="single" w:sz="4" w:space="0" w:color="auto"/>
            </w:tcBorders>
            <w:shd w:val="clear" w:color="auto" w:fill="auto"/>
            <w:vAlign w:val="center"/>
            <w:hideMark/>
          </w:tcPr>
          <w:p w14:paraId="61DFAC7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5CE75573" w14:textId="77777777" w:rsidR="007425A1" w:rsidRPr="003F238D" w:rsidRDefault="007425A1" w:rsidP="008B7C11">
            <w:pPr>
              <w:rPr>
                <w:rFonts w:ascii="Cambria" w:hAnsi="Cambria" w:cs="Calibri"/>
                <w:color w:val="000000"/>
                <w:sz w:val="20"/>
                <w:szCs w:val="20"/>
                <w:lang w:val="es-US"/>
              </w:rPr>
            </w:pPr>
            <w:r w:rsidRPr="003F238D">
              <w:rPr>
                <w:rFonts w:ascii="Cambria" w:hAnsi="Cambria" w:cs="Calibri"/>
                <w:color w:val="000000"/>
                <w:sz w:val="20"/>
                <w:szCs w:val="20"/>
                <w:lang w:val="es-US"/>
              </w:rPr>
              <w:t xml:space="preserve">Amanda Rodríguez </w:t>
            </w:r>
            <w:proofErr w:type="gramStart"/>
            <w:r w:rsidRPr="003F238D">
              <w:rPr>
                <w:rFonts w:ascii="Cambria" w:hAnsi="Cambria" w:cs="Calibri"/>
                <w:color w:val="000000"/>
                <w:sz w:val="20"/>
                <w:szCs w:val="20"/>
                <w:lang w:val="es-US"/>
              </w:rPr>
              <w:t>Romero ,</w:t>
            </w:r>
            <w:proofErr w:type="gramEnd"/>
            <w:r w:rsidRPr="003F238D">
              <w:rPr>
                <w:rFonts w:ascii="Cambria" w:hAnsi="Cambria" w:cs="Calibri"/>
                <w:color w:val="000000"/>
                <w:sz w:val="20"/>
                <w:szCs w:val="20"/>
                <w:lang w:val="es-US"/>
              </w:rPr>
              <w:t xml:space="preserve"> María del Pilar Rodríguez Vivas, Rosa María Beltrán, María Josefa Medina Castellanos, </w:t>
            </w:r>
            <w:proofErr w:type="spellStart"/>
            <w:r w:rsidRPr="003F238D">
              <w:rPr>
                <w:rFonts w:ascii="Cambria" w:hAnsi="Cambria" w:cs="Calibri"/>
                <w:color w:val="000000"/>
                <w:sz w:val="20"/>
                <w:szCs w:val="20"/>
                <w:lang w:val="es-US"/>
              </w:rPr>
              <w:t>Yomali</w:t>
            </w:r>
            <w:proofErr w:type="spellEnd"/>
            <w:r w:rsidRPr="003F238D">
              <w:rPr>
                <w:rFonts w:ascii="Cambria" w:hAnsi="Cambria" w:cs="Calibri"/>
                <w:color w:val="000000"/>
                <w:sz w:val="20"/>
                <w:szCs w:val="20"/>
                <w:lang w:val="es-US"/>
              </w:rPr>
              <w:t xml:space="preserve"> Bulla Latorre, Luz Marina Riveros Baquero, Miriam Rosa Morales </w:t>
            </w:r>
            <w:proofErr w:type="spellStart"/>
            <w:r w:rsidRPr="003F238D">
              <w:rPr>
                <w:rFonts w:ascii="Cambria" w:hAnsi="Cambria" w:cs="Calibri"/>
                <w:color w:val="000000"/>
                <w:sz w:val="20"/>
                <w:szCs w:val="20"/>
                <w:lang w:val="es-US"/>
              </w:rPr>
              <w:t>Morales</w:t>
            </w:r>
            <w:proofErr w:type="spellEnd"/>
            <w:r w:rsidRPr="003F238D">
              <w:rPr>
                <w:rFonts w:ascii="Cambria" w:hAnsi="Cambria" w:cs="Calibri"/>
                <w:color w:val="000000"/>
                <w:sz w:val="20"/>
                <w:szCs w:val="20"/>
                <w:lang w:val="es-US"/>
              </w:rPr>
              <w:t>.</w:t>
            </w:r>
          </w:p>
        </w:tc>
        <w:tc>
          <w:tcPr>
            <w:tcW w:w="0" w:type="auto"/>
            <w:tcBorders>
              <w:top w:val="nil"/>
              <w:left w:val="nil"/>
              <w:bottom w:val="single" w:sz="4" w:space="0" w:color="auto"/>
              <w:right w:val="single" w:sz="4" w:space="0" w:color="auto"/>
            </w:tcBorders>
            <w:shd w:val="clear" w:color="auto" w:fill="auto"/>
            <w:vAlign w:val="center"/>
            <w:hideMark/>
          </w:tcPr>
          <w:p w14:paraId="31C5F3EC" w14:textId="77777777" w:rsidR="007425A1" w:rsidRPr="00524435" w:rsidRDefault="007425A1" w:rsidP="008B7C11">
            <w:pPr>
              <w:jc w:val="center"/>
              <w:rPr>
                <w:rFonts w:ascii="Cambria" w:hAnsi="Cambria" w:cs="Calibri"/>
                <w:color w:val="000000"/>
                <w:sz w:val="20"/>
                <w:szCs w:val="20"/>
              </w:rPr>
            </w:pPr>
            <w:r w:rsidRPr="003F238D">
              <w:rPr>
                <w:rFonts w:ascii="Cambria" w:hAnsi="Cambria" w:cs="Calibri"/>
                <w:color w:val="000000"/>
                <w:sz w:val="20"/>
                <w:szCs w:val="20"/>
                <w:lang w:val="es-US"/>
              </w:rPr>
              <w:br/>
            </w:r>
            <w:r w:rsidRPr="00524435">
              <w:rPr>
                <w:rFonts w:ascii="Cambria" w:hAnsi="Cambria" w:cs="Calibri"/>
                <w:i/>
                <w:iCs/>
                <w:color w:val="000000"/>
                <w:sz w:val="20"/>
                <w:szCs w:val="20"/>
              </w:rPr>
              <w:t>Merit</w:t>
            </w:r>
          </w:p>
        </w:tc>
      </w:tr>
      <w:tr w:rsidR="007425A1" w:rsidRPr="00524435" w14:paraId="3F2F6F1E" w14:textId="77777777" w:rsidTr="008B7C11">
        <w:trPr>
          <w:trHeight w:val="179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550F0D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49</w:t>
            </w:r>
          </w:p>
        </w:tc>
        <w:tc>
          <w:tcPr>
            <w:tcW w:w="0" w:type="auto"/>
            <w:tcBorders>
              <w:top w:val="nil"/>
              <w:left w:val="nil"/>
              <w:bottom w:val="single" w:sz="4" w:space="0" w:color="auto"/>
              <w:right w:val="single" w:sz="4" w:space="0" w:color="auto"/>
            </w:tcBorders>
            <w:shd w:val="clear" w:color="auto" w:fill="auto"/>
            <w:vAlign w:val="center"/>
            <w:hideMark/>
          </w:tcPr>
          <w:p w14:paraId="2D35356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6D4DEE6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P-466-06</w:t>
            </w:r>
          </w:p>
        </w:tc>
        <w:tc>
          <w:tcPr>
            <w:tcW w:w="0" w:type="auto"/>
            <w:tcBorders>
              <w:top w:val="nil"/>
              <w:left w:val="nil"/>
              <w:bottom w:val="single" w:sz="4" w:space="0" w:color="auto"/>
              <w:right w:val="single" w:sz="4" w:space="0" w:color="auto"/>
            </w:tcBorders>
            <w:shd w:val="clear" w:color="auto" w:fill="auto"/>
            <w:vAlign w:val="center"/>
            <w:hideMark/>
          </w:tcPr>
          <w:p w14:paraId="61BFE4A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13.520</w:t>
            </w:r>
          </w:p>
        </w:tc>
        <w:tc>
          <w:tcPr>
            <w:tcW w:w="0" w:type="auto"/>
            <w:tcBorders>
              <w:top w:val="nil"/>
              <w:left w:val="nil"/>
              <w:bottom w:val="single" w:sz="4" w:space="0" w:color="auto"/>
              <w:right w:val="single" w:sz="4" w:space="0" w:color="auto"/>
            </w:tcBorders>
            <w:shd w:val="clear" w:color="auto" w:fill="auto"/>
            <w:vAlign w:val="center"/>
            <w:hideMark/>
          </w:tcPr>
          <w:p w14:paraId="19B3784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151998E1" w14:textId="77777777" w:rsidR="007425A1" w:rsidRPr="003F238D" w:rsidRDefault="007425A1" w:rsidP="008B7C11">
            <w:pPr>
              <w:rPr>
                <w:rFonts w:ascii="Cambria" w:hAnsi="Cambria" w:cs="Calibri"/>
                <w:color w:val="000000"/>
                <w:sz w:val="20"/>
                <w:szCs w:val="20"/>
                <w:lang w:val="es-US"/>
              </w:rPr>
            </w:pPr>
            <w:r w:rsidRPr="003F238D">
              <w:rPr>
                <w:rFonts w:ascii="Cambria" w:hAnsi="Cambria" w:cs="Calibri"/>
                <w:color w:val="000000"/>
                <w:sz w:val="20"/>
                <w:szCs w:val="20"/>
                <w:lang w:val="es-US"/>
              </w:rPr>
              <w:t xml:space="preserve">Martha Lucía Delgado Martínez, Jesús María Urrea </w:t>
            </w:r>
            <w:proofErr w:type="spellStart"/>
            <w:proofErr w:type="gramStart"/>
            <w:r w:rsidRPr="003F238D">
              <w:rPr>
                <w:rFonts w:ascii="Cambria" w:hAnsi="Cambria" w:cs="Calibri"/>
                <w:color w:val="000000"/>
                <w:sz w:val="20"/>
                <w:szCs w:val="20"/>
                <w:lang w:val="es-US"/>
              </w:rPr>
              <w:t>Amezquita</w:t>
            </w:r>
            <w:proofErr w:type="spellEnd"/>
            <w:r w:rsidRPr="003F238D">
              <w:rPr>
                <w:rFonts w:ascii="Cambria" w:hAnsi="Cambria" w:cs="Calibri"/>
                <w:color w:val="000000"/>
                <w:sz w:val="20"/>
                <w:szCs w:val="20"/>
                <w:lang w:val="es-US"/>
              </w:rPr>
              <w:t>,  José</w:t>
            </w:r>
            <w:proofErr w:type="gramEnd"/>
            <w:r w:rsidRPr="003F238D">
              <w:rPr>
                <w:rFonts w:ascii="Cambria" w:hAnsi="Cambria" w:cs="Calibri"/>
                <w:color w:val="000000"/>
                <w:sz w:val="20"/>
                <w:szCs w:val="20"/>
                <w:lang w:val="es-US"/>
              </w:rPr>
              <w:t xml:space="preserve"> María Sarmiento y Antonio Álvaro Mejía Grijalba, José María Sarmiento </w:t>
            </w:r>
            <w:proofErr w:type="spellStart"/>
            <w:r w:rsidRPr="003F238D">
              <w:rPr>
                <w:rFonts w:ascii="Cambria" w:hAnsi="Cambria" w:cs="Calibri"/>
                <w:color w:val="000000"/>
                <w:sz w:val="20"/>
                <w:szCs w:val="20"/>
                <w:lang w:val="es-US"/>
              </w:rPr>
              <w:t>Ortíz</w:t>
            </w:r>
            <w:proofErr w:type="spellEnd"/>
            <w:r w:rsidRPr="003F238D">
              <w:rPr>
                <w:rFonts w:ascii="Cambria" w:hAnsi="Cambria" w:cs="Calibri"/>
                <w:color w:val="000000"/>
                <w:sz w:val="20"/>
                <w:szCs w:val="20"/>
                <w:lang w:val="es-US"/>
              </w:rPr>
              <w:t xml:space="preserve"> y Antonio Álvaro Mejía Grijalba.</w:t>
            </w:r>
          </w:p>
        </w:tc>
        <w:tc>
          <w:tcPr>
            <w:tcW w:w="0" w:type="auto"/>
            <w:tcBorders>
              <w:top w:val="nil"/>
              <w:left w:val="nil"/>
              <w:bottom w:val="single" w:sz="4" w:space="0" w:color="auto"/>
              <w:right w:val="single" w:sz="4" w:space="0" w:color="auto"/>
            </w:tcBorders>
            <w:shd w:val="clear" w:color="auto" w:fill="auto"/>
            <w:vAlign w:val="center"/>
            <w:hideMark/>
          </w:tcPr>
          <w:p w14:paraId="120AB0DB" w14:textId="77777777" w:rsidR="007425A1" w:rsidRPr="00524435" w:rsidRDefault="007425A1" w:rsidP="008B7C11">
            <w:pPr>
              <w:jc w:val="center"/>
              <w:rPr>
                <w:rFonts w:ascii="Cambria" w:hAnsi="Cambria" w:cs="Calibri"/>
                <w:color w:val="000000"/>
                <w:sz w:val="20"/>
                <w:szCs w:val="20"/>
              </w:rPr>
            </w:pPr>
            <w:r w:rsidRPr="003F238D">
              <w:rPr>
                <w:rFonts w:ascii="Cambria" w:hAnsi="Cambria" w:cs="Calibri"/>
                <w:color w:val="000000"/>
                <w:sz w:val="20"/>
                <w:szCs w:val="20"/>
                <w:lang w:val="es-US"/>
              </w:rPr>
              <w:br/>
            </w:r>
            <w:r w:rsidRPr="00524435">
              <w:rPr>
                <w:rFonts w:ascii="Cambria" w:hAnsi="Cambria" w:cs="Calibri"/>
                <w:i/>
                <w:iCs/>
                <w:color w:val="000000"/>
                <w:sz w:val="20"/>
                <w:szCs w:val="20"/>
              </w:rPr>
              <w:t>Merit</w:t>
            </w:r>
          </w:p>
        </w:tc>
      </w:tr>
      <w:tr w:rsidR="007425A1" w:rsidRPr="00524435" w14:paraId="7EB9E46C" w14:textId="77777777" w:rsidTr="008B7C11">
        <w:trPr>
          <w:trHeight w:val="31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C6962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50</w:t>
            </w:r>
          </w:p>
        </w:tc>
        <w:tc>
          <w:tcPr>
            <w:tcW w:w="0" w:type="auto"/>
            <w:tcBorders>
              <w:top w:val="nil"/>
              <w:left w:val="nil"/>
              <w:bottom w:val="single" w:sz="4" w:space="0" w:color="auto"/>
              <w:right w:val="single" w:sz="4" w:space="0" w:color="auto"/>
            </w:tcBorders>
            <w:shd w:val="clear" w:color="auto" w:fill="auto"/>
            <w:vAlign w:val="center"/>
            <w:hideMark/>
          </w:tcPr>
          <w:p w14:paraId="727B689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0367CCC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P-691-06</w:t>
            </w:r>
          </w:p>
        </w:tc>
        <w:tc>
          <w:tcPr>
            <w:tcW w:w="0" w:type="auto"/>
            <w:tcBorders>
              <w:top w:val="nil"/>
              <w:left w:val="nil"/>
              <w:bottom w:val="single" w:sz="4" w:space="0" w:color="auto"/>
              <w:right w:val="single" w:sz="4" w:space="0" w:color="auto"/>
            </w:tcBorders>
            <w:shd w:val="clear" w:color="auto" w:fill="auto"/>
            <w:vAlign w:val="center"/>
            <w:hideMark/>
          </w:tcPr>
          <w:p w14:paraId="402703F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13.530</w:t>
            </w:r>
          </w:p>
        </w:tc>
        <w:tc>
          <w:tcPr>
            <w:tcW w:w="0" w:type="auto"/>
            <w:tcBorders>
              <w:top w:val="nil"/>
              <w:left w:val="nil"/>
              <w:bottom w:val="single" w:sz="4" w:space="0" w:color="auto"/>
              <w:right w:val="single" w:sz="4" w:space="0" w:color="auto"/>
            </w:tcBorders>
            <w:shd w:val="clear" w:color="auto" w:fill="auto"/>
            <w:vAlign w:val="center"/>
            <w:hideMark/>
          </w:tcPr>
          <w:p w14:paraId="33D0249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5318E3D0" w14:textId="77777777" w:rsidR="007425A1" w:rsidRPr="003F238D" w:rsidRDefault="007425A1" w:rsidP="008B7C11">
            <w:pPr>
              <w:rPr>
                <w:rFonts w:ascii="Cambria" w:hAnsi="Cambria" w:cs="Calibri"/>
                <w:color w:val="000000"/>
                <w:sz w:val="20"/>
                <w:szCs w:val="20"/>
                <w:lang w:val="es-US"/>
              </w:rPr>
            </w:pPr>
            <w:r w:rsidRPr="003F238D">
              <w:rPr>
                <w:rFonts w:ascii="Cambria" w:hAnsi="Cambria" w:cs="Calibri"/>
                <w:color w:val="000000"/>
                <w:sz w:val="20"/>
                <w:szCs w:val="20"/>
                <w:lang w:val="es-US"/>
              </w:rPr>
              <w:t xml:space="preserve">Margarita Patricia Forero </w:t>
            </w:r>
            <w:proofErr w:type="gramStart"/>
            <w:r w:rsidRPr="003F238D">
              <w:rPr>
                <w:rFonts w:ascii="Cambria" w:hAnsi="Cambria" w:cs="Calibri"/>
                <w:color w:val="000000"/>
                <w:sz w:val="20"/>
                <w:szCs w:val="20"/>
                <w:lang w:val="es-US"/>
              </w:rPr>
              <w:t>Rincón ,</w:t>
            </w:r>
            <w:proofErr w:type="gramEnd"/>
            <w:r w:rsidRPr="003F238D">
              <w:rPr>
                <w:rFonts w:ascii="Cambria" w:hAnsi="Cambria" w:cs="Calibri"/>
                <w:color w:val="000000"/>
                <w:sz w:val="20"/>
                <w:szCs w:val="20"/>
                <w:lang w:val="es-US"/>
              </w:rPr>
              <w:t xml:space="preserve"> Clara Esperanza Salazar Arango, Martha Lucia Varela Angarita, Fabio </w:t>
            </w:r>
            <w:proofErr w:type="spellStart"/>
            <w:r w:rsidRPr="003F238D">
              <w:rPr>
                <w:rFonts w:ascii="Cambria" w:hAnsi="Cambria" w:cs="Calibri"/>
                <w:color w:val="000000"/>
                <w:sz w:val="20"/>
                <w:szCs w:val="20"/>
                <w:lang w:val="es-US"/>
              </w:rPr>
              <w:t>Hernan</w:t>
            </w:r>
            <w:proofErr w:type="spellEnd"/>
            <w:r w:rsidRPr="003F238D">
              <w:rPr>
                <w:rFonts w:ascii="Cambria" w:hAnsi="Cambria" w:cs="Calibri"/>
                <w:color w:val="000000"/>
                <w:sz w:val="20"/>
                <w:szCs w:val="20"/>
                <w:lang w:val="es-US"/>
              </w:rPr>
              <w:t xml:space="preserve"> </w:t>
            </w:r>
            <w:proofErr w:type="spellStart"/>
            <w:r w:rsidRPr="003F238D">
              <w:rPr>
                <w:rFonts w:ascii="Cambria" w:hAnsi="Cambria" w:cs="Calibri"/>
                <w:color w:val="000000"/>
                <w:sz w:val="20"/>
                <w:szCs w:val="20"/>
                <w:lang w:val="es-US"/>
              </w:rPr>
              <w:t>Corchuelo</w:t>
            </w:r>
            <w:proofErr w:type="spellEnd"/>
            <w:r w:rsidRPr="003F238D">
              <w:rPr>
                <w:rFonts w:ascii="Cambria" w:hAnsi="Cambria" w:cs="Calibri"/>
                <w:color w:val="000000"/>
                <w:sz w:val="20"/>
                <w:szCs w:val="20"/>
                <w:lang w:val="es-US"/>
              </w:rPr>
              <w:t xml:space="preserve"> Buitrago, Jorge Alcides Hernández </w:t>
            </w:r>
            <w:proofErr w:type="spellStart"/>
            <w:r w:rsidRPr="003F238D">
              <w:rPr>
                <w:rFonts w:ascii="Cambria" w:hAnsi="Cambria" w:cs="Calibri"/>
                <w:color w:val="000000"/>
                <w:sz w:val="20"/>
                <w:szCs w:val="20"/>
                <w:lang w:val="es-US"/>
              </w:rPr>
              <w:t>Hernández</w:t>
            </w:r>
            <w:proofErr w:type="spellEnd"/>
            <w:r w:rsidRPr="003F238D">
              <w:rPr>
                <w:rFonts w:ascii="Cambria" w:hAnsi="Cambria" w:cs="Calibri"/>
                <w:color w:val="000000"/>
                <w:sz w:val="20"/>
                <w:szCs w:val="20"/>
                <w:lang w:val="es-US"/>
              </w:rPr>
              <w:t xml:space="preserve">, Francy Milena García Bedoya, Luz Marina Rodríguez Sánchez, Carmen Elisa Balaguera Reyes, Jairo Alberto Barros Sierra, </w:t>
            </w:r>
            <w:proofErr w:type="spellStart"/>
            <w:r w:rsidRPr="003F238D">
              <w:rPr>
                <w:rFonts w:ascii="Cambria" w:hAnsi="Cambria" w:cs="Calibri"/>
                <w:color w:val="000000"/>
                <w:sz w:val="20"/>
                <w:szCs w:val="20"/>
                <w:lang w:val="es-US"/>
              </w:rPr>
              <w:t>Luding</w:t>
            </w:r>
            <w:proofErr w:type="spellEnd"/>
            <w:r w:rsidRPr="003F238D">
              <w:rPr>
                <w:rFonts w:ascii="Cambria" w:hAnsi="Cambria" w:cs="Calibri"/>
                <w:color w:val="000000"/>
                <w:sz w:val="20"/>
                <w:szCs w:val="20"/>
                <w:lang w:val="es-US"/>
              </w:rPr>
              <w:t xml:space="preserve"> del Carmen Pérez </w:t>
            </w:r>
            <w:proofErr w:type="spellStart"/>
            <w:r w:rsidRPr="003F238D">
              <w:rPr>
                <w:rFonts w:ascii="Cambria" w:hAnsi="Cambria" w:cs="Calibri"/>
                <w:color w:val="000000"/>
                <w:sz w:val="20"/>
                <w:szCs w:val="20"/>
                <w:lang w:val="es-US"/>
              </w:rPr>
              <w:t>Name</w:t>
            </w:r>
            <w:proofErr w:type="spellEnd"/>
            <w:r w:rsidRPr="003F238D">
              <w:rPr>
                <w:rFonts w:ascii="Cambria" w:hAnsi="Cambria" w:cs="Calibri"/>
                <w:color w:val="000000"/>
                <w:sz w:val="20"/>
                <w:szCs w:val="20"/>
                <w:lang w:val="es-US"/>
              </w:rPr>
              <w:t>.</w:t>
            </w:r>
          </w:p>
        </w:tc>
        <w:tc>
          <w:tcPr>
            <w:tcW w:w="0" w:type="auto"/>
            <w:tcBorders>
              <w:top w:val="nil"/>
              <w:left w:val="nil"/>
              <w:bottom w:val="single" w:sz="4" w:space="0" w:color="auto"/>
              <w:right w:val="single" w:sz="4" w:space="0" w:color="auto"/>
            </w:tcBorders>
            <w:shd w:val="clear" w:color="auto" w:fill="auto"/>
            <w:vAlign w:val="center"/>
            <w:hideMark/>
          </w:tcPr>
          <w:p w14:paraId="7CE8816B" w14:textId="77777777" w:rsidR="007425A1" w:rsidRPr="00524435" w:rsidRDefault="007425A1" w:rsidP="008B7C11">
            <w:pPr>
              <w:jc w:val="center"/>
              <w:rPr>
                <w:rFonts w:ascii="Cambria" w:hAnsi="Cambria" w:cs="Calibri"/>
                <w:color w:val="000000"/>
                <w:sz w:val="20"/>
                <w:szCs w:val="20"/>
              </w:rPr>
            </w:pPr>
            <w:r w:rsidRPr="003F238D">
              <w:rPr>
                <w:rFonts w:ascii="Cambria" w:hAnsi="Cambria" w:cs="Calibri"/>
                <w:color w:val="000000"/>
                <w:sz w:val="20"/>
                <w:szCs w:val="20"/>
                <w:lang w:val="es-US"/>
              </w:rPr>
              <w:br/>
            </w:r>
            <w:r w:rsidRPr="00524435">
              <w:rPr>
                <w:rFonts w:ascii="Cambria" w:hAnsi="Cambria" w:cs="Calibri"/>
                <w:i/>
                <w:iCs/>
                <w:color w:val="000000"/>
                <w:sz w:val="20"/>
                <w:szCs w:val="20"/>
              </w:rPr>
              <w:t>Merit</w:t>
            </w:r>
          </w:p>
        </w:tc>
      </w:tr>
      <w:tr w:rsidR="007425A1" w:rsidRPr="00524435" w14:paraId="72D82BE5"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7CFB7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51</w:t>
            </w:r>
          </w:p>
        </w:tc>
        <w:tc>
          <w:tcPr>
            <w:tcW w:w="0" w:type="auto"/>
            <w:tcBorders>
              <w:top w:val="nil"/>
              <w:left w:val="nil"/>
              <w:bottom w:val="single" w:sz="4" w:space="0" w:color="auto"/>
              <w:right w:val="single" w:sz="4" w:space="0" w:color="auto"/>
            </w:tcBorders>
            <w:shd w:val="clear" w:color="auto" w:fill="auto"/>
            <w:vAlign w:val="center"/>
            <w:hideMark/>
          </w:tcPr>
          <w:p w14:paraId="21C8FF2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36F0F746"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P-1484-07</w:t>
            </w:r>
          </w:p>
        </w:tc>
        <w:tc>
          <w:tcPr>
            <w:tcW w:w="0" w:type="auto"/>
            <w:tcBorders>
              <w:top w:val="nil"/>
              <w:left w:val="nil"/>
              <w:bottom w:val="single" w:sz="4" w:space="0" w:color="auto"/>
              <w:right w:val="single" w:sz="4" w:space="0" w:color="auto"/>
            </w:tcBorders>
            <w:shd w:val="clear" w:color="auto" w:fill="auto"/>
            <w:vAlign w:val="center"/>
            <w:hideMark/>
          </w:tcPr>
          <w:p w14:paraId="554B012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13.384</w:t>
            </w:r>
          </w:p>
        </w:tc>
        <w:tc>
          <w:tcPr>
            <w:tcW w:w="0" w:type="auto"/>
            <w:tcBorders>
              <w:top w:val="nil"/>
              <w:left w:val="nil"/>
              <w:bottom w:val="single" w:sz="4" w:space="0" w:color="auto"/>
              <w:right w:val="single" w:sz="4" w:space="0" w:color="auto"/>
            </w:tcBorders>
            <w:shd w:val="clear" w:color="auto" w:fill="auto"/>
            <w:vAlign w:val="center"/>
            <w:hideMark/>
          </w:tcPr>
          <w:p w14:paraId="3979503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7E0786FA" w14:textId="77777777" w:rsidR="007425A1" w:rsidRPr="003F238D" w:rsidRDefault="007425A1" w:rsidP="008B7C11">
            <w:pPr>
              <w:rPr>
                <w:rFonts w:ascii="Cambria" w:hAnsi="Cambria" w:cs="Calibri"/>
                <w:color w:val="000000"/>
                <w:sz w:val="20"/>
                <w:szCs w:val="20"/>
                <w:lang w:val="es-US"/>
              </w:rPr>
            </w:pPr>
            <w:r w:rsidRPr="003F238D">
              <w:rPr>
                <w:rFonts w:ascii="Cambria" w:hAnsi="Cambria" w:cs="Calibri"/>
                <w:color w:val="000000"/>
                <w:sz w:val="20"/>
                <w:szCs w:val="20"/>
                <w:lang w:val="es-US"/>
              </w:rPr>
              <w:t xml:space="preserve">Carmen Luz </w:t>
            </w:r>
            <w:proofErr w:type="spellStart"/>
            <w:r w:rsidRPr="003F238D">
              <w:rPr>
                <w:rFonts w:ascii="Cambria" w:hAnsi="Cambria" w:cs="Calibri"/>
                <w:color w:val="000000"/>
                <w:sz w:val="20"/>
                <w:szCs w:val="20"/>
                <w:lang w:val="es-US"/>
              </w:rPr>
              <w:t>Cuchimba</w:t>
            </w:r>
            <w:proofErr w:type="spellEnd"/>
            <w:r w:rsidRPr="003F238D">
              <w:rPr>
                <w:rFonts w:ascii="Cambria" w:hAnsi="Cambria" w:cs="Calibri"/>
                <w:color w:val="000000"/>
                <w:sz w:val="20"/>
                <w:szCs w:val="20"/>
                <w:lang w:val="es-US"/>
              </w:rPr>
              <w:t xml:space="preserve"> Vallejo et al.</w:t>
            </w:r>
          </w:p>
        </w:tc>
        <w:tc>
          <w:tcPr>
            <w:tcW w:w="0" w:type="auto"/>
            <w:tcBorders>
              <w:top w:val="nil"/>
              <w:left w:val="nil"/>
              <w:bottom w:val="single" w:sz="4" w:space="0" w:color="auto"/>
              <w:right w:val="single" w:sz="4" w:space="0" w:color="auto"/>
            </w:tcBorders>
            <w:shd w:val="clear" w:color="auto" w:fill="auto"/>
            <w:vAlign w:val="center"/>
            <w:hideMark/>
          </w:tcPr>
          <w:p w14:paraId="01D210B9" w14:textId="77777777" w:rsidR="007425A1" w:rsidRPr="00524435" w:rsidRDefault="007425A1" w:rsidP="008B7C11">
            <w:pPr>
              <w:jc w:val="center"/>
              <w:rPr>
                <w:rFonts w:ascii="Cambria" w:hAnsi="Cambria" w:cs="Calibri"/>
                <w:color w:val="000000"/>
                <w:sz w:val="20"/>
                <w:szCs w:val="20"/>
              </w:rPr>
            </w:pPr>
            <w:r w:rsidRPr="003F238D">
              <w:rPr>
                <w:rFonts w:ascii="Cambria" w:hAnsi="Cambria" w:cs="Calibri"/>
                <w:color w:val="000000"/>
                <w:sz w:val="20"/>
                <w:szCs w:val="20"/>
                <w:lang w:val="es-US"/>
              </w:rPr>
              <w:br/>
            </w:r>
            <w:r w:rsidRPr="00524435">
              <w:rPr>
                <w:rFonts w:ascii="Cambria" w:hAnsi="Cambria" w:cs="Calibri"/>
                <w:i/>
                <w:iCs/>
                <w:color w:val="000000"/>
                <w:sz w:val="20"/>
                <w:szCs w:val="20"/>
              </w:rPr>
              <w:t>Merit</w:t>
            </w:r>
          </w:p>
        </w:tc>
      </w:tr>
      <w:tr w:rsidR="007425A1" w:rsidRPr="00524435" w14:paraId="28C1B358" w14:textId="77777777" w:rsidTr="008B7C11">
        <w:trPr>
          <w:trHeight w:val="9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A18F43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52</w:t>
            </w:r>
          </w:p>
        </w:tc>
        <w:tc>
          <w:tcPr>
            <w:tcW w:w="0" w:type="auto"/>
            <w:tcBorders>
              <w:top w:val="nil"/>
              <w:left w:val="nil"/>
              <w:bottom w:val="single" w:sz="4" w:space="0" w:color="auto"/>
              <w:right w:val="single" w:sz="4" w:space="0" w:color="auto"/>
            </w:tcBorders>
            <w:shd w:val="clear" w:color="auto" w:fill="auto"/>
            <w:vAlign w:val="center"/>
            <w:hideMark/>
          </w:tcPr>
          <w:p w14:paraId="5A5DD4D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5CBB4DC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P-239-07</w:t>
            </w:r>
          </w:p>
        </w:tc>
        <w:tc>
          <w:tcPr>
            <w:tcW w:w="0" w:type="auto"/>
            <w:tcBorders>
              <w:top w:val="nil"/>
              <w:left w:val="nil"/>
              <w:bottom w:val="single" w:sz="4" w:space="0" w:color="auto"/>
              <w:right w:val="single" w:sz="4" w:space="0" w:color="auto"/>
            </w:tcBorders>
            <w:shd w:val="clear" w:color="auto" w:fill="auto"/>
            <w:vAlign w:val="center"/>
            <w:hideMark/>
          </w:tcPr>
          <w:p w14:paraId="18A3363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13.096</w:t>
            </w:r>
          </w:p>
        </w:tc>
        <w:tc>
          <w:tcPr>
            <w:tcW w:w="0" w:type="auto"/>
            <w:tcBorders>
              <w:top w:val="nil"/>
              <w:left w:val="nil"/>
              <w:bottom w:val="single" w:sz="4" w:space="0" w:color="auto"/>
              <w:right w:val="single" w:sz="4" w:space="0" w:color="auto"/>
            </w:tcBorders>
            <w:shd w:val="clear" w:color="auto" w:fill="auto"/>
            <w:vAlign w:val="center"/>
            <w:hideMark/>
          </w:tcPr>
          <w:p w14:paraId="48649A6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56852063"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Nicanor Alfonso </w:t>
            </w:r>
            <w:proofErr w:type="spellStart"/>
            <w:r w:rsidRPr="00524435">
              <w:rPr>
                <w:rFonts w:ascii="Cambria" w:hAnsi="Cambria" w:cs="Calibri"/>
                <w:color w:val="000000"/>
                <w:sz w:val="20"/>
                <w:szCs w:val="20"/>
              </w:rPr>
              <w:t>Terreros</w:t>
            </w:r>
            <w:proofErr w:type="spellEnd"/>
            <w:r w:rsidRPr="00524435">
              <w:rPr>
                <w:rFonts w:ascii="Cambria" w:hAnsi="Cambria" w:cs="Calibri"/>
                <w:color w:val="000000"/>
                <w:sz w:val="20"/>
                <w:szCs w:val="20"/>
              </w:rPr>
              <w:t xml:space="preserve"> </w:t>
            </w:r>
            <w:proofErr w:type="spellStart"/>
            <w:r w:rsidRPr="00524435">
              <w:rPr>
                <w:rFonts w:ascii="Cambria" w:hAnsi="Cambria" w:cs="Calibri"/>
                <w:color w:val="000000"/>
                <w:sz w:val="20"/>
                <w:szCs w:val="20"/>
              </w:rPr>
              <w:t>Londoño</w:t>
            </w:r>
            <w:proofErr w:type="spellEnd"/>
            <w:r w:rsidRPr="00524435">
              <w:rPr>
                <w:rFonts w:ascii="Cambria" w:hAnsi="Cambria" w:cs="Calibri"/>
                <w:color w:val="000000"/>
                <w:sz w:val="20"/>
                <w:szCs w:val="20"/>
              </w:rPr>
              <w:t xml:space="preserve"> and family.</w:t>
            </w:r>
          </w:p>
        </w:tc>
        <w:tc>
          <w:tcPr>
            <w:tcW w:w="0" w:type="auto"/>
            <w:tcBorders>
              <w:top w:val="nil"/>
              <w:left w:val="nil"/>
              <w:bottom w:val="single" w:sz="4" w:space="0" w:color="auto"/>
              <w:right w:val="single" w:sz="4" w:space="0" w:color="auto"/>
            </w:tcBorders>
            <w:shd w:val="clear" w:color="auto" w:fill="auto"/>
            <w:vAlign w:val="center"/>
            <w:hideMark/>
          </w:tcPr>
          <w:p w14:paraId="4C38592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00F8C3E5"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09FFF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53</w:t>
            </w:r>
          </w:p>
        </w:tc>
        <w:tc>
          <w:tcPr>
            <w:tcW w:w="0" w:type="auto"/>
            <w:tcBorders>
              <w:top w:val="nil"/>
              <w:left w:val="nil"/>
              <w:bottom w:val="single" w:sz="4" w:space="0" w:color="auto"/>
              <w:right w:val="single" w:sz="4" w:space="0" w:color="auto"/>
            </w:tcBorders>
            <w:shd w:val="clear" w:color="auto" w:fill="auto"/>
            <w:vAlign w:val="center"/>
            <w:hideMark/>
          </w:tcPr>
          <w:p w14:paraId="5CACE3F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6FB2810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P-42-07</w:t>
            </w:r>
          </w:p>
        </w:tc>
        <w:tc>
          <w:tcPr>
            <w:tcW w:w="0" w:type="auto"/>
            <w:tcBorders>
              <w:top w:val="nil"/>
              <w:left w:val="nil"/>
              <w:bottom w:val="single" w:sz="4" w:space="0" w:color="auto"/>
              <w:right w:val="single" w:sz="4" w:space="0" w:color="auto"/>
            </w:tcBorders>
            <w:shd w:val="clear" w:color="auto" w:fill="auto"/>
            <w:vAlign w:val="center"/>
            <w:hideMark/>
          </w:tcPr>
          <w:p w14:paraId="2E0BCA06"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13.150</w:t>
            </w:r>
          </w:p>
        </w:tc>
        <w:tc>
          <w:tcPr>
            <w:tcW w:w="0" w:type="auto"/>
            <w:tcBorders>
              <w:top w:val="nil"/>
              <w:left w:val="nil"/>
              <w:bottom w:val="single" w:sz="4" w:space="0" w:color="auto"/>
              <w:right w:val="single" w:sz="4" w:space="0" w:color="auto"/>
            </w:tcBorders>
            <w:shd w:val="clear" w:color="auto" w:fill="auto"/>
            <w:vAlign w:val="center"/>
            <w:hideMark/>
          </w:tcPr>
          <w:p w14:paraId="155206B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06D99A91" w14:textId="77777777" w:rsidR="007425A1" w:rsidRPr="003F238D" w:rsidRDefault="007425A1" w:rsidP="008B7C11">
            <w:pPr>
              <w:rPr>
                <w:rFonts w:ascii="Cambria" w:hAnsi="Cambria" w:cs="Calibri"/>
                <w:color w:val="000000"/>
                <w:sz w:val="20"/>
                <w:szCs w:val="20"/>
                <w:lang w:val="es-US"/>
              </w:rPr>
            </w:pPr>
            <w:r w:rsidRPr="003F238D">
              <w:rPr>
                <w:rFonts w:ascii="Cambria" w:hAnsi="Cambria" w:cs="Calibri"/>
                <w:color w:val="000000"/>
                <w:sz w:val="20"/>
                <w:szCs w:val="20"/>
                <w:lang w:val="es-US"/>
              </w:rPr>
              <w:t>Jenner Alfonso Mora Moncaleano y otros.</w:t>
            </w:r>
          </w:p>
        </w:tc>
        <w:tc>
          <w:tcPr>
            <w:tcW w:w="0" w:type="auto"/>
            <w:tcBorders>
              <w:top w:val="nil"/>
              <w:left w:val="nil"/>
              <w:bottom w:val="single" w:sz="4" w:space="0" w:color="auto"/>
              <w:right w:val="single" w:sz="4" w:space="0" w:color="auto"/>
            </w:tcBorders>
            <w:shd w:val="clear" w:color="auto" w:fill="auto"/>
            <w:vAlign w:val="center"/>
            <w:hideMark/>
          </w:tcPr>
          <w:p w14:paraId="650B6399" w14:textId="77777777" w:rsidR="007425A1" w:rsidRPr="00524435" w:rsidRDefault="007425A1" w:rsidP="008B7C11">
            <w:pPr>
              <w:jc w:val="center"/>
              <w:rPr>
                <w:rFonts w:ascii="Cambria" w:hAnsi="Cambria" w:cs="Calibri"/>
                <w:color w:val="000000"/>
                <w:sz w:val="20"/>
                <w:szCs w:val="20"/>
              </w:rPr>
            </w:pPr>
            <w:r w:rsidRPr="003F238D">
              <w:rPr>
                <w:rFonts w:ascii="Cambria" w:hAnsi="Cambria" w:cs="Calibri"/>
                <w:color w:val="000000"/>
                <w:sz w:val="20"/>
                <w:szCs w:val="20"/>
                <w:lang w:val="es-US"/>
              </w:rPr>
              <w:br/>
            </w:r>
            <w:r w:rsidRPr="00524435">
              <w:rPr>
                <w:rFonts w:ascii="Cambria" w:hAnsi="Cambria" w:cs="Calibri"/>
                <w:i/>
                <w:iCs/>
                <w:color w:val="000000"/>
                <w:sz w:val="20"/>
                <w:szCs w:val="20"/>
              </w:rPr>
              <w:t>Merit</w:t>
            </w:r>
          </w:p>
        </w:tc>
      </w:tr>
      <w:tr w:rsidR="007425A1" w:rsidRPr="00524435" w14:paraId="6A4D2A6C"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7FDD7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54</w:t>
            </w:r>
          </w:p>
        </w:tc>
        <w:tc>
          <w:tcPr>
            <w:tcW w:w="0" w:type="auto"/>
            <w:tcBorders>
              <w:top w:val="nil"/>
              <w:left w:val="nil"/>
              <w:bottom w:val="single" w:sz="4" w:space="0" w:color="auto"/>
              <w:right w:val="single" w:sz="4" w:space="0" w:color="auto"/>
            </w:tcBorders>
            <w:shd w:val="clear" w:color="auto" w:fill="auto"/>
            <w:vAlign w:val="center"/>
            <w:hideMark/>
          </w:tcPr>
          <w:p w14:paraId="5E5FFDB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23943DF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P-766-07</w:t>
            </w:r>
          </w:p>
        </w:tc>
        <w:tc>
          <w:tcPr>
            <w:tcW w:w="0" w:type="auto"/>
            <w:tcBorders>
              <w:top w:val="nil"/>
              <w:left w:val="nil"/>
              <w:bottom w:val="single" w:sz="4" w:space="0" w:color="auto"/>
              <w:right w:val="single" w:sz="4" w:space="0" w:color="auto"/>
            </w:tcBorders>
            <w:shd w:val="clear" w:color="auto" w:fill="auto"/>
            <w:vAlign w:val="center"/>
            <w:hideMark/>
          </w:tcPr>
          <w:p w14:paraId="091A6F06"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13.210</w:t>
            </w:r>
          </w:p>
        </w:tc>
        <w:tc>
          <w:tcPr>
            <w:tcW w:w="0" w:type="auto"/>
            <w:tcBorders>
              <w:top w:val="nil"/>
              <w:left w:val="nil"/>
              <w:bottom w:val="single" w:sz="4" w:space="0" w:color="auto"/>
              <w:right w:val="single" w:sz="4" w:space="0" w:color="auto"/>
            </w:tcBorders>
            <w:shd w:val="clear" w:color="auto" w:fill="auto"/>
            <w:vAlign w:val="center"/>
            <w:hideMark/>
          </w:tcPr>
          <w:p w14:paraId="5621EC6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6E781B17"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Joaquín Guillermo </w:t>
            </w:r>
            <w:proofErr w:type="spellStart"/>
            <w:r w:rsidRPr="00524435">
              <w:rPr>
                <w:rFonts w:ascii="Cambria" w:hAnsi="Cambria" w:cs="Calibri"/>
                <w:color w:val="000000"/>
                <w:sz w:val="20"/>
                <w:szCs w:val="20"/>
              </w:rPr>
              <w:t>Campillo</w:t>
            </w:r>
            <w:proofErr w:type="spellEnd"/>
            <w:r w:rsidRPr="00524435">
              <w:rPr>
                <w:rFonts w:ascii="Cambria" w:hAnsi="Cambria" w:cs="Calibri"/>
                <w:color w:val="000000"/>
                <w:sz w:val="20"/>
                <w:szCs w:val="20"/>
              </w:rPr>
              <w:t xml:space="preserve"> Restrepo.</w:t>
            </w:r>
          </w:p>
        </w:tc>
        <w:tc>
          <w:tcPr>
            <w:tcW w:w="0" w:type="auto"/>
            <w:tcBorders>
              <w:top w:val="nil"/>
              <w:left w:val="nil"/>
              <w:bottom w:val="single" w:sz="4" w:space="0" w:color="auto"/>
              <w:right w:val="single" w:sz="4" w:space="0" w:color="auto"/>
            </w:tcBorders>
            <w:shd w:val="clear" w:color="auto" w:fill="auto"/>
            <w:vAlign w:val="center"/>
            <w:hideMark/>
          </w:tcPr>
          <w:p w14:paraId="10B4271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6F191746" w14:textId="77777777" w:rsidTr="008B7C11">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D61557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lastRenderedPageBreak/>
              <w:t>55</w:t>
            </w:r>
          </w:p>
        </w:tc>
        <w:tc>
          <w:tcPr>
            <w:tcW w:w="0" w:type="auto"/>
            <w:tcBorders>
              <w:top w:val="nil"/>
              <w:left w:val="nil"/>
              <w:bottom w:val="single" w:sz="4" w:space="0" w:color="auto"/>
              <w:right w:val="single" w:sz="4" w:space="0" w:color="auto"/>
            </w:tcBorders>
            <w:shd w:val="clear" w:color="auto" w:fill="auto"/>
            <w:vAlign w:val="center"/>
            <w:hideMark/>
          </w:tcPr>
          <w:p w14:paraId="0A19779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0E0E049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P-1194-08</w:t>
            </w:r>
          </w:p>
        </w:tc>
        <w:tc>
          <w:tcPr>
            <w:tcW w:w="0" w:type="auto"/>
            <w:tcBorders>
              <w:top w:val="nil"/>
              <w:left w:val="nil"/>
              <w:bottom w:val="single" w:sz="4" w:space="0" w:color="auto"/>
              <w:right w:val="single" w:sz="4" w:space="0" w:color="auto"/>
            </w:tcBorders>
            <w:shd w:val="clear" w:color="auto" w:fill="auto"/>
            <w:vAlign w:val="center"/>
            <w:hideMark/>
          </w:tcPr>
          <w:p w14:paraId="4AD3172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13.322</w:t>
            </w:r>
          </w:p>
        </w:tc>
        <w:tc>
          <w:tcPr>
            <w:tcW w:w="0" w:type="auto"/>
            <w:tcBorders>
              <w:top w:val="nil"/>
              <w:left w:val="nil"/>
              <w:bottom w:val="single" w:sz="4" w:space="0" w:color="auto"/>
              <w:right w:val="single" w:sz="4" w:space="0" w:color="auto"/>
            </w:tcBorders>
            <w:shd w:val="clear" w:color="auto" w:fill="auto"/>
            <w:vAlign w:val="center"/>
            <w:hideMark/>
          </w:tcPr>
          <w:p w14:paraId="1F2C2E8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7D00BD96"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Javier Rodríguez </w:t>
            </w:r>
            <w:proofErr w:type="spellStart"/>
            <w:r w:rsidRPr="00524435">
              <w:rPr>
                <w:rFonts w:ascii="Cambria" w:hAnsi="Cambria" w:cs="Calibri"/>
                <w:color w:val="000000"/>
                <w:sz w:val="20"/>
                <w:szCs w:val="20"/>
              </w:rPr>
              <w:t>Baena</w:t>
            </w:r>
            <w:proofErr w:type="spellEnd"/>
            <w:r w:rsidRPr="00524435">
              <w:rPr>
                <w:rFonts w:ascii="Cambria" w:hAnsi="Cambria" w:cs="Calibr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076229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796DF7EA"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9EC946"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56</w:t>
            </w:r>
          </w:p>
        </w:tc>
        <w:tc>
          <w:tcPr>
            <w:tcW w:w="0" w:type="auto"/>
            <w:tcBorders>
              <w:top w:val="nil"/>
              <w:left w:val="nil"/>
              <w:bottom w:val="single" w:sz="4" w:space="0" w:color="auto"/>
              <w:right w:val="single" w:sz="4" w:space="0" w:color="auto"/>
            </w:tcBorders>
            <w:shd w:val="clear" w:color="auto" w:fill="auto"/>
            <w:vAlign w:val="center"/>
            <w:hideMark/>
          </w:tcPr>
          <w:p w14:paraId="569C4B2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44FD323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P-1197-08</w:t>
            </w:r>
          </w:p>
        </w:tc>
        <w:tc>
          <w:tcPr>
            <w:tcW w:w="0" w:type="auto"/>
            <w:tcBorders>
              <w:top w:val="nil"/>
              <w:left w:val="nil"/>
              <w:bottom w:val="single" w:sz="4" w:space="0" w:color="auto"/>
              <w:right w:val="single" w:sz="4" w:space="0" w:color="auto"/>
            </w:tcBorders>
            <w:shd w:val="clear" w:color="auto" w:fill="auto"/>
            <w:vAlign w:val="center"/>
            <w:hideMark/>
          </w:tcPr>
          <w:p w14:paraId="407CA0F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13.323</w:t>
            </w:r>
          </w:p>
        </w:tc>
        <w:tc>
          <w:tcPr>
            <w:tcW w:w="0" w:type="auto"/>
            <w:tcBorders>
              <w:top w:val="nil"/>
              <w:left w:val="nil"/>
              <w:bottom w:val="single" w:sz="4" w:space="0" w:color="auto"/>
              <w:right w:val="single" w:sz="4" w:space="0" w:color="auto"/>
            </w:tcBorders>
            <w:shd w:val="clear" w:color="auto" w:fill="auto"/>
            <w:vAlign w:val="center"/>
            <w:hideMark/>
          </w:tcPr>
          <w:p w14:paraId="083882B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7AFB95E5" w14:textId="77777777" w:rsidR="007425A1" w:rsidRPr="003F238D" w:rsidRDefault="007425A1" w:rsidP="008B7C11">
            <w:pPr>
              <w:rPr>
                <w:rFonts w:ascii="Cambria" w:hAnsi="Cambria" w:cs="Calibri"/>
                <w:color w:val="000000"/>
                <w:sz w:val="20"/>
                <w:szCs w:val="20"/>
                <w:lang w:val="es-US"/>
              </w:rPr>
            </w:pPr>
            <w:r w:rsidRPr="003F238D">
              <w:rPr>
                <w:rFonts w:ascii="Cambria" w:hAnsi="Cambria" w:cs="Calibri"/>
                <w:color w:val="000000"/>
                <w:sz w:val="20"/>
                <w:szCs w:val="20"/>
                <w:lang w:val="es-US"/>
              </w:rPr>
              <w:t xml:space="preserve">José </w:t>
            </w:r>
            <w:proofErr w:type="spellStart"/>
            <w:r w:rsidRPr="003F238D">
              <w:rPr>
                <w:rFonts w:ascii="Cambria" w:hAnsi="Cambria" w:cs="Calibri"/>
                <w:color w:val="000000"/>
                <w:sz w:val="20"/>
                <w:szCs w:val="20"/>
                <w:lang w:val="es-US"/>
              </w:rPr>
              <w:t>Rubián</w:t>
            </w:r>
            <w:proofErr w:type="spellEnd"/>
            <w:r w:rsidRPr="003F238D">
              <w:rPr>
                <w:rFonts w:ascii="Cambria" w:hAnsi="Cambria" w:cs="Calibri"/>
                <w:color w:val="000000"/>
                <w:sz w:val="20"/>
                <w:szCs w:val="20"/>
                <w:lang w:val="es-US"/>
              </w:rPr>
              <w:t xml:space="preserve"> Gómez Martínez et al.</w:t>
            </w:r>
          </w:p>
        </w:tc>
        <w:tc>
          <w:tcPr>
            <w:tcW w:w="0" w:type="auto"/>
            <w:tcBorders>
              <w:top w:val="nil"/>
              <w:left w:val="nil"/>
              <w:bottom w:val="single" w:sz="4" w:space="0" w:color="auto"/>
              <w:right w:val="single" w:sz="4" w:space="0" w:color="auto"/>
            </w:tcBorders>
            <w:shd w:val="clear" w:color="auto" w:fill="auto"/>
            <w:vAlign w:val="center"/>
            <w:hideMark/>
          </w:tcPr>
          <w:p w14:paraId="20B27638" w14:textId="77777777" w:rsidR="007425A1" w:rsidRPr="00524435" w:rsidRDefault="007425A1" w:rsidP="008B7C11">
            <w:pPr>
              <w:jc w:val="center"/>
              <w:rPr>
                <w:rFonts w:ascii="Cambria" w:hAnsi="Cambria" w:cs="Calibri"/>
                <w:color w:val="000000"/>
                <w:sz w:val="20"/>
                <w:szCs w:val="20"/>
              </w:rPr>
            </w:pPr>
            <w:r w:rsidRPr="003F238D">
              <w:rPr>
                <w:rFonts w:ascii="Cambria" w:hAnsi="Cambria" w:cs="Calibri"/>
                <w:color w:val="000000"/>
                <w:sz w:val="20"/>
                <w:szCs w:val="20"/>
                <w:lang w:val="es-US"/>
              </w:rPr>
              <w:br/>
            </w:r>
            <w:r w:rsidRPr="00524435">
              <w:rPr>
                <w:rFonts w:ascii="Cambria" w:hAnsi="Cambria" w:cs="Calibri"/>
                <w:i/>
                <w:iCs/>
                <w:color w:val="000000"/>
                <w:sz w:val="20"/>
                <w:szCs w:val="20"/>
              </w:rPr>
              <w:t>Merit</w:t>
            </w:r>
          </w:p>
        </w:tc>
      </w:tr>
      <w:tr w:rsidR="007425A1" w:rsidRPr="00524435" w14:paraId="287E2F16"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CCC75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57</w:t>
            </w:r>
          </w:p>
        </w:tc>
        <w:tc>
          <w:tcPr>
            <w:tcW w:w="0" w:type="auto"/>
            <w:tcBorders>
              <w:top w:val="nil"/>
              <w:left w:val="nil"/>
              <w:bottom w:val="single" w:sz="4" w:space="0" w:color="auto"/>
              <w:right w:val="single" w:sz="4" w:space="0" w:color="auto"/>
            </w:tcBorders>
            <w:shd w:val="clear" w:color="auto" w:fill="auto"/>
            <w:vAlign w:val="center"/>
            <w:hideMark/>
          </w:tcPr>
          <w:p w14:paraId="6D082DD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6DD39E1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P-221-08</w:t>
            </w:r>
          </w:p>
        </w:tc>
        <w:tc>
          <w:tcPr>
            <w:tcW w:w="0" w:type="auto"/>
            <w:tcBorders>
              <w:top w:val="nil"/>
              <w:left w:val="nil"/>
              <w:bottom w:val="single" w:sz="4" w:space="0" w:color="auto"/>
              <w:right w:val="single" w:sz="4" w:space="0" w:color="auto"/>
            </w:tcBorders>
            <w:shd w:val="clear" w:color="auto" w:fill="auto"/>
            <w:vAlign w:val="center"/>
            <w:hideMark/>
          </w:tcPr>
          <w:p w14:paraId="6A65DF6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13.677</w:t>
            </w:r>
          </w:p>
        </w:tc>
        <w:tc>
          <w:tcPr>
            <w:tcW w:w="0" w:type="auto"/>
            <w:tcBorders>
              <w:top w:val="nil"/>
              <w:left w:val="nil"/>
              <w:bottom w:val="single" w:sz="4" w:space="0" w:color="auto"/>
              <w:right w:val="single" w:sz="4" w:space="0" w:color="auto"/>
            </w:tcBorders>
            <w:shd w:val="clear" w:color="auto" w:fill="auto"/>
            <w:vAlign w:val="center"/>
            <w:hideMark/>
          </w:tcPr>
          <w:p w14:paraId="6138720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4D7B1078" w14:textId="77777777" w:rsidR="007425A1" w:rsidRPr="003F238D" w:rsidRDefault="007425A1" w:rsidP="008B7C11">
            <w:pPr>
              <w:rPr>
                <w:rFonts w:ascii="Cambria" w:hAnsi="Cambria" w:cs="Calibri"/>
                <w:color w:val="000000"/>
                <w:sz w:val="20"/>
                <w:szCs w:val="20"/>
                <w:lang w:val="es-US"/>
              </w:rPr>
            </w:pPr>
            <w:r w:rsidRPr="003F238D">
              <w:rPr>
                <w:rFonts w:ascii="Cambria" w:hAnsi="Cambria" w:cs="Calibri"/>
                <w:color w:val="000000"/>
                <w:sz w:val="20"/>
                <w:szCs w:val="20"/>
                <w:lang w:val="es-US"/>
              </w:rPr>
              <w:t>Delis Palacio Herrón et al.</w:t>
            </w:r>
          </w:p>
        </w:tc>
        <w:tc>
          <w:tcPr>
            <w:tcW w:w="0" w:type="auto"/>
            <w:tcBorders>
              <w:top w:val="nil"/>
              <w:left w:val="nil"/>
              <w:bottom w:val="single" w:sz="4" w:space="0" w:color="auto"/>
              <w:right w:val="single" w:sz="4" w:space="0" w:color="auto"/>
            </w:tcBorders>
            <w:shd w:val="clear" w:color="auto" w:fill="auto"/>
            <w:vAlign w:val="center"/>
            <w:hideMark/>
          </w:tcPr>
          <w:p w14:paraId="05339F98" w14:textId="77777777" w:rsidR="007425A1" w:rsidRPr="00524435" w:rsidRDefault="007425A1" w:rsidP="008B7C11">
            <w:pPr>
              <w:jc w:val="center"/>
              <w:rPr>
                <w:rFonts w:ascii="Cambria" w:hAnsi="Cambria" w:cs="Calibri"/>
                <w:color w:val="000000"/>
                <w:sz w:val="20"/>
                <w:szCs w:val="20"/>
              </w:rPr>
            </w:pPr>
            <w:r w:rsidRPr="003F238D">
              <w:rPr>
                <w:rFonts w:ascii="Cambria" w:hAnsi="Cambria" w:cs="Calibri"/>
                <w:color w:val="000000"/>
                <w:sz w:val="20"/>
                <w:szCs w:val="20"/>
                <w:lang w:val="es-US"/>
              </w:rPr>
              <w:br/>
            </w:r>
            <w:r w:rsidRPr="00524435">
              <w:rPr>
                <w:rFonts w:ascii="Cambria" w:hAnsi="Cambria" w:cs="Calibri"/>
                <w:i/>
                <w:iCs/>
                <w:color w:val="000000"/>
                <w:sz w:val="20"/>
                <w:szCs w:val="20"/>
              </w:rPr>
              <w:t>Merit</w:t>
            </w:r>
          </w:p>
        </w:tc>
      </w:tr>
      <w:tr w:rsidR="007425A1" w:rsidRPr="00524435" w14:paraId="5B9CB6CB"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E1208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59</w:t>
            </w:r>
          </w:p>
        </w:tc>
        <w:tc>
          <w:tcPr>
            <w:tcW w:w="0" w:type="auto"/>
            <w:tcBorders>
              <w:top w:val="nil"/>
              <w:left w:val="nil"/>
              <w:bottom w:val="single" w:sz="4" w:space="0" w:color="auto"/>
              <w:right w:val="single" w:sz="4" w:space="0" w:color="auto"/>
            </w:tcBorders>
            <w:shd w:val="clear" w:color="auto" w:fill="auto"/>
            <w:vAlign w:val="center"/>
            <w:hideMark/>
          </w:tcPr>
          <w:p w14:paraId="56AABEF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6F6C688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P-722-10</w:t>
            </w:r>
          </w:p>
        </w:tc>
        <w:tc>
          <w:tcPr>
            <w:tcW w:w="0" w:type="auto"/>
            <w:tcBorders>
              <w:top w:val="nil"/>
              <w:left w:val="nil"/>
              <w:bottom w:val="single" w:sz="4" w:space="0" w:color="auto"/>
              <w:right w:val="single" w:sz="4" w:space="0" w:color="auto"/>
            </w:tcBorders>
            <w:shd w:val="clear" w:color="auto" w:fill="auto"/>
            <w:vAlign w:val="center"/>
            <w:hideMark/>
          </w:tcPr>
          <w:p w14:paraId="2CF33E1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13.779</w:t>
            </w:r>
          </w:p>
        </w:tc>
        <w:tc>
          <w:tcPr>
            <w:tcW w:w="0" w:type="auto"/>
            <w:tcBorders>
              <w:top w:val="nil"/>
              <w:left w:val="nil"/>
              <w:bottom w:val="single" w:sz="4" w:space="0" w:color="auto"/>
              <w:right w:val="single" w:sz="4" w:space="0" w:color="auto"/>
            </w:tcBorders>
            <w:shd w:val="clear" w:color="auto" w:fill="auto"/>
            <w:vAlign w:val="center"/>
            <w:hideMark/>
          </w:tcPr>
          <w:p w14:paraId="0AA0D40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56F35082" w14:textId="77777777" w:rsidR="007425A1" w:rsidRPr="00524435" w:rsidRDefault="007425A1" w:rsidP="008B7C11">
            <w:pPr>
              <w:rPr>
                <w:rFonts w:ascii="Cambria" w:hAnsi="Cambria" w:cs="Calibri"/>
                <w:color w:val="000000"/>
                <w:sz w:val="20"/>
                <w:szCs w:val="20"/>
              </w:rPr>
            </w:pPr>
            <w:proofErr w:type="spellStart"/>
            <w:r w:rsidRPr="00524435">
              <w:rPr>
                <w:rFonts w:ascii="Cambria" w:hAnsi="Cambria" w:cs="Calibri"/>
                <w:color w:val="000000"/>
                <w:sz w:val="20"/>
                <w:szCs w:val="20"/>
              </w:rPr>
              <w:t>Hawin</w:t>
            </w:r>
            <w:proofErr w:type="spellEnd"/>
            <w:r w:rsidRPr="00524435">
              <w:rPr>
                <w:rFonts w:ascii="Cambria" w:hAnsi="Cambria" w:cs="Calibri"/>
                <w:color w:val="000000"/>
                <w:sz w:val="20"/>
                <w:szCs w:val="20"/>
              </w:rPr>
              <w:t xml:space="preserve"> Parra </w:t>
            </w:r>
            <w:proofErr w:type="spellStart"/>
            <w:r w:rsidRPr="00524435">
              <w:rPr>
                <w:rFonts w:ascii="Cambria" w:hAnsi="Cambria" w:cs="Calibri"/>
                <w:color w:val="000000"/>
                <w:sz w:val="20"/>
                <w:szCs w:val="20"/>
              </w:rPr>
              <w:t>Rentería</w:t>
            </w:r>
            <w:proofErr w:type="spellEnd"/>
            <w:r w:rsidRPr="00524435">
              <w:rPr>
                <w:rFonts w:ascii="Cambria" w:hAnsi="Cambria" w:cs="Calibri"/>
                <w:color w:val="000000"/>
                <w:sz w:val="20"/>
                <w:szCs w:val="20"/>
              </w:rPr>
              <w:t xml:space="preserve"> and relatives.</w:t>
            </w:r>
          </w:p>
        </w:tc>
        <w:tc>
          <w:tcPr>
            <w:tcW w:w="0" w:type="auto"/>
            <w:tcBorders>
              <w:top w:val="nil"/>
              <w:left w:val="nil"/>
              <w:bottom w:val="single" w:sz="4" w:space="0" w:color="auto"/>
              <w:right w:val="single" w:sz="4" w:space="0" w:color="auto"/>
            </w:tcBorders>
            <w:shd w:val="clear" w:color="auto" w:fill="auto"/>
            <w:vAlign w:val="center"/>
            <w:hideMark/>
          </w:tcPr>
          <w:p w14:paraId="4F64730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09591626"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1D63E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60</w:t>
            </w:r>
          </w:p>
        </w:tc>
        <w:tc>
          <w:tcPr>
            <w:tcW w:w="0" w:type="auto"/>
            <w:tcBorders>
              <w:top w:val="nil"/>
              <w:left w:val="nil"/>
              <w:bottom w:val="single" w:sz="4" w:space="0" w:color="auto"/>
              <w:right w:val="single" w:sz="4" w:space="0" w:color="auto"/>
            </w:tcBorders>
            <w:shd w:val="clear" w:color="auto" w:fill="auto"/>
            <w:vAlign w:val="center"/>
            <w:hideMark/>
          </w:tcPr>
          <w:p w14:paraId="508DC2A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6971233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P-186-11</w:t>
            </w:r>
          </w:p>
        </w:tc>
        <w:tc>
          <w:tcPr>
            <w:tcW w:w="0" w:type="auto"/>
            <w:tcBorders>
              <w:top w:val="nil"/>
              <w:left w:val="nil"/>
              <w:bottom w:val="single" w:sz="4" w:space="0" w:color="auto"/>
              <w:right w:val="single" w:sz="4" w:space="0" w:color="auto"/>
            </w:tcBorders>
            <w:shd w:val="clear" w:color="auto" w:fill="auto"/>
            <w:vAlign w:val="center"/>
            <w:hideMark/>
          </w:tcPr>
          <w:p w14:paraId="34609E5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13.993</w:t>
            </w:r>
          </w:p>
        </w:tc>
        <w:tc>
          <w:tcPr>
            <w:tcW w:w="0" w:type="auto"/>
            <w:tcBorders>
              <w:top w:val="nil"/>
              <w:left w:val="nil"/>
              <w:bottom w:val="single" w:sz="4" w:space="0" w:color="auto"/>
              <w:right w:val="single" w:sz="4" w:space="0" w:color="auto"/>
            </w:tcBorders>
            <w:shd w:val="clear" w:color="auto" w:fill="auto"/>
            <w:vAlign w:val="center"/>
            <w:hideMark/>
          </w:tcPr>
          <w:p w14:paraId="79A753A2"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23405A80"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S.A.S.</w:t>
            </w:r>
          </w:p>
        </w:tc>
        <w:tc>
          <w:tcPr>
            <w:tcW w:w="0" w:type="auto"/>
            <w:tcBorders>
              <w:top w:val="nil"/>
              <w:left w:val="nil"/>
              <w:bottom w:val="single" w:sz="4" w:space="0" w:color="auto"/>
              <w:right w:val="single" w:sz="4" w:space="0" w:color="auto"/>
            </w:tcBorders>
            <w:shd w:val="clear" w:color="auto" w:fill="auto"/>
            <w:vAlign w:val="center"/>
            <w:hideMark/>
          </w:tcPr>
          <w:p w14:paraId="76DCA2A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3B54ECC6" w14:textId="77777777" w:rsidTr="008B7C11">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9B360E2"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70</w:t>
            </w:r>
          </w:p>
        </w:tc>
        <w:tc>
          <w:tcPr>
            <w:tcW w:w="0" w:type="auto"/>
            <w:tcBorders>
              <w:top w:val="nil"/>
              <w:left w:val="nil"/>
              <w:bottom w:val="single" w:sz="4" w:space="0" w:color="auto"/>
              <w:right w:val="single" w:sz="4" w:space="0" w:color="auto"/>
            </w:tcBorders>
            <w:shd w:val="clear" w:color="auto" w:fill="auto"/>
            <w:vAlign w:val="center"/>
            <w:hideMark/>
          </w:tcPr>
          <w:p w14:paraId="319896F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45E46BE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P-1623-14</w:t>
            </w:r>
          </w:p>
        </w:tc>
        <w:tc>
          <w:tcPr>
            <w:tcW w:w="0" w:type="auto"/>
            <w:tcBorders>
              <w:top w:val="nil"/>
              <w:left w:val="nil"/>
              <w:bottom w:val="single" w:sz="4" w:space="0" w:color="auto"/>
              <w:right w:val="single" w:sz="4" w:space="0" w:color="auto"/>
            </w:tcBorders>
            <w:shd w:val="clear" w:color="auto" w:fill="auto"/>
            <w:vAlign w:val="center"/>
            <w:hideMark/>
          </w:tcPr>
          <w:p w14:paraId="670C658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13.580</w:t>
            </w:r>
          </w:p>
        </w:tc>
        <w:tc>
          <w:tcPr>
            <w:tcW w:w="0" w:type="auto"/>
            <w:tcBorders>
              <w:top w:val="nil"/>
              <w:left w:val="nil"/>
              <w:bottom w:val="single" w:sz="4" w:space="0" w:color="auto"/>
              <w:right w:val="single" w:sz="4" w:space="0" w:color="auto"/>
            </w:tcBorders>
            <w:shd w:val="clear" w:color="auto" w:fill="auto"/>
            <w:vAlign w:val="center"/>
            <w:hideMark/>
          </w:tcPr>
          <w:p w14:paraId="619F68A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3B7F61A8"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Iván Cepeda Castro and his voters</w:t>
            </w:r>
          </w:p>
        </w:tc>
        <w:tc>
          <w:tcPr>
            <w:tcW w:w="0" w:type="auto"/>
            <w:tcBorders>
              <w:top w:val="nil"/>
              <w:left w:val="nil"/>
              <w:bottom w:val="single" w:sz="4" w:space="0" w:color="auto"/>
              <w:right w:val="single" w:sz="4" w:space="0" w:color="auto"/>
            </w:tcBorders>
            <w:shd w:val="clear" w:color="auto" w:fill="auto"/>
            <w:vAlign w:val="center"/>
            <w:hideMark/>
          </w:tcPr>
          <w:p w14:paraId="20D23556"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5959EC55"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0C3B2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71</w:t>
            </w:r>
          </w:p>
        </w:tc>
        <w:tc>
          <w:tcPr>
            <w:tcW w:w="0" w:type="auto"/>
            <w:tcBorders>
              <w:top w:val="nil"/>
              <w:left w:val="nil"/>
              <w:bottom w:val="single" w:sz="4" w:space="0" w:color="auto"/>
              <w:right w:val="single" w:sz="4" w:space="0" w:color="auto"/>
            </w:tcBorders>
            <w:shd w:val="clear" w:color="auto" w:fill="auto"/>
            <w:vAlign w:val="center"/>
            <w:hideMark/>
          </w:tcPr>
          <w:p w14:paraId="2446FF9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52C93B2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P-456-16</w:t>
            </w:r>
          </w:p>
        </w:tc>
        <w:tc>
          <w:tcPr>
            <w:tcW w:w="0" w:type="auto"/>
            <w:tcBorders>
              <w:top w:val="nil"/>
              <w:left w:val="nil"/>
              <w:bottom w:val="single" w:sz="4" w:space="0" w:color="auto"/>
              <w:right w:val="single" w:sz="4" w:space="0" w:color="auto"/>
            </w:tcBorders>
            <w:shd w:val="clear" w:color="auto" w:fill="auto"/>
            <w:vAlign w:val="center"/>
            <w:hideMark/>
          </w:tcPr>
          <w:p w14:paraId="0CEFDA9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13.845</w:t>
            </w:r>
          </w:p>
        </w:tc>
        <w:tc>
          <w:tcPr>
            <w:tcW w:w="0" w:type="auto"/>
            <w:tcBorders>
              <w:top w:val="nil"/>
              <w:left w:val="nil"/>
              <w:bottom w:val="single" w:sz="4" w:space="0" w:color="auto"/>
              <w:right w:val="single" w:sz="4" w:space="0" w:color="auto"/>
            </w:tcBorders>
            <w:shd w:val="clear" w:color="auto" w:fill="auto"/>
            <w:vAlign w:val="center"/>
            <w:hideMark/>
          </w:tcPr>
          <w:p w14:paraId="68A23B0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14:paraId="32C0849E"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Family </w:t>
            </w:r>
            <w:proofErr w:type="spellStart"/>
            <w:r w:rsidRPr="00524435">
              <w:rPr>
                <w:rFonts w:ascii="Cambria" w:hAnsi="Cambria" w:cs="Calibri"/>
                <w:color w:val="000000"/>
                <w:sz w:val="20"/>
                <w:szCs w:val="20"/>
              </w:rPr>
              <w:t>Ulcue</w:t>
            </w:r>
            <w:proofErr w:type="spellEnd"/>
            <w:r w:rsidRPr="00524435">
              <w:rPr>
                <w:rFonts w:ascii="Cambria" w:hAnsi="Cambria" w:cs="Calibri"/>
                <w:color w:val="000000"/>
                <w:sz w:val="20"/>
                <w:szCs w:val="20"/>
              </w:rPr>
              <w:t xml:space="preserve"> Perdomo.</w:t>
            </w:r>
          </w:p>
        </w:tc>
        <w:tc>
          <w:tcPr>
            <w:tcW w:w="0" w:type="auto"/>
            <w:tcBorders>
              <w:top w:val="nil"/>
              <w:left w:val="nil"/>
              <w:bottom w:val="single" w:sz="4" w:space="0" w:color="auto"/>
              <w:right w:val="single" w:sz="4" w:space="0" w:color="auto"/>
            </w:tcBorders>
            <w:shd w:val="clear" w:color="auto" w:fill="auto"/>
            <w:vAlign w:val="center"/>
            <w:hideMark/>
          </w:tcPr>
          <w:p w14:paraId="1EAC76E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401565F6"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CC5B1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72</w:t>
            </w:r>
          </w:p>
        </w:tc>
        <w:tc>
          <w:tcPr>
            <w:tcW w:w="0" w:type="auto"/>
            <w:tcBorders>
              <w:top w:val="nil"/>
              <w:left w:val="nil"/>
              <w:bottom w:val="single" w:sz="4" w:space="0" w:color="auto"/>
              <w:right w:val="single" w:sz="4" w:space="0" w:color="auto"/>
            </w:tcBorders>
            <w:shd w:val="clear" w:color="auto" w:fill="auto"/>
            <w:vAlign w:val="center"/>
            <w:hideMark/>
          </w:tcPr>
          <w:p w14:paraId="5FD0200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4E69AB1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P-1196-CA</w:t>
            </w:r>
          </w:p>
        </w:tc>
        <w:tc>
          <w:tcPr>
            <w:tcW w:w="0" w:type="auto"/>
            <w:tcBorders>
              <w:top w:val="nil"/>
              <w:left w:val="nil"/>
              <w:bottom w:val="single" w:sz="4" w:space="0" w:color="auto"/>
              <w:right w:val="single" w:sz="4" w:space="0" w:color="auto"/>
            </w:tcBorders>
            <w:shd w:val="clear" w:color="auto" w:fill="auto"/>
            <w:vAlign w:val="center"/>
            <w:hideMark/>
          </w:tcPr>
          <w:p w14:paraId="46D5AFE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 xml:space="preserve">11.026-B  </w:t>
            </w:r>
          </w:p>
        </w:tc>
        <w:tc>
          <w:tcPr>
            <w:tcW w:w="0" w:type="auto"/>
            <w:tcBorders>
              <w:top w:val="nil"/>
              <w:left w:val="nil"/>
              <w:bottom w:val="single" w:sz="4" w:space="0" w:color="auto"/>
              <w:right w:val="single" w:sz="4" w:space="0" w:color="auto"/>
            </w:tcBorders>
            <w:shd w:val="clear" w:color="auto" w:fill="auto"/>
            <w:vAlign w:val="center"/>
            <w:hideMark/>
          </w:tcPr>
          <w:p w14:paraId="0ECA183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CA</w:t>
            </w:r>
          </w:p>
        </w:tc>
        <w:tc>
          <w:tcPr>
            <w:tcW w:w="0" w:type="auto"/>
            <w:tcBorders>
              <w:top w:val="nil"/>
              <w:left w:val="nil"/>
              <w:bottom w:val="single" w:sz="4" w:space="0" w:color="auto"/>
              <w:right w:val="single" w:sz="4" w:space="0" w:color="auto"/>
            </w:tcBorders>
            <w:shd w:val="clear" w:color="auto" w:fill="auto"/>
            <w:vAlign w:val="center"/>
            <w:hideMark/>
          </w:tcPr>
          <w:p w14:paraId="7A10EEDE"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Vladimir </w:t>
            </w:r>
            <w:proofErr w:type="spellStart"/>
            <w:r w:rsidRPr="00524435">
              <w:rPr>
                <w:rFonts w:ascii="Cambria" w:hAnsi="Cambria" w:cs="Calibri"/>
                <w:color w:val="000000"/>
                <w:sz w:val="20"/>
                <w:szCs w:val="20"/>
              </w:rPr>
              <w:t>Hincapié</w:t>
            </w:r>
            <w:proofErr w:type="spellEnd"/>
            <w:r w:rsidRPr="00524435">
              <w:rPr>
                <w:rFonts w:ascii="Cambria" w:hAnsi="Cambria" w:cs="Calibri"/>
                <w:color w:val="000000"/>
                <w:sz w:val="20"/>
                <w:szCs w:val="20"/>
              </w:rPr>
              <w:t xml:space="preserve"> </w:t>
            </w:r>
            <w:proofErr w:type="spellStart"/>
            <w:proofErr w:type="gramStart"/>
            <w:r w:rsidRPr="00524435">
              <w:rPr>
                <w:rFonts w:ascii="Cambria" w:hAnsi="Cambria" w:cs="Calibri"/>
                <w:color w:val="000000"/>
                <w:sz w:val="20"/>
                <w:szCs w:val="20"/>
              </w:rPr>
              <w:t>Galeano</w:t>
            </w:r>
            <w:proofErr w:type="spellEnd"/>
            <w:r w:rsidRPr="00524435">
              <w:rPr>
                <w:rFonts w:ascii="Cambria" w:hAnsi="Cambria" w:cs="Calibri"/>
                <w:color w:val="000000"/>
                <w:sz w:val="20"/>
                <w:szCs w:val="20"/>
              </w:rPr>
              <w:t xml:space="preserve"> .</w:t>
            </w:r>
            <w:proofErr w:type="gramEnd"/>
          </w:p>
        </w:tc>
        <w:tc>
          <w:tcPr>
            <w:tcW w:w="0" w:type="auto"/>
            <w:tcBorders>
              <w:top w:val="nil"/>
              <w:left w:val="nil"/>
              <w:bottom w:val="single" w:sz="4" w:space="0" w:color="auto"/>
              <w:right w:val="single" w:sz="4" w:space="0" w:color="auto"/>
            </w:tcBorders>
            <w:shd w:val="clear" w:color="auto" w:fill="auto"/>
            <w:vAlign w:val="center"/>
            <w:hideMark/>
          </w:tcPr>
          <w:p w14:paraId="76A8AD8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7D82079F" w14:textId="77777777" w:rsidTr="008B7C11">
        <w:trPr>
          <w:trHeight w:val="9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FF5737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73</w:t>
            </w:r>
          </w:p>
        </w:tc>
        <w:tc>
          <w:tcPr>
            <w:tcW w:w="0" w:type="auto"/>
            <w:tcBorders>
              <w:top w:val="nil"/>
              <w:left w:val="nil"/>
              <w:bottom w:val="single" w:sz="4" w:space="0" w:color="auto"/>
              <w:right w:val="single" w:sz="4" w:space="0" w:color="auto"/>
            </w:tcBorders>
            <w:shd w:val="clear" w:color="auto" w:fill="auto"/>
            <w:vAlign w:val="center"/>
            <w:hideMark/>
          </w:tcPr>
          <w:p w14:paraId="565AB78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713F8B1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P-391-CA</w:t>
            </w:r>
          </w:p>
        </w:tc>
        <w:tc>
          <w:tcPr>
            <w:tcW w:w="0" w:type="auto"/>
            <w:tcBorders>
              <w:top w:val="nil"/>
              <w:left w:val="nil"/>
              <w:bottom w:val="single" w:sz="4" w:space="0" w:color="auto"/>
              <w:right w:val="single" w:sz="4" w:space="0" w:color="auto"/>
            </w:tcBorders>
            <w:shd w:val="clear" w:color="auto" w:fill="auto"/>
            <w:vAlign w:val="center"/>
            <w:hideMark/>
          </w:tcPr>
          <w:p w14:paraId="2DC7AB0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10.522</w:t>
            </w:r>
          </w:p>
        </w:tc>
        <w:tc>
          <w:tcPr>
            <w:tcW w:w="0" w:type="auto"/>
            <w:tcBorders>
              <w:top w:val="nil"/>
              <w:left w:val="nil"/>
              <w:bottom w:val="single" w:sz="4" w:space="0" w:color="auto"/>
              <w:right w:val="single" w:sz="4" w:space="0" w:color="auto"/>
            </w:tcBorders>
            <w:shd w:val="clear" w:color="auto" w:fill="auto"/>
            <w:vAlign w:val="center"/>
            <w:hideMark/>
          </w:tcPr>
          <w:p w14:paraId="5FF9E67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CA</w:t>
            </w:r>
          </w:p>
        </w:tc>
        <w:tc>
          <w:tcPr>
            <w:tcW w:w="0" w:type="auto"/>
            <w:tcBorders>
              <w:top w:val="nil"/>
              <w:left w:val="nil"/>
              <w:bottom w:val="single" w:sz="4" w:space="0" w:color="auto"/>
              <w:right w:val="single" w:sz="4" w:space="0" w:color="auto"/>
            </w:tcBorders>
            <w:shd w:val="clear" w:color="auto" w:fill="auto"/>
            <w:vAlign w:val="center"/>
            <w:hideMark/>
          </w:tcPr>
          <w:p w14:paraId="110B4DC8"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Juan Fernando Porras Martínez                                                                                                                                                                                                                             </w:t>
            </w:r>
          </w:p>
        </w:tc>
        <w:tc>
          <w:tcPr>
            <w:tcW w:w="0" w:type="auto"/>
            <w:tcBorders>
              <w:top w:val="nil"/>
              <w:left w:val="nil"/>
              <w:bottom w:val="single" w:sz="4" w:space="0" w:color="auto"/>
              <w:right w:val="single" w:sz="4" w:space="0" w:color="auto"/>
            </w:tcBorders>
            <w:shd w:val="clear" w:color="auto" w:fill="auto"/>
            <w:vAlign w:val="center"/>
            <w:hideMark/>
          </w:tcPr>
          <w:p w14:paraId="79B3B05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4027D8D9"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6B5A2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74</w:t>
            </w:r>
          </w:p>
        </w:tc>
        <w:tc>
          <w:tcPr>
            <w:tcW w:w="0" w:type="auto"/>
            <w:tcBorders>
              <w:top w:val="nil"/>
              <w:left w:val="nil"/>
              <w:bottom w:val="single" w:sz="4" w:space="0" w:color="auto"/>
              <w:right w:val="single" w:sz="4" w:space="0" w:color="auto"/>
            </w:tcBorders>
            <w:shd w:val="clear" w:color="auto" w:fill="auto"/>
            <w:vAlign w:val="center"/>
            <w:hideMark/>
          </w:tcPr>
          <w:p w14:paraId="316F03C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COSTA RICA</w:t>
            </w:r>
          </w:p>
        </w:tc>
        <w:tc>
          <w:tcPr>
            <w:tcW w:w="0" w:type="auto"/>
            <w:tcBorders>
              <w:top w:val="nil"/>
              <w:left w:val="nil"/>
              <w:bottom w:val="single" w:sz="4" w:space="0" w:color="auto"/>
              <w:right w:val="single" w:sz="4" w:space="0" w:color="auto"/>
            </w:tcBorders>
            <w:shd w:val="clear" w:color="auto" w:fill="auto"/>
            <w:vAlign w:val="center"/>
            <w:hideMark/>
          </w:tcPr>
          <w:p w14:paraId="0AEFDEA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P-604-04</w:t>
            </w:r>
          </w:p>
        </w:tc>
        <w:tc>
          <w:tcPr>
            <w:tcW w:w="0" w:type="auto"/>
            <w:tcBorders>
              <w:top w:val="nil"/>
              <w:left w:val="nil"/>
              <w:bottom w:val="single" w:sz="4" w:space="0" w:color="auto"/>
              <w:right w:val="single" w:sz="4" w:space="0" w:color="auto"/>
            </w:tcBorders>
            <w:shd w:val="clear" w:color="auto" w:fill="auto"/>
            <w:vAlign w:val="center"/>
            <w:hideMark/>
          </w:tcPr>
          <w:p w14:paraId="2F3E76D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13.428</w:t>
            </w:r>
          </w:p>
        </w:tc>
        <w:tc>
          <w:tcPr>
            <w:tcW w:w="0" w:type="auto"/>
            <w:tcBorders>
              <w:top w:val="nil"/>
              <w:left w:val="nil"/>
              <w:bottom w:val="single" w:sz="4" w:space="0" w:color="auto"/>
              <w:right w:val="single" w:sz="4" w:space="0" w:color="auto"/>
            </w:tcBorders>
            <w:shd w:val="clear" w:color="auto" w:fill="auto"/>
            <w:vAlign w:val="center"/>
            <w:hideMark/>
          </w:tcPr>
          <w:p w14:paraId="0A61EC1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69AADF3E"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Francisco </w:t>
            </w:r>
            <w:proofErr w:type="spellStart"/>
            <w:r w:rsidRPr="00524435">
              <w:rPr>
                <w:rFonts w:ascii="Cambria" w:hAnsi="Cambria" w:cs="Calibri"/>
                <w:color w:val="000000"/>
                <w:sz w:val="20"/>
                <w:szCs w:val="20"/>
              </w:rPr>
              <w:t>Miralles</w:t>
            </w:r>
            <w:proofErr w:type="spellEnd"/>
            <w:r w:rsidRPr="00524435">
              <w:rPr>
                <w:rFonts w:ascii="Cambria" w:hAnsi="Cambria" w:cs="Calibri"/>
                <w:color w:val="000000"/>
                <w:sz w:val="20"/>
                <w:szCs w:val="20"/>
              </w:rPr>
              <w:t xml:space="preserve"> Lewis.</w:t>
            </w:r>
          </w:p>
        </w:tc>
        <w:tc>
          <w:tcPr>
            <w:tcW w:w="0" w:type="auto"/>
            <w:tcBorders>
              <w:top w:val="nil"/>
              <w:left w:val="nil"/>
              <w:bottom w:val="single" w:sz="4" w:space="0" w:color="auto"/>
              <w:right w:val="single" w:sz="4" w:space="0" w:color="auto"/>
            </w:tcBorders>
            <w:shd w:val="clear" w:color="auto" w:fill="auto"/>
            <w:vAlign w:val="center"/>
            <w:hideMark/>
          </w:tcPr>
          <w:p w14:paraId="5B434E8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6CF52896"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B6CDD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75</w:t>
            </w:r>
          </w:p>
        </w:tc>
        <w:tc>
          <w:tcPr>
            <w:tcW w:w="0" w:type="auto"/>
            <w:tcBorders>
              <w:top w:val="nil"/>
              <w:left w:val="nil"/>
              <w:bottom w:val="single" w:sz="4" w:space="0" w:color="auto"/>
              <w:right w:val="single" w:sz="4" w:space="0" w:color="auto"/>
            </w:tcBorders>
            <w:shd w:val="clear" w:color="auto" w:fill="auto"/>
            <w:vAlign w:val="center"/>
            <w:hideMark/>
          </w:tcPr>
          <w:p w14:paraId="2703256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COSTA RICA</w:t>
            </w:r>
          </w:p>
        </w:tc>
        <w:tc>
          <w:tcPr>
            <w:tcW w:w="0" w:type="auto"/>
            <w:tcBorders>
              <w:top w:val="nil"/>
              <w:left w:val="nil"/>
              <w:bottom w:val="single" w:sz="4" w:space="0" w:color="auto"/>
              <w:right w:val="single" w:sz="4" w:space="0" w:color="auto"/>
            </w:tcBorders>
            <w:shd w:val="clear" w:color="auto" w:fill="auto"/>
            <w:vAlign w:val="center"/>
            <w:hideMark/>
          </w:tcPr>
          <w:p w14:paraId="3EBF46D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P-723-04</w:t>
            </w:r>
          </w:p>
        </w:tc>
        <w:tc>
          <w:tcPr>
            <w:tcW w:w="0" w:type="auto"/>
            <w:tcBorders>
              <w:top w:val="nil"/>
              <w:left w:val="nil"/>
              <w:bottom w:val="single" w:sz="4" w:space="0" w:color="auto"/>
              <w:right w:val="single" w:sz="4" w:space="0" w:color="auto"/>
            </w:tcBorders>
            <w:shd w:val="clear" w:color="auto" w:fill="auto"/>
            <w:vAlign w:val="center"/>
            <w:hideMark/>
          </w:tcPr>
          <w:p w14:paraId="4B0CD50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13.182</w:t>
            </w:r>
          </w:p>
        </w:tc>
        <w:tc>
          <w:tcPr>
            <w:tcW w:w="0" w:type="auto"/>
            <w:tcBorders>
              <w:top w:val="nil"/>
              <w:left w:val="nil"/>
              <w:bottom w:val="single" w:sz="4" w:space="0" w:color="auto"/>
              <w:right w:val="single" w:sz="4" w:space="0" w:color="auto"/>
            </w:tcBorders>
            <w:shd w:val="clear" w:color="auto" w:fill="auto"/>
            <w:vAlign w:val="center"/>
            <w:hideMark/>
          </w:tcPr>
          <w:p w14:paraId="46557F9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590C2B47"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José Gilbert </w:t>
            </w:r>
            <w:proofErr w:type="spellStart"/>
            <w:r w:rsidRPr="00524435">
              <w:rPr>
                <w:rFonts w:ascii="Cambria" w:hAnsi="Cambria" w:cs="Calibri"/>
                <w:color w:val="000000"/>
                <w:sz w:val="20"/>
                <w:szCs w:val="20"/>
              </w:rPr>
              <w:t>Ángulo</w:t>
            </w:r>
            <w:proofErr w:type="spellEnd"/>
            <w:r w:rsidRPr="00524435">
              <w:rPr>
                <w:rFonts w:ascii="Cambria" w:hAnsi="Cambria" w:cs="Calibri"/>
                <w:color w:val="000000"/>
                <w:sz w:val="20"/>
                <w:szCs w:val="20"/>
              </w:rPr>
              <w:t xml:space="preserve"> Méndez.</w:t>
            </w:r>
          </w:p>
        </w:tc>
        <w:tc>
          <w:tcPr>
            <w:tcW w:w="0" w:type="auto"/>
            <w:tcBorders>
              <w:top w:val="nil"/>
              <w:left w:val="nil"/>
              <w:bottom w:val="single" w:sz="4" w:space="0" w:color="auto"/>
              <w:right w:val="single" w:sz="4" w:space="0" w:color="auto"/>
            </w:tcBorders>
            <w:shd w:val="clear" w:color="auto" w:fill="auto"/>
            <w:vAlign w:val="center"/>
            <w:hideMark/>
          </w:tcPr>
          <w:p w14:paraId="42E52CD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63FCC69E"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22FA7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77</w:t>
            </w:r>
          </w:p>
        </w:tc>
        <w:tc>
          <w:tcPr>
            <w:tcW w:w="0" w:type="auto"/>
            <w:tcBorders>
              <w:top w:val="nil"/>
              <w:left w:val="nil"/>
              <w:bottom w:val="single" w:sz="4" w:space="0" w:color="auto"/>
              <w:right w:val="single" w:sz="4" w:space="0" w:color="auto"/>
            </w:tcBorders>
            <w:shd w:val="clear" w:color="auto" w:fill="auto"/>
            <w:vAlign w:val="center"/>
            <w:hideMark/>
          </w:tcPr>
          <w:p w14:paraId="1CEF06A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COSTA RICA</w:t>
            </w:r>
          </w:p>
        </w:tc>
        <w:tc>
          <w:tcPr>
            <w:tcW w:w="0" w:type="auto"/>
            <w:tcBorders>
              <w:top w:val="nil"/>
              <w:left w:val="nil"/>
              <w:bottom w:val="single" w:sz="4" w:space="0" w:color="auto"/>
              <w:right w:val="single" w:sz="4" w:space="0" w:color="auto"/>
            </w:tcBorders>
            <w:shd w:val="clear" w:color="auto" w:fill="auto"/>
            <w:vAlign w:val="center"/>
            <w:hideMark/>
          </w:tcPr>
          <w:p w14:paraId="18DE748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P-127-05</w:t>
            </w:r>
          </w:p>
        </w:tc>
        <w:tc>
          <w:tcPr>
            <w:tcW w:w="0" w:type="auto"/>
            <w:tcBorders>
              <w:top w:val="nil"/>
              <w:left w:val="nil"/>
              <w:bottom w:val="single" w:sz="4" w:space="0" w:color="auto"/>
              <w:right w:val="single" w:sz="4" w:space="0" w:color="auto"/>
            </w:tcBorders>
            <w:shd w:val="clear" w:color="auto" w:fill="auto"/>
            <w:vAlign w:val="center"/>
            <w:hideMark/>
          </w:tcPr>
          <w:p w14:paraId="29294CA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13.189</w:t>
            </w:r>
          </w:p>
        </w:tc>
        <w:tc>
          <w:tcPr>
            <w:tcW w:w="0" w:type="auto"/>
            <w:tcBorders>
              <w:top w:val="nil"/>
              <w:left w:val="nil"/>
              <w:bottom w:val="single" w:sz="4" w:space="0" w:color="auto"/>
              <w:right w:val="single" w:sz="4" w:space="0" w:color="auto"/>
            </w:tcBorders>
            <w:shd w:val="clear" w:color="auto" w:fill="auto"/>
            <w:vAlign w:val="center"/>
            <w:hideMark/>
          </w:tcPr>
          <w:p w14:paraId="306EE5A2"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296C4375"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Errol Aguero Chacon.</w:t>
            </w:r>
          </w:p>
        </w:tc>
        <w:tc>
          <w:tcPr>
            <w:tcW w:w="0" w:type="auto"/>
            <w:tcBorders>
              <w:top w:val="nil"/>
              <w:left w:val="nil"/>
              <w:bottom w:val="single" w:sz="4" w:space="0" w:color="auto"/>
              <w:right w:val="single" w:sz="4" w:space="0" w:color="auto"/>
            </w:tcBorders>
            <w:shd w:val="clear" w:color="auto" w:fill="auto"/>
            <w:vAlign w:val="center"/>
            <w:hideMark/>
          </w:tcPr>
          <w:p w14:paraId="39649D8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63FE032C"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5C958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78</w:t>
            </w:r>
          </w:p>
        </w:tc>
        <w:tc>
          <w:tcPr>
            <w:tcW w:w="0" w:type="auto"/>
            <w:tcBorders>
              <w:top w:val="nil"/>
              <w:left w:val="nil"/>
              <w:bottom w:val="single" w:sz="4" w:space="0" w:color="auto"/>
              <w:right w:val="single" w:sz="4" w:space="0" w:color="auto"/>
            </w:tcBorders>
            <w:shd w:val="clear" w:color="auto" w:fill="auto"/>
            <w:vAlign w:val="center"/>
            <w:hideMark/>
          </w:tcPr>
          <w:p w14:paraId="41E15F1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COSTA RICA</w:t>
            </w:r>
          </w:p>
        </w:tc>
        <w:tc>
          <w:tcPr>
            <w:tcW w:w="0" w:type="auto"/>
            <w:tcBorders>
              <w:top w:val="nil"/>
              <w:left w:val="nil"/>
              <w:bottom w:val="single" w:sz="4" w:space="0" w:color="auto"/>
              <w:right w:val="single" w:sz="4" w:space="0" w:color="auto"/>
            </w:tcBorders>
            <w:shd w:val="clear" w:color="auto" w:fill="auto"/>
            <w:vAlign w:val="center"/>
            <w:hideMark/>
          </w:tcPr>
          <w:p w14:paraId="7E09E9B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P-655-05</w:t>
            </w:r>
          </w:p>
        </w:tc>
        <w:tc>
          <w:tcPr>
            <w:tcW w:w="0" w:type="auto"/>
            <w:tcBorders>
              <w:top w:val="nil"/>
              <w:left w:val="nil"/>
              <w:bottom w:val="single" w:sz="4" w:space="0" w:color="auto"/>
              <w:right w:val="single" w:sz="4" w:space="0" w:color="auto"/>
            </w:tcBorders>
            <w:shd w:val="clear" w:color="auto" w:fill="auto"/>
            <w:vAlign w:val="center"/>
            <w:hideMark/>
          </w:tcPr>
          <w:p w14:paraId="5D58150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13.457</w:t>
            </w:r>
          </w:p>
        </w:tc>
        <w:tc>
          <w:tcPr>
            <w:tcW w:w="0" w:type="auto"/>
            <w:tcBorders>
              <w:top w:val="nil"/>
              <w:left w:val="nil"/>
              <w:bottom w:val="single" w:sz="4" w:space="0" w:color="auto"/>
              <w:right w:val="single" w:sz="4" w:space="0" w:color="auto"/>
            </w:tcBorders>
            <w:shd w:val="clear" w:color="auto" w:fill="auto"/>
            <w:vAlign w:val="center"/>
            <w:hideMark/>
          </w:tcPr>
          <w:p w14:paraId="172C926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23FA3F5C"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Cristian </w:t>
            </w:r>
            <w:proofErr w:type="spellStart"/>
            <w:r w:rsidRPr="00524435">
              <w:rPr>
                <w:rFonts w:ascii="Cambria" w:hAnsi="Cambria" w:cs="Calibri"/>
                <w:color w:val="000000"/>
                <w:sz w:val="20"/>
                <w:szCs w:val="20"/>
              </w:rPr>
              <w:t>Portocarrero</w:t>
            </w:r>
            <w:proofErr w:type="spellEnd"/>
            <w:r w:rsidRPr="00524435">
              <w:rPr>
                <w:rFonts w:ascii="Cambria" w:hAnsi="Cambria" w:cs="Calibri"/>
                <w:color w:val="000000"/>
                <w:sz w:val="20"/>
                <w:szCs w:val="20"/>
              </w:rPr>
              <w:t xml:space="preserve"> Friedman.</w:t>
            </w:r>
          </w:p>
        </w:tc>
        <w:tc>
          <w:tcPr>
            <w:tcW w:w="0" w:type="auto"/>
            <w:tcBorders>
              <w:top w:val="nil"/>
              <w:left w:val="nil"/>
              <w:bottom w:val="single" w:sz="4" w:space="0" w:color="auto"/>
              <w:right w:val="single" w:sz="4" w:space="0" w:color="auto"/>
            </w:tcBorders>
            <w:shd w:val="clear" w:color="auto" w:fill="auto"/>
            <w:vAlign w:val="center"/>
            <w:hideMark/>
          </w:tcPr>
          <w:p w14:paraId="525D652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6622A142" w14:textId="77777777" w:rsidTr="008B7C11">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2CC9AC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79</w:t>
            </w:r>
          </w:p>
        </w:tc>
        <w:tc>
          <w:tcPr>
            <w:tcW w:w="0" w:type="auto"/>
            <w:tcBorders>
              <w:top w:val="nil"/>
              <w:left w:val="nil"/>
              <w:bottom w:val="single" w:sz="4" w:space="0" w:color="auto"/>
              <w:right w:val="single" w:sz="4" w:space="0" w:color="auto"/>
            </w:tcBorders>
            <w:shd w:val="clear" w:color="auto" w:fill="auto"/>
            <w:vAlign w:val="center"/>
            <w:hideMark/>
          </w:tcPr>
          <w:p w14:paraId="1E5BB94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COSTA RICA</w:t>
            </w:r>
          </w:p>
        </w:tc>
        <w:tc>
          <w:tcPr>
            <w:tcW w:w="0" w:type="auto"/>
            <w:tcBorders>
              <w:top w:val="nil"/>
              <w:left w:val="nil"/>
              <w:bottom w:val="single" w:sz="4" w:space="0" w:color="auto"/>
              <w:right w:val="single" w:sz="4" w:space="0" w:color="auto"/>
            </w:tcBorders>
            <w:shd w:val="clear" w:color="auto" w:fill="auto"/>
            <w:vAlign w:val="center"/>
            <w:hideMark/>
          </w:tcPr>
          <w:p w14:paraId="3FE0074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P-1157-06</w:t>
            </w:r>
          </w:p>
        </w:tc>
        <w:tc>
          <w:tcPr>
            <w:tcW w:w="0" w:type="auto"/>
            <w:tcBorders>
              <w:top w:val="nil"/>
              <w:left w:val="nil"/>
              <w:bottom w:val="single" w:sz="4" w:space="0" w:color="auto"/>
              <w:right w:val="single" w:sz="4" w:space="0" w:color="auto"/>
            </w:tcBorders>
            <w:shd w:val="clear" w:color="auto" w:fill="auto"/>
            <w:vAlign w:val="center"/>
            <w:hideMark/>
          </w:tcPr>
          <w:p w14:paraId="1084F06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13.767</w:t>
            </w:r>
          </w:p>
        </w:tc>
        <w:tc>
          <w:tcPr>
            <w:tcW w:w="0" w:type="auto"/>
            <w:tcBorders>
              <w:top w:val="nil"/>
              <w:left w:val="nil"/>
              <w:bottom w:val="single" w:sz="4" w:space="0" w:color="auto"/>
              <w:right w:val="single" w:sz="4" w:space="0" w:color="auto"/>
            </w:tcBorders>
            <w:shd w:val="clear" w:color="auto" w:fill="auto"/>
            <w:vAlign w:val="center"/>
            <w:hideMark/>
          </w:tcPr>
          <w:p w14:paraId="5706D08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3B7A4DE4" w14:textId="77777777" w:rsidR="007425A1" w:rsidRPr="00524435" w:rsidRDefault="007425A1" w:rsidP="008B7C11">
            <w:pPr>
              <w:rPr>
                <w:rFonts w:ascii="Cambria" w:hAnsi="Cambria" w:cs="Calibri"/>
                <w:color w:val="000000"/>
                <w:sz w:val="20"/>
                <w:szCs w:val="20"/>
              </w:rPr>
            </w:pPr>
            <w:proofErr w:type="spellStart"/>
            <w:r w:rsidRPr="00524435">
              <w:rPr>
                <w:rFonts w:ascii="Cambria" w:hAnsi="Cambria" w:cs="Calibri"/>
                <w:color w:val="000000"/>
                <w:sz w:val="20"/>
                <w:szCs w:val="20"/>
              </w:rPr>
              <w:t>Jandrey</w:t>
            </w:r>
            <w:proofErr w:type="spellEnd"/>
            <w:r w:rsidRPr="00524435">
              <w:rPr>
                <w:rFonts w:ascii="Cambria" w:hAnsi="Cambria" w:cs="Calibri"/>
                <w:color w:val="000000"/>
                <w:sz w:val="20"/>
                <w:szCs w:val="20"/>
              </w:rPr>
              <w:t xml:space="preserve"> Arroyo </w:t>
            </w:r>
            <w:proofErr w:type="spellStart"/>
            <w:r w:rsidRPr="00524435">
              <w:rPr>
                <w:rFonts w:ascii="Cambria" w:hAnsi="Cambria" w:cs="Calibri"/>
                <w:color w:val="000000"/>
                <w:sz w:val="20"/>
                <w:szCs w:val="20"/>
              </w:rPr>
              <w:t>Chacón</w:t>
            </w:r>
            <w:proofErr w:type="spellEnd"/>
            <w:r w:rsidRPr="00524435">
              <w:rPr>
                <w:rFonts w:ascii="Cambria" w:hAnsi="Cambria" w:cs="Calibr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E0AF9E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58C4C966"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91489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87</w:t>
            </w:r>
          </w:p>
        </w:tc>
        <w:tc>
          <w:tcPr>
            <w:tcW w:w="0" w:type="auto"/>
            <w:tcBorders>
              <w:top w:val="nil"/>
              <w:left w:val="nil"/>
              <w:bottom w:val="single" w:sz="4" w:space="0" w:color="auto"/>
              <w:right w:val="single" w:sz="4" w:space="0" w:color="auto"/>
            </w:tcBorders>
            <w:shd w:val="clear" w:color="auto" w:fill="auto"/>
            <w:vAlign w:val="center"/>
            <w:hideMark/>
          </w:tcPr>
          <w:p w14:paraId="359B1DC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CUBA</w:t>
            </w:r>
          </w:p>
        </w:tc>
        <w:tc>
          <w:tcPr>
            <w:tcW w:w="0" w:type="auto"/>
            <w:tcBorders>
              <w:top w:val="nil"/>
              <w:left w:val="nil"/>
              <w:bottom w:val="single" w:sz="4" w:space="0" w:color="auto"/>
              <w:right w:val="single" w:sz="4" w:space="0" w:color="auto"/>
            </w:tcBorders>
            <w:shd w:val="clear" w:color="auto" w:fill="auto"/>
            <w:vAlign w:val="center"/>
            <w:hideMark/>
          </w:tcPr>
          <w:p w14:paraId="1AD323D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P-2206-15</w:t>
            </w:r>
          </w:p>
        </w:tc>
        <w:tc>
          <w:tcPr>
            <w:tcW w:w="0" w:type="auto"/>
            <w:tcBorders>
              <w:top w:val="nil"/>
              <w:left w:val="nil"/>
              <w:bottom w:val="single" w:sz="4" w:space="0" w:color="auto"/>
              <w:right w:val="single" w:sz="4" w:space="0" w:color="auto"/>
            </w:tcBorders>
            <w:shd w:val="clear" w:color="auto" w:fill="auto"/>
            <w:vAlign w:val="center"/>
            <w:hideMark/>
          </w:tcPr>
          <w:p w14:paraId="31134EF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14.224</w:t>
            </w:r>
          </w:p>
        </w:tc>
        <w:tc>
          <w:tcPr>
            <w:tcW w:w="0" w:type="auto"/>
            <w:tcBorders>
              <w:top w:val="nil"/>
              <w:left w:val="nil"/>
              <w:bottom w:val="single" w:sz="4" w:space="0" w:color="auto"/>
              <w:right w:val="single" w:sz="4" w:space="0" w:color="auto"/>
            </w:tcBorders>
            <w:shd w:val="clear" w:color="auto" w:fill="auto"/>
            <w:vAlign w:val="center"/>
            <w:hideMark/>
          </w:tcPr>
          <w:p w14:paraId="4CCA363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048EFB48"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Independent union leaders</w:t>
            </w:r>
          </w:p>
        </w:tc>
        <w:tc>
          <w:tcPr>
            <w:tcW w:w="0" w:type="auto"/>
            <w:tcBorders>
              <w:top w:val="nil"/>
              <w:left w:val="nil"/>
              <w:bottom w:val="single" w:sz="4" w:space="0" w:color="auto"/>
              <w:right w:val="single" w:sz="4" w:space="0" w:color="auto"/>
            </w:tcBorders>
            <w:shd w:val="clear" w:color="auto" w:fill="auto"/>
            <w:vAlign w:val="center"/>
            <w:hideMark/>
          </w:tcPr>
          <w:p w14:paraId="7C4AB31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376180AA" w14:textId="77777777" w:rsidTr="008B7C11">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06F44A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88</w:t>
            </w:r>
          </w:p>
        </w:tc>
        <w:tc>
          <w:tcPr>
            <w:tcW w:w="0" w:type="auto"/>
            <w:tcBorders>
              <w:top w:val="nil"/>
              <w:left w:val="nil"/>
              <w:bottom w:val="single" w:sz="4" w:space="0" w:color="auto"/>
              <w:right w:val="single" w:sz="4" w:space="0" w:color="auto"/>
            </w:tcBorders>
            <w:shd w:val="clear" w:color="auto" w:fill="auto"/>
            <w:vAlign w:val="center"/>
            <w:hideMark/>
          </w:tcPr>
          <w:p w14:paraId="17AA1C3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ECUADOR</w:t>
            </w:r>
          </w:p>
        </w:tc>
        <w:tc>
          <w:tcPr>
            <w:tcW w:w="0" w:type="auto"/>
            <w:tcBorders>
              <w:top w:val="nil"/>
              <w:left w:val="nil"/>
              <w:bottom w:val="single" w:sz="4" w:space="0" w:color="auto"/>
              <w:right w:val="single" w:sz="4" w:space="0" w:color="auto"/>
            </w:tcBorders>
            <w:shd w:val="clear" w:color="auto" w:fill="auto"/>
            <w:vAlign w:val="center"/>
            <w:hideMark/>
          </w:tcPr>
          <w:p w14:paraId="7408C6B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P-1103-03</w:t>
            </w:r>
          </w:p>
        </w:tc>
        <w:tc>
          <w:tcPr>
            <w:tcW w:w="0" w:type="auto"/>
            <w:tcBorders>
              <w:top w:val="nil"/>
              <w:left w:val="nil"/>
              <w:bottom w:val="single" w:sz="4" w:space="0" w:color="auto"/>
              <w:right w:val="single" w:sz="4" w:space="0" w:color="auto"/>
            </w:tcBorders>
            <w:shd w:val="clear" w:color="auto" w:fill="auto"/>
            <w:vAlign w:val="center"/>
            <w:hideMark/>
          </w:tcPr>
          <w:p w14:paraId="0FBB38F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12.485</w:t>
            </w:r>
          </w:p>
        </w:tc>
        <w:tc>
          <w:tcPr>
            <w:tcW w:w="0" w:type="auto"/>
            <w:tcBorders>
              <w:top w:val="nil"/>
              <w:left w:val="nil"/>
              <w:bottom w:val="single" w:sz="4" w:space="0" w:color="auto"/>
              <w:right w:val="single" w:sz="4" w:space="0" w:color="auto"/>
            </w:tcBorders>
            <w:shd w:val="clear" w:color="auto" w:fill="auto"/>
            <w:vAlign w:val="center"/>
            <w:hideMark/>
          </w:tcPr>
          <w:p w14:paraId="1C84115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119A6C16"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Ricardo Juan </w:t>
            </w:r>
            <w:proofErr w:type="spellStart"/>
            <w:r w:rsidRPr="00524435">
              <w:rPr>
                <w:rFonts w:ascii="Cambria" w:hAnsi="Cambria" w:cs="Calibri"/>
                <w:color w:val="000000"/>
                <w:sz w:val="20"/>
                <w:szCs w:val="20"/>
              </w:rPr>
              <w:t>Noboa</w:t>
            </w:r>
            <w:proofErr w:type="spellEnd"/>
            <w:r w:rsidRPr="00524435">
              <w:rPr>
                <w:rFonts w:ascii="Cambria" w:hAnsi="Cambria" w:cs="Calibri"/>
                <w:color w:val="000000"/>
                <w:sz w:val="20"/>
                <w:szCs w:val="20"/>
              </w:rPr>
              <w:t xml:space="preserve"> </w:t>
            </w:r>
            <w:proofErr w:type="spellStart"/>
            <w:r w:rsidRPr="00524435">
              <w:rPr>
                <w:rFonts w:ascii="Cambria" w:hAnsi="Cambria" w:cs="Calibri"/>
                <w:color w:val="000000"/>
                <w:sz w:val="20"/>
                <w:szCs w:val="20"/>
              </w:rPr>
              <w:t>Bejarano</w:t>
            </w:r>
            <w:proofErr w:type="spellEnd"/>
            <w:r w:rsidRPr="00524435">
              <w:rPr>
                <w:rFonts w:ascii="Cambria" w:hAnsi="Cambria" w:cs="Calibr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C3138E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48B4DFFF"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91C5D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89</w:t>
            </w:r>
          </w:p>
        </w:tc>
        <w:tc>
          <w:tcPr>
            <w:tcW w:w="0" w:type="auto"/>
            <w:tcBorders>
              <w:top w:val="nil"/>
              <w:left w:val="nil"/>
              <w:bottom w:val="single" w:sz="4" w:space="0" w:color="auto"/>
              <w:right w:val="single" w:sz="4" w:space="0" w:color="auto"/>
            </w:tcBorders>
            <w:shd w:val="clear" w:color="auto" w:fill="auto"/>
            <w:vAlign w:val="center"/>
            <w:hideMark/>
          </w:tcPr>
          <w:p w14:paraId="1D5E7E0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ECUADOR</w:t>
            </w:r>
          </w:p>
        </w:tc>
        <w:tc>
          <w:tcPr>
            <w:tcW w:w="0" w:type="auto"/>
            <w:tcBorders>
              <w:top w:val="nil"/>
              <w:left w:val="nil"/>
              <w:bottom w:val="single" w:sz="4" w:space="0" w:color="auto"/>
              <w:right w:val="single" w:sz="4" w:space="0" w:color="auto"/>
            </w:tcBorders>
            <w:shd w:val="clear" w:color="auto" w:fill="auto"/>
            <w:vAlign w:val="center"/>
            <w:hideMark/>
          </w:tcPr>
          <w:p w14:paraId="4D16891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P-708-05</w:t>
            </w:r>
          </w:p>
        </w:tc>
        <w:tc>
          <w:tcPr>
            <w:tcW w:w="0" w:type="auto"/>
            <w:tcBorders>
              <w:top w:val="nil"/>
              <w:left w:val="nil"/>
              <w:bottom w:val="single" w:sz="4" w:space="0" w:color="auto"/>
              <w:right w:val="single" w:sz="4" w:space="0" w:color="auto"/>
            </w:tcBorders>
            <w:shd w:val="clear" w:color="auto" w:fill="auto"/>
            <w:vAlign w:val="center"/>
            <w:hideMark/>
          </w:tcPr>
          <w:p w14:paraId="7497404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12.974</w:t>
            </w:r>
          </w:p>
        </w:tc>
        <w:tc>
          <w:tcPr>
            <w:tcW w:w="0" w:type="auto"/>
            <w:tcBorders>
              <w:top w:val="nil"/>
              <w:left w:val="nil"/>
              <w:bottom w:val="single" w:sz="4" w:space="0" w:color="auto"/>
              <w:right w:val="single" w:sz="4" w:space="0" w:color="auto"/>
            </w:tcBorders>
            <w:shd w:val="clear" w:color="auto" w:fill="auto"/>
            <w:vAlign w:val="center"/>
            <w:hideMark/>
          </w:tcPr>
          <w:p w14:paraId="6989D1B6"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673F1EF0"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Alejandro Ponce Martínez.</w:t>
            </w:r>
          </w:p>
        </w:tc>
        <w:tc>
          <w:tcPr>
            <w:tcW w:w="0" w:type="auto"/>
            <w:tcBorders>
              <w:top w:val="nil"/>
              <w:left w:val="nil"/>
              <w:bottom w:val="single" w:sz="4" w:space="0" w:color="auto"/>
              <w:right w:val="single" w:sz="4" w:space="0" w:color="auto"/>
            </w:tcBorders>
            <w:shd w:val="clear" w:color="auto" w:fill="auto"/>
            <w:vAlign w:val="center"/>
            <w:hideMark/>
          </w:tcPr>
          <w:p w14:paraId="7B92C5A2"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6E7748B8" w14:textId="77777777" w:rsidTr="008B7C11">
        <w:trPr>
          <w:trHeight w:val="15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02151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lastRenderedPageBreak/>
              <w:t>90</w:t>
            </w:r>
          </w:p>
        </w:tc>
        <w:tc>
          <w:tcPr>
            <w:tcW w:w="0" w:type="auto"/>
            <w:tcBorders>
              <w:top w:val="nil"/>
              <w:left w:val="nil"/>
              <w:bottom w:val="single" w:sz="4" w:space="0" w:color="auto"/>
              <w:right w:val="single" w:sz="4" w:space="0" w:color="auto"/>
            </w:tcBorders>
            <w:shd w:val="clear" w:color="auto" w:fill="auto"/>
            <w:vAlign w:val="center"/>
            <w:hideMark/>
          </w:tcPr>
          <w:p w14:paraId="10F13E26"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ECUADOR</w:t>
            </w:r>
          </w:p>
        </w:tc>
        <w:tc>
          <w:tcPr>
            <w:tcW w:w="0" w:type="auto"/>
            <w:tcBorders>
              <w:top w:val="nil"/>
              <w:left w:val="nil"/>
              <w:bottom w:val="single" w:sz="4" w:space="0" w:color="auto"/>
              <w:right w:val="single" w:sz="4" w:space="0" w:color="auto"/>
            </w:tcBorders>
            <w:shd w:val="clear" w:color="auto" w:fill="auto"/>
            <w:vAlign w:val="center"/>
            <w:hideMark/>
          </w:tcPr>
          <w:p w14:paraId="11EA034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P-171-06</w:t>
            </w:r>
          </w:p>
        </w:tc>
        <w:tc>
          <w:tcPr>
            <w:tcW w:w="0" w:type="auto"/>
            <w:tcBorders>
              <w:top w:val="nil"/>
              <w:left w:val="nil"/>
              <w:bottom w:val="single" w:sz="4" w:space="0" w:color="auto"/>
              <w:right w:val="single" w:sz="4" w:space="0" w:color="auto"/>
            </w:tcBorders>
            <w:shd w:val="clear" w:color="auto" w:fill="auto"/>
            <w:vAlign w:val="center"/>
            <w:hideMark/>
          </w:tcPr>
          <w:p w14:paraId="598BD17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12.911</w:t>
            </w:r>
          </w:p>
        </w:tc>
        <w:tc>
          <w:tcPr>
            <w:tcW w:w="0" w:type="auto"/>
            <w:tcBorders>
              <w:top w:val="nil"/>
              <w:left w:val="nil"/>
              <w:bottom w:val="single" w:sz="4" w:space="0" w:color="auto"/>
              <w:right w:val="single" w:sz="4" w:space="0" w:color="auto"/>
            </w:tcBorders>
            <w:shd w:val="clear" w:color="auto" w:fill="auto"/>
            <w:vAlign w:val="center"/>
            <w:hideMark/>
          </w:tcPr>
          <w:p w14:paraId="63EECD6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5B4B54E4" w14:textId="77777777" w:rsidR="007425A1" w:rsidRPr="003F238D" w:rsidRDefault="007425A1" w:rsidP="008B7C11">
            <w:pPr>
              <w:rPr>
                <w:rFonts w:ascii="Cambria" w:hAnsi="Cambria" w:cs="Calibri"/>
                <w:color w:val="000000"/>
                <w:sz w:val="20"/>
                <w:szCs w:val="20"/>
                <w:lang w:val="es-US"/>
              </w:rPr>
            </w:pPr>
            <w:r w:rsidRPr="003F238D">
              <w:rPr>
                <w:rFonts w:ascii="Cambria" w:hAnsi="Cambria" w:cs="Calibri"/>
                <w:color w:val="000000"/>
                <w:sz w:val="20"/>
                <w:szCs w:val="20"/>
                <w:lang w:val="es-US"/>
              </w:rPr>
              <w:t xml:space="preserve">Yadira Guadalupe Sarango Acacho, Yadira Guadalupe Sarango Acacho, </w:t>
            </w:r>
            <w:proofErr w:type="spellStart"/>
            <w:r w:rsidRPr="003F238D">
              <w:rPr>
                <w:rFonts w:ascii="Cambria" w:hAnsi="Cambria" w:cs="Calibri"/>
                <w:color w:val="000000"/>
                <w:sz w:val="20"/>
                <w:szCs w:val="20"/>
                <w:lang w:val="es-US"/>
              </w:rPr>
              <w:t>Benildo</w:t>
            </w:r>
            <w:proofErr w:type="spellEnd"/>
            <w:r w:rsidRPr="003F238D">
              <w:rPr>
                <w:rFonts w:ascii="Cambria" w:hAnsi="Cambria" w:cs="Calibri"/>
                <w:color w:val="000000"/>
                <w:sz w:val="20"/>
                <w:szCs w:val="20"/>
                <w:lang w:val="es-US"/>
              </w:rPr>
              <w:t xml:space="preserve"> De Jesús Sarango Jumbo y María Raquel Acacho </w:t>
            </w:r>
            <w:proofErr w:type="spellStart"/>
            <w:r w:rsidRPr="003F238D">
              <w:rPr>
                <w:rFonts w:ascii="Cambria" w:hAnsi="Cambria" w:cs="Calibri"/>
                <w:color w:val="000000"/>
                <w:sz w:val="20"/>
                <w:szCs w:val="20"/>
                <w:lang w:val="es-US"/>
              </w:rPr>
              <w:t>Anchari</w:t>
            </w:r>
            <w:proofErr w:type="spellEnd"/>
            <w:r w:rsidRPr="003F238D">
              <w:rPr>
                <w:rFonts w:ascii="Cambria" w:hAnsi="Cambria" w:cs="Calibri"/>
                <w:color w:val="000000"/>
                <w:sz w:val="20"/>
                <w:szCs w:val="20"/>
                <w:lang w:val="es-US"/>
              </w:rPr>
              <w:t>.</w:t>
            </w:r>
          </w:p>
        </w:tc>
        <w:tc>
          <w:tcPr>
            <w:tcW w:w="0" w:type="auto"/>
            <w:tcBorders>
              <w:top w:val="nil"/>
              <w:left w:val="nil"/>
              <w:bottom w:val="single" w:sz="4" w:space="0" w:color="auto"/>
              <w:right w:val="single" w:sz="4" w:space="0" w:color="auto"/>
            </w:tcBorders>
            <w:shd w:val="clear" w:color="auto" w:fill="auto"/>
            <w:vAlign w:val="center"/>
            <w:hideMark/>
          </w:tcPr>
          <w:p w14:paraId="7404928E" w14:textId="77777777" w:rsidR="007425A1" w:rsidRPr="00524435" w:rsidRDefault="007425A1" w:rsidP="008B7C11">
            <w:pPr>
              <w:jc w:val="center"/>
              <w:rPr>
                <w:rFonts w:ascii="Cambria" w:hAnsi="Cambria" w:cs="Calibri"/>
                <w:color w:val="000000"/>
                <w:sz w:val="20"/>
                <w:szCs w:val="20"/>
              </w:rPr>
            </w:pPr>
            <w:r w:rsidRPr="003F238D">
              <w:rPr>
                <w:rFonts w:ascii="Cambria" w:hAnsi="Cambria" w:cs="Calibri"/>
                <w:color w:val="000000"/>
                <w:sz w:val="20"/>
                <w:szCs w:val="20"/>
                <w:lang w:val="es-US"/>
              </w:rPr>
              <w:br/>
            </w:r>
            <w:r w:rsidRPr="00524435">
              <w:rPr>
                <w:rFonts w:ascii="Cambria" w:hAnsi="Cambria" w:cs="Calibri"/>
                <w:i/>
                <w:iCs/>
                <w:color w:val="000000"/>
                <w:sz w:val="20"/>
                <w:szCs w:val="20"/>
              </w:rPr>
              <w:t>Merit</w:t>
            </w:r>
          </w:p>
        </w:tc>
      </w:tr>
      <w:tr w:rsidR="007425A1" w:rsidRPr="00524435" w14:paraId="479F52DB" w14:textId="77777777" w:rsidTr="008B7C11">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12DB3D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91</w:t>
            </w:r>
          </w:p>
        </w:tc>
        <w:tc>
          <w:tcPr>
            <w:tcW w:w="0" w:type="auto"/>
            <w:tcBorders>
              <w:top w:val="nil"/>
              <w:left w:val="nil"/>
              <w:bottom w:val="single" w:sz="4" w:space="0" w:color="auto"/>
              <w:right w:val="single" w:sz="4" w:space="0" w:color="auto"/>
            </w:tcBorders>
            <w:shd w:val="clear" w:color="auto" w:fill="auto"/>
            <w:vAlign w:val="center"/>
            <w:hideMark/>
          </w:tcPr>
          <w:p w14:paraId="0159998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ECUADOR</w:t>
            </w:r>
          </w:p>
        </w:tc>
        <w:tc>
          <w:tcPr>
            <w:tcW w:w="0" w:type="auto"/>
            <w:tcBorders>
              <w:top w:val="nil"/>
              <w:left w:val="nil"/>
              <w:bottom w:val="single" w:sz="4" w:space="0" w:color="auto"/>
              <w:right w:val="single" w:sz="4" w:space="0" w:color="auto"/>
            </w:tcBorders>
            <w:shd w:val="clear" w:color="auto" w:fill="auto"/>
            <w:vAlign w:val="center"/>
            <w:hideMark/>
          </w:tcPr>
          <w:p w14:paraId="65636FB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P-74-08</w:t>
            </w:r>
          </w:p>
        </w:tc>
        <w:tc>
          <w:tcPr>
            <w:tcW w:w="0" w:type="auto"/>
            <w:tcBorders>
              <w:top w:val="nil"/>
              <w:left w:val="nil"/>
              <w:bottom w:val="single" w:sz="4" w:space="0" w:color="auto"/>
              <w:right w:val="single" w:sz="4" w:space="0" w:color="auto"/>
            </w:tcBorders>
            <w:shd w:val="clear" w:color="auto" w:fill="auto"/>
            <w:vAlign w:val="center"/>
            <w:hideMark/>
          </w:tcPr>
          <w:p w14:paraId="32C27922"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13.791</w:t>
            </w:r>
          </w:p>
        </w:tc>
        <w:tc>
          <w:tcPr>
            <w:tcW w:w="0" w:type="auto"/>
            <w:tcBorders>
              <w:top w:val="nil"/>
              <w:left w:val="nil"/>
              <w:bottom w:val="single" w:sz="4" w:space="0" w:color="auto"/>
              <w:right w:val="single" w:sz="4" w:space="0" w:color="auto"/>
            </w:tcBorders>
            <w:shd w:val="clear" w:color="auto" w:fill="auto"/>
            <w:vAlign w:val="center"/>
            <w:hideMark/>
          </w:tcPr>
          <w:p w14:paraId="69ADD9A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4D82CBE1"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Claudio Roberto </w:t>
            </w:r>
            <w:proofErr w:type="spellStart"/>
            <w:r w:rsidRPr="00524435">
              <w:rPr>
                <w:rFonts w:ascii="Cambria" w:hAnsi="Cambria" w:cs="Calibri"/>
                <w:color w:val="000000"/>
                <w:sz w:val="20"/>
                <w:szCs w:val="20"/>
              </w:rPr>
              <w:t>Fossati</w:t>
            </w:r>
            <w:proofErr w:type="spellEnd"/>
            <w:r w:rsidRPr="00524435">
              <w:rPr>
                <w:rFonts w:ascii="Cambria" w:hAnsi="Cambria" w:cs="Calibr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DD4612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70096248"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3A7EE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92</w:t>
            </w:r>
          </w:p>
        </w:tc>
        <w:tc>
          <w:tcPr>
            <w:tcW w:w="0" w:type="auto"/>
            <w:tcBorders>
              <w:top w:val="nil"/>
              <w:left w:val="nil"/>
              <w:bottom w:val="single" w:sz="4" w:space="0" w:color="auto"/>
              <w:right w:val="single" w:sz="4" w:space="0" w:color="auto"/>
            </w:tcBorders>
            <w:shd w:val="clear" w:color="auto" w:fill="auto"/>
            <w:vAlign w:val="center"/>
            <w:hideMark/>
          </w:tcPr>
          <w:p w14:paraId="4D23AB4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ECUADOR</w:t>
            </w:r>
          </w:p>
        </w:tc>
        <w:tc>
          <w:tcPr>
            <w:tcW w:w="0" w:type="auto"/>
            <w:tcBorders>
              <w:top w:val="nil"/>
              <w:left w:val="nil"/>
              <w:bottom w:val="single" w:sz="4" w:space="0" w:color="auto"/>
              <w:right w:val="single" w:sz="4" w:space="0" w:color="auto"/>
            </w:tcBorders>
            <w:shd w:val="clear" w:color="auto" w:fill="auto"/>
            <w:vAlign w:val="center"/>
            <w:hideMark/>
          </w:tcPr>
          <w:p w14:paraId="6C6F9012"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P-1113-11</w:t>
            </w:r>
          </w:p>
        </w:tc>
        <w:tc>
          <w:tcPr>
            <w:tcW w:w="0" w:type="auto"/>
            <w:tcBorders>
              <w:top w:val="nil"/>
              <w:left w:val="nil"/>
              <w:bottom w:val="single" w:sz="4" w:space="0" w:color="auto"/>
              <w:right w:val="single" w:sz="4" w:space="0" w:color="auto"/>
            </w:tcBorders>
            <w:shd w:val="clear" w:color="auto" w:fill="auto"/>
            <w:vAlign w:val="center"/>
            <w:hideMark/>
          </w:tcPr>
          <w:p w14:paraId="0EF7005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14.057</w:t>
            </w:r>
          </w:p>
        </w:tc>
        <w:tc>
          <w:tcPr>
            <w:tcW w:w="0" w:type="auto"/>
            <w:tcBorders>
              <w:top w:val="nil"/>
              <w:left w:val="nil"/>
              <w:bottom w:val="single" w:sz="4" w:space="0" w:color="auto"/>
              <w:right w:val="single" w:sz="4" w:space="0" w:color="auto"/>
            </w:tcBorders>
            <w:shd w:val="clear" w:color="auto" w:fill="auto"/>
            <w:vAlign w:val="center"/>
            <w:hideMark/>
          </w:tcPr>
          <w:p w14:paraId="34D508E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6BC39D6C"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Oswaldo </w:t>
            </w:r>
            <w:proofErr w:type="spellStart"/>
            <w:r w:rsidRPr="00524435">
              <w:rPr>
                <w:rFonts w:ascii="Cambria" w:hAnsi="Cambria" w:cs="Calibri"/>
                <w:color w:val="000000"/>
                <w:sz w:val="20"/>
                <w:szCs w:val="20"/>
              </w:rPr>
              <w:t>Senén</w:t>
            </w:r>
            <w:proofErr w:type="spellEnd"/>
            <w:r w:rsidRPr="00524435">
              <w:rPr>
                <w:rFonts w:ascii="Cambria" w:hAnsi="Cambria" w:cs="Calibri"/>
                <w:color w:val="000000"/>
                <w:sz w:val="20"/>
                <w:szCs w:val="20"/>
              </w:rPr>
              <w:t xml:space="preserve"> Paredes.</w:t>
            </w:r>
          </w:p>
        </w:tc>
        <w:tc>
          <w:tcPr>
            <w:tcW w:w="0" w:type="auto"/>
            <w:tcBorders>
              <w:top w:val="nil"/>
              <w:left w:val="nil"/>
              <w:bottom w:val="single" w:sz="4" w:space="0" w:color="auto"/>
              <w:right w:val="single" w:sz="4" w:space="0" w:color="auto"/>
            </w:tcBorders>
            <w:shd w:val="clear" w:color="auto" w:fill="auto"/>
            <w:vAlign w:val="center"/>
            <w:hideMark/>
          </w:tcPr>
          <w:p w14:paraId="4A7B1CB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151943EE"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0C612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95</w:t>
            </w:r>
          </w:p>
        </w:tc>
        <w:tc>
          <w:tcPr>
            <w:tcW w:w="0" w:type="auto"/>
            <w:tcBorders>
              <w:top w:val="nil"/>
              <w:left w:val="nil"/>
              <w:bottom w:val="single" w:sz="4" w:space="0" w:color="auto"/>
              <w:right w:val="single" w:sz="4" w:space="0" w:color="auto"/>
            </w:tcBorders>
            <w:shd w:val="clear" w:color="auto" w:fill="auto"/>
            <w:vAlign w:val="center"/>
            <w:hideMark/>
          </w:tcPr>
          <w:p w14:paraId="7CF754A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t>UNITED STATES</w:t>
            </w:r>
          </w:p>
        </w:tc>
        <w:tc>
          <w:tcPr>
            <w:tcW w:w="0" w:type="auto"/>
            <w:tcBorders>
              <w:top w:val="nil"/>
              <w:left w:val="nil"/>
              <w:bottom w:val="single" w:sz="4" w:space="0" w:color="auto"/>
              <w:right w:val="single" w:sz="4" w:space="0" w:color="auto"/>
            </w:tcBorders>
            <w:shd w:val="clear" w:color="auto" w:fill="auto"/>
            <w:vAlign w:val="center"/>
            <w:hideMark/>
          </w:tcPr>
          <w:p w14:paraId="37777BD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P-1907-11</w:t>
            </w:r>
          </w:p>
        </w:tc>
        <w:tc>
          <w:tcPr>
            <w:tcW w:w="0" w:type="auto"/>
            <w:tcBorders>
              <w:top w:val="nil"/>
              <w:left w:val="nil"/>
              <w:bottom w:val="single" w:sz="4" w:space="0" w:color="auto"/>
              <w:right w:val="single" w:sz="4" w:space="0" w:color="auto"/>
            </w:tcBorders>
            <w:shd w:val="clear" w:color="auto" w:fill="auto"/>
            <w:vAlign w:val="center"/>
            <w:hideMark/>
          </w:tcPr>
          <w:p w14:paraId="7DD598D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13.358</w:t>
            </w:r>
          </w:p>
        </w:tc>
        <w:tc>
          <w:tcPr>
            <w:tcW w:w="0" w:type="auto"/>
            <w:tcBorders>
              <w:top w:val="nil"/>
              <w:left w:val="nil"/>
              <w:bottom w:val="single" w:sz="4" w:space="0" w:color="auto"/>
              <w:right w:val="single" w:sz="4" w:space="0" w:color="auto"/>
            </w:tcBorders>
            <w:shd w:val="clear" w:color="auto" w:fill="auto"/>
            <w:vAlign w:val="center"/>
            <w:hideMark/>
          </w:tcPr>
          <w:p w14:paraId="0654D4B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7F700521"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Héctor Rolando Medina.</w:t>
            </w:r>
          </w:p>
        </w:tc>
        <w:tc>
          <w:tcPr>
            <w:tcW w:w="0" w:type="auto"/>
            <w:tcBorders>
              <w:top w:val="nil"/>
              <w:left w:val="nil"/>
              <w:bottom w:val="single" w:sz="4" w:space="0" w:color="auto"/>
              <w:right w:val="single" w:sz="4" w:space="0" w:color="auto"/>
            </w:tcBorders>
            <w:shd w:val="clear" w:color="auto" w:fill="auto"/>
            <w:vAlign w:val="center"/>
            <w:hideMark/>
          </w:tcPr>
          <w:p w14:paraId="0781AEB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470075D8" w14:textId="77777777" w:rsidTr="008B7C11">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54FCEF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97</w:t>
            </w:r>
          </w:p>
        </w:tc>
        <w:tc>
          <w:tcPr>
            <w:tcW w:w="0" w:type="auto"/>
            <w:tcBorders>
              <w:top w:val="nil"/>
              <w:left w:val="nil"/>
              <w:bottom w:val="single" w:sz="4" w:space="0" w:color="auto"/>
              <w:right w:val="single" w:sz="4" w:space="0" w:color="auto"/>
            </w:tcBorders>
            <w:shd w:val="clear" w:color="auto" w:fill="auto"/>
            <w:vAlign w:val="center"/>
            <w:hideMark/>
          </w:tcPr>
          <w:p w14:paraId="61C29FF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t>UNITED STATES</w:t>
            </w:r>
          </w:p>
        </w:tc>
        <w:tc>
          <w:tcPr>
            <w:tcW w:w="0" w:type="auto"/>
            <w:tcBorders>
              <w:top w:val="nil"/>
              <w:left w:val="nil"/>
              <w:bottom w:val="single" w:sz="4" w:space="0" w:color="auto"/>
              <w:right w:val="single" w:sz="4" w:space="0" w:color="auto"/>
            </w:tcBorders>
            <w:shd w:val="clear" w:color="auto" w:fill="auto"/>
            <w:vAlign w:val="center"/>
            <w:hideMark/>
          </w:tcPr>
          <w:p w14:paraId="0280556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P-98-15</w:t>
            </w:r>
          </w:p>
        </w:tc>
        <w:tc>
          <w:tcPr>
            <w:tcW w:w="0" w:type="auto"/>
            <w:tcBorders>
              <w:top w:val="nil"/>
              <w:left w:val="nil"/>
              <w:bottom w:val="single" w:sz="4" w:space="0" w:color="auto"/>
              <w:right w:val="single" w:sz="4" w:space="0" w:color="auto"/>
            </w:tcBorders>
            <w:shd w:val="clear" w:color="auto" w:fill="auto"/>
            <w:vAlign w:val="center"/>
            <w:hideMark/>
          </w:tcPr>
          <w:p w14:paraId="1057FAA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13.444</w:t>
            </w:r>
          </w:p>
        </w:tc>
        <w:tc>
          <w:tcPr>
            <w:tcW w:w="0" w:type="auto"/>
            <w:tcBorders>
              <w:top w:val="nil"/>
              <w:left w:val="nil"/>
              <w:bottom w:val="single" w:sz="4" w:space="0" w:color="auto"/>
              <w:right w:val="single" w:sz="4" w:space="0" w:color="auto"/>
            </w:tcBorders>
            <w:shd w:val="clear" w:color="auto" w:fill="auto"/>
            <w:vAlign w:val="center"/>
            <w:hideMark/>
          </w:tcPr>
          <w:p w14:paraId="1A3783A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5EC37EBA" w14:textId="77777777" w:rsidR="007425A1" w:rsidRPr="00524435" w:rsidRDefault="007425A1" w:rsidP="008B7C11">
            <w:pPr>
              <w:rPr>
                <w:rFonts w:ascii="Cambria" w:hAnsi="Cambria" w:cs="Calibri"/>
                <w:color w:val="000000"/>
                <w:sz w:val="20"/>
                <w:szCs w:val="20"/>
              </w:rPr>
            </w:pPr>
            <w:proofErr w:type="spellStart"/>
            <w:r w:rsidRPr="00524435">
              <w:rPr>
                <w:rFonts w:ascii="Cambria" w:hAnsi="Cambria" w:cs="Calibri"/>
                <w:color w:val="000000"/>
                <w:sz w:val="20"/>
                <w:szCs w:val="20"/>
              </w:rPr>
              <w:t>Moath</w:t>
            </w:r>
            <w:proofErr w:type="spellEnd"/>
            <w:r w:rsidRPr="00524435">
              <w:rPr>
                <w:rFonts w:ascii="Cambria" w:hAnsi="Cambria" w:cs="Calibri"/>
                <w:color w:val="000000"/>
                <w:sz w:val="20"/>
                <w:szCs w:val="20"/>
              </w:rPr>
              <w:t xml:space="preserve"> al-</w:t>
            </w:r>
            <w:proofErr w:type="spellStart"/>
            <w:r w:rsidRPr="00524435">
              <w:rPr>
                <w:rFonts w:ascii="Cambria" w:hAnsi="Cambria" w:cs="Calibri"/>
                <w:color w:val="000000"/>
                <w:sz w:val="20"/>
                <w:szCs w:val="20"/>
              </w:rPr>
              <w:t>Alwi</w:t>
            </w:r>
            <w:proofErr w:type="spellEnd"/>
            <w:r w:rsidRPr="00524435">
              <w:rPr>
                <w:rFonts w:ascii="Cambria" w:hAnsi="Cambria" w:cs="Calibr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CE1A19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24A71BBC" w14:textId="77777777" w:rsidTr="008B7C1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B5B97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98</w:t>
            </w:r>
          </w:p>
        </w:tc>
        <w:tc>
          <w:tcPr>
            <w:tcW w:w="0" w:type="auto"/>
            <w:tcBorders>
              <w:top w:val="nil"/>
              <w:left w:val="nil"/>
              <w:bottom w:val="single" w:sz="4" w:space="0" w:color="auto"/>
              <w:right w:val="single" w:sz="4" w:space="0" w:color="auto"/>
            </w:tcBorders>
            <w:shd w:val="clear" w:color="auto" w:fill="auto"/>
            <w:vAlign w:val="center"/>
            <w:hideMark/>
          </w:tcPr>
          <w:p w14:paraId="11989D1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GUATEMALA</w:t>
            </w:r>
          </w:p>
        </w:tc>
        <w:tc>
          <w:tcPr>
            <w:tcW w:w="0" w:type="auto"/>
            <w:tcBorders>
              <w:top w:val="nil"/>
              <w:left w:val="nil"/>
              <w:bottom w:val="single" w:sz="4" w:space="0" w:color="auto"/>
              <w:right w:val="single" w:sz="4" w:space="0" w:color="auto"/>
            </w:tcBorders>
            <w:shd w:val="clear" w:color="auto" w:fill="auto"/>
            <w:vAlign w:val="center"/>
            <w:hideMark/>
          </w:tcPr>
          <w:p w14:paraId="26D032A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P-282-05</w:t>
            </w:r>
          </w:p>
        </w:tc>
        <w:tc>
          <w:tcPr>
            <w:tcW w:w="0" w:type="auto"/>
            <w:tcBorders>
              <w:top w:val="nil"/>
              <w:left w:val="nil"/>
              <w:bottom w:val="single" w:sz="4" w:space="0" w:color="auto"/>
              <w:right w:val="single" w:sz="4" w:space="0" w:color="auto"/>
            </w:tcBorders>
            <w:shd w:val="clear" w:color="auto" w:fill="auto"/>
            <w:vAlign w:val="center"/>
            <w:hideMark/>
          </w:tcPr>
          <w:p w14:paraId="1C35328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13.312</w:t>
            </w:r>
          </w:p>
        </w:tc>
        <w:tc>
          <w:tcPr>
            <w:tcW w:w="0" w:type="auto"/>
            <w:tcBorders>
              <w:top w:val="nil"/>
              <w:left w:val="nil"/>
              <w:bottom w:val="single" w:sz="4" w:space="0" w:color="auto"/>
              <w:right w:val="single" w:sz="4" w:space="0" w:color="auto"/>
            </w:tcBorders>
            <w:shd w:val="clear" w:color="auto" w:fill="auto"/>
            <w:vAlign w:val="center"/>
            <w:hideMark/>
          </w:tcPr>
          <w:p w14:paraId="3FE10FE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382D0CF4" w14:textId="77777777" w:rsidR="007425A1" w:rsidRPr="003F238D" w:rsidRDefault="007425A1" w:rsidP="008B7C11">
            <w:pPr>
              <w:rPr>
                <w:rFonts w:ascii="Cambria" w:hAnsi="Cambria" w:cs="Calibri"/>
                <w:color w:val="000000"/>
                <w:sz w:val="20"/>
                <w:szCs w:val="20"/>
                <w:lang w:val="es-US"/>
              </w:rPr>
            </w:pPr>
            <w:r w:rsidRPr="003F238D">
              <w:rPr>
                <w:rFonts w:ascii="Cambria" w:hAnsi="Cambria" w:cs="Calibri"/>
                <w:color w:val="000000"/>
                <w:sz w:val="20"/>
                <w:szCs w:val="20"/>
                <w:lang w:val="es-US"/>
              </w:rPr>
              <w:t>Reina Isabel Herrarte Molina de Cajón y otros.</w:t>
            </w:r>
          </w:p>
        </w:tc>
        <w:tc>
          <w:tcPr>
            <w:tcW w:w="0" w:type="auto"/>
            <w:tcBorders>
              <w:top w:val="nil"/>
              <w:left w:val="nil"/>
              <w:bottom w:val="single" w:sz="4" w:space="0" w:color="auto"/>
              <w:right w:val="single" w:sz="4" w:space="0" w:color="auto"/>
            </w:tcBorders>
            <w:shd w:val="clear" w:color="auto" w:fill="auto"/>
            <w:vAlign w:val="center"/>
            <w:hideMark/>
          </w:tcPr>
          <w:p w14:paraId="3356D145" w14:textId="77777777" w:rsidR="007425A1" w:rsidRPr="00524435" w:rsidRDefault="007425A1" w:rsidP="008B7C11">
            <w:pPr>
              <w:jc w:val="center"/>
              <w:rPr>
                <w:rFonts w:ascii="Cambria" w:hAnsi="Cambria" w:cs="Calibri"/>
                <w:color w:val="000000"/>
                <w:sz w:val="20"/>
                <w:szCs w:val="20"/>
              </w:rPr>
            </w:pPr>
            <w:r w:rsidRPr="003F238D">
              <w:rPr>
                <w:rFonts w:ascii="Cambria" w:hAnsi="Cambria" w:cs="Calibri"/>
                <w:color w:val="000000"/>
                <w:sz w:val="20"/>
                <w:szCs w:val="20"/>
                <w:lang w:val="es-US"/>
              </w:rPr>
              <w:br/>
            </w:r>
            <w:r w:rsidRPr="00524435">
              <w:rPr>
                <w:rFonts w:ascii="Cambria" w:hAnsi="Cambria" w:cs="Calibri"/>
                <w:i/>
                <w:iCs/>
                <w:color w:val="000000"/>
                <w:sz w:val="20"/>
                <w:szCs w:val="20"/>
              </w:rPr>
              <w:t>Merit</w:t>
            </w:r>
          </w:p>
        </w:tc>
      </w:tr>
      <w:tr w:rsidR="007425A1" w:rsidRPr="00524435" w14:paraId="25C8B516" w14:textId="77777777" w:rsidTr="008B7C11">
        <w:trPr>
          <w:trHeight w:val="125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DFC2B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99</w:t>
            </w:r>
          </w:p>
        </w:tc>
        <w:tc>
          <w:tcPr>
            <w:tcW w:w="0" w:type="auto"/>
            <w:tcBorders>
              <w:top w:val="nil"/>
              <w:left w:val="nil"/>
              <w:bottom w:val="single" w:sz="4" w:space="0" w:color="auto"/>
              <w:right w:val="single" w:sz="4" w:space="0" w:color="auto"/>
            </w:tcBorders>
            <w:shd w:val="clear" w:color="auto" w:fill="auto"/>
            <w:vAlign w:val="center"/>
            <w:hideMark/>
          </w:tcPr>
          <w:p w14:paraId="583D513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GUATEMALA</w:t>
            </w:r>
          </w:p>
        </w:tc>
        <w:tc>
          <w:tcPr>
            <w:tcW w:w="0" w:type="auto"/>
            <w:tcBorders>
              <w:top w:val="nil"/>
              <w:left w:val="nil"/>
              <w:bottom w:val="single" w:sz="4" w:space="0" w:color="auto"/>
              <w:right w:val="single" w:sz="4" w:space="0" w:color="auto"/>
            </w:tcBorders>
            <w:shd w:val="clear" w:color="auto" w:fill="auto"/>
            <w:vAlign w:val="center"/>
            <w:hideMark/>
          </w:tcPr>
          <w:p w14:paraId="4360FB4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P-818-06</w:t>
            </w:r>
          </w:p>
        </w:tc>
        <w:tc>
          <w:tcPr>
            <w:tcW w:w="0" w:type="auto"/>
            <w:tcBorders>
              <w:top w:val="nil"/>
              <w:left w:val="nil"/>
              <w:bottom w:val="single" w:sz="4" w:space="0" w:color="auto"/>
              <w:right w:val="single" w:sz="4" w:space="0" w:color="auto"/>
            </w:tcBorders>
            <w:shd w:val="clear" w:color="auto" w:fill="auto"/>
            <w:vAlign w:val="center"/>
            <w:hideMark/>
          </w:tcPr>
          <w:p w14:paraId="7A93AB66"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12.959</w:t>
            </w:r>
          </w:p>
        </w:tc>
        <w:tc>
          <w:tcPr>
            <w:tcW w:w="0" w:type="auto"/>
            <w:tcBorders>
              <w:top w:val="nil"/>
              <w:left w:val="nil"/>
              <w:bottom w:val="single" w:sz="4" w:space="0" w:color="auto"/>
              <w:right w:val="single" w:sz="4" w:space="0" w:color="auto"/>
            </w:tcBorders>
            <w:shd w:val="clear" w:color="auto" w:fill="auto"/>
            <w:vAlign w:val="center"/>
            <w:hideMark/>
          </w:tcPr>
          <w:p w14:paraId="0E23708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009FAF80" w14:textId="07830B4A" w:rsidR="007425A1" w:rsidRPr="00DF0CD0" w:rsidRDefault="007425A1" w:rsidP="008B7C11">
            <w:pPr>
              <w:rPr>
                <w:rFonts w:ascii="Cambria" w:hAnsi="Cambria" w:cs="Calibri"/>
                <w:color w:val="000000"/>
                <w:sz w:val="20"/>
                <w:szCs w:val="20"/>
                <w:lang w:val="fr-CA"/>
              </w:rPr>
            </w:pPr>
            <w:r w:rsidRPr="003F238D">
              <w:rPr>
                <w:rFonts w:ascii="Cambria" w:hAnsi="Cambria" w:cs="Calibri"/>
                <w:color w:val="000000"/>
                <w:sz w:val="20"/>
                <w:szCs w:val="20"/>
                <w:lang w:val="es-US"/>
              </w:rPr>
              <w:t xml:space="preserve">Felipe Matías Calmo, Faustino Mejía Bautista </w:t>
            </w:r>
            <w:r w:rsidR="0057284E" w:rsidRPr="003F238D">
              <w:rPr>
                <w:rFonts w:ascii="Cambria" w:hAnsi="Cambria" w:cs="Calibri"/>
                <w:color w:val="000000"/>
                <w:sz w:val="20"/>
                <w:szCs w:val="20"/>
                <w:lang w:val="es-US"/>
              </w:rPr>
              <w:t xml:space="preserve">et al. </w:t>
            </w:r>
            <w:r w:rsidRPr="00DF0CD0">
              <w:rPr>
                <w:rFonts w:ascii="Cambria" w:hAnsi="Cambria" w:cs="Calibri"/>
                <w:color w:val="000000"/>
                <w:sz w:val="20"/>
                <w:szCs w:val="20"/>
                <w:lang w:val="fr-CA"/>
              </w:rPr>
              <w:t>(</w:t>
            </w:r>
            <w:proofErr w:type="spellStart"/>
            <w:r w:rsidRPr="00DF0CD0">
              <w:rPr>
                <w:rFonts w:ascii="Cambria" w:hAnsi="Cambria" w:cs="Calibri"/>
                <w:color w:val="000000"/>
                <w:sz w:val="20"/>
                <w:szCs w:val="20"/>
                <w:lang w:val="fr-CA"/>
              </w:rPr>
              <w:t>Inhabitants</w:t>
            </w:r>
            <w:proofErr w:type="spellEnd"/>
            <w:r w:rsidRPr="00DF0CD0">
              <w:rPr>
                <w:rFonts w:ascii="Cambria" w:hAnsi="Cambria" w:cs="Calibri"/>
                <w:color w:val="000000"/>
                <w:sz w:val="20"/>
                <w:szCs w:val="20"/>
                <w:lang w:val="fr-CA"/>
              </w:rPr>
              <w:t xml:space="preserve"> of </w:t>
            </w:r>
            <w:proofErr w:type="spellStart"/>
            <w:r w:rsidRPr="00DF0CD0">
              <w:rPr>
                <w:rFonts w:ascii="Cambria" w:hAnsi="Cambria" w:cs="Calibri"/>
                <w:color w:val="000000"/>
                <w:sz w:val="20"/>
                <w:szCs w:val="20"/>
                <w:lang w:val="fr-CA"/>
              </w:rPr>
              <w:t>Tres</w:t>
            </w:r>
            <w:proofErr w:type="spellEnd"/>
            <w:r w:rsidRPr="00DF0CD0">
              <w:rPr>
                <w:rFonts w:ascii="Cambria" w:hAnsi="Cambria" w:cs="Calibri"/>
                <w:color w:val="000000"/>
                <w:sz w:val="20"/>
                <w:szCs w:val="20"/>
                <w:lang w:val="fr-CA"/>
              </w:rPr>
              <w:t xml:space="preserve"> </w:t>
            </w:r>
            <w:proofErr w:type="spellStart"/>
            <w:r w:rsidRPr="00DF0CD0">
              <w:rPr>
                <w:rFonts w:ascii="Cambria" w:hAnsi="Cambria" w:cs="Calibri"/>
                <w:color w:val="000000"/>
                <w:sz w:val="20"/>
                <w:szCs w:val="20"/>
                <w:lang w:val="fr-CA"/>
              </w:rPr>
              <w:t>Cruces</w:t>
            </w:r>
            <w:proofErr w:type="spellEnd"/>
            <w:r w:rsidRPr="00DF0CD0">
              <w:rPr>
                <w:rFonts w:ascii="Cambria" w:hAnsi="Cambria" w:cs="Calibri"/>
                <w:color w:val="000000"/>
                <w:sz w:val="20"/>
                <w:szCs w:val="20"/>
                <w:lang w:val="fr-CA"/>
              </w:rPr>
              <w:t xml:space="preserve"> village).</w:t>
            </w:r>
          </w:p>
        </w:tc>
        <w:tc>
          <w:tcPr>
            <w:tcW w:w="0" w:type="auto"/>
            <w:tcBorders>
              <w:top w:val="nil"/>
              <w:left w:val="nil"/>
              <w:bottom w:val="single" w:sz="4" w:space="0" w:color="auto"/>
              <w:right w:val="single" w:sz="4" w:space="0" w:color="auto"/>
            </w:tcBorders>
            <w:shd w:val="clear" w:color="auto" w:fill="auto"/>
            <w:vAlign w:val="center"/>
            <w:hideMark/>
          </w:tcPr>
          <w:p w14:paraId="091C828B" w14:textId="77777777" w:rsidR="007425A1" w:rsidRPr="00524435" w:rsidRDefault="007425A1" w:rsidP="008B7C11">
            <w:pPr>
              <w:jc w:val="center"/>
              <w:rPr>
                <w:rFonts w:ascii="Cambria" w:hAnsi="Cambria" w:cs="Calibri"/>
                <w:color w:val="000000"/>
                <w:sz w:val="20"/>
                <w:szCs w:val="20"/>
              </w:rPr>
            </w:pPr>
            <w:r w:rsidRPr="00DF0CD0">
              <w:rPr>
                <w:rFonts w:ascii="Cambria" w:hAnsi="Cambria" w:cs="Calibri"/>
                <w:color w:val="000000"/>
                <w:sz w:val="20"/>
                <w:szCs w:val="20"/>
                <w:lang w:val="fr-CA"/>
              </w:rPr>
              <w:br/>
            </w:r>
            <w:r w:rsidRPr="00524435">
              <w:rPr>
                <w:rFonts w:ascii="Cambria" w:hAnsi="Cambria" w:cs="Calibri"/>
                <w:i/>
                <w:iCs/>
                <w:color w:val="000000"/>
                <w:sz w:val="20"/>
                <w:szCs w:val="20"/>
              </w:rPr>
              <w:t>Merit</w:t>
            </w:r>
          </w:p>
        </w:tc>
      </w:tr>
      <w:tr w:rsidR="007425A1" w:rsidRPr="00524435" w14:paraId="0BB338D0" w14:textId="77777777" w:rsidTr="008B7C11">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FD7E0E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37DAC55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GUATEMALA</w:t>
            </w:r>
          </w:p>
        </w:tc>
        <w:tc>
          <w:tcPr>
            <w:tcW w:w="0" w:type="auto"/>
            <w:tcBorders>
              <w:top w:val="nil"/>
              <w:left w:val="nil"/>
              <w:bottom w:val="single" w:sz="4" w:space="0" w:color="auto"/>
              <w:right w:val="single" w:sz="4" w:space="0" w:color="auto"/>
            </w:tcBorders>
            <w:shd w:val="clear" w:color="auto" w:fill="auto"/>
            <w:vAlign w:val="center"/>
            <w:hideMark/>
          </w:tcPr>
          <w:p w14:paraId="5ED128C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P-677-15</w:t>
            </w:r>
          </w:p>
        </w:tc>
        <w:tc>
          <w:tcPr>
            <w:tcW w:w="0" w:type="auto"/>
            <w:tcBorders>
              <w:top w:val="nil"/>
              <w:left w:val="nil"/>
              <w:bottom w:val="single" w:sz="4" w:space="0" w:color="auto"/>
              <w:right w:val="single" w:sz="4" w:space="0" w:color="auto"/>
            </w:tcBorders>
            <w:shd w:val="clear" w:color="auto" w:fill="auto"/>
            <w:vAlign w:val="center"/>
            <w:hideMark/>
          </w:tcPr>
          <w:p w14:paraId="19173D9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14.345</w:t>
            </w:r>
          </w:p>
        </w:tc>
        <w:tc>
          <w:tcPr>
            <w:tcW w:w="0" w:type="auto"/>
            <w:tcBorders>
              <w:top w:val="nil"/>
              <w:left w:val="nil"/>
              <w:bottom w:val="single" w:sz="4" w:space="0" w:color="auto"/>
              <w:right w:val="single" w:sz="4" w:space="0" w:color="auto"/>
            </w:tcBorders>
            <w:shd w:val="clear" w:color="auto" w:fill="auto"/>
            <w:vAlign w:val="center"/>
            <w:hideMark/>
          </w:tcPr>
          <w:p w14:paraId="2BA323D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2CA21831"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Hugo Ernesto </w:t>
            </w:r>
            <w:proofErr w:type="spellStart"/>
            <w:r w:rsidRPr="00524435">
              <w:rPr>
                <w:rFonts w:ascii="Cambria" w:hAnsi="Cambria" w:cs="Calibri"/>
                <w:color w:val="000000"/>
                <w:sz w:val="20"/>
                <w:szCs w:val="20"/>
              </w:rPr>
              <w:t>Mazariegos</w:t>
            </w:r>
            <w:proofErr w:type="spellEnd"/>
            <w:r w:rsidRPr="00524435">
              <w:rPr>
                <w:rFonts w:ascii="Cambria" w:hAnsi="Cambria" w:cs="Calibri"/>
                <w:color w:val="000000"/>
                <w:sz w:val="20"/>
                <w:szCs w:val="20"/>
              </w:rPr>
              <w:t xml:space="preserve"> </w:t>
            </w:r>
            <w:proofErr w:type="spellStart"/>
            <w:r w:rsidRPr="00524435">
              <w:rPr>
                <w:rFonts w:ascii="Cambria" w:hAnsi="Cambria" w:cs="Calibri"/>
                <w:color w:val="000000"/>
                <w:sz w:val="20"/>
                <w:szCs w:val="20"/>
              </w:rPr>
              <w:t>Santizo</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186CEA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43AC3E9B"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9729F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104</w:t>
            </w:r>
          </w:p>
        </w:tc>
        <w:tc>
          <w:tcPr>
            <w:tcW w:w="0" w:type="auto"/>
            <w:tcBorders>
              <w:top w:val="nil"/>
              <w:left w:val="nil"/>
              <w:bottom w:val="single" w:sz="4" w:space="0" w:color="auto"/>
              <w:right w:val="single" w:sz="4" w:space="0" w:color="auto"/>
            </w:tcBorders>
            <w:shd w:val="clear" w:color="auto" w:fill="auto"/>
            <w:vAlign w:val="center"/>
            <w:hideMark/>
          </w:tcPr>
          <w:p w14:paraId="433322C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GUATEMALA</w:t>
            </w:r>
          </w:p>
        </w:tc>
        <w:tc>
          <w:tcPr>
            <w:tcW w:w="0" w:type="auto"/>
            <w:tcBorders>
              <w:top w:val="nil"/>
              <w:left w:val="nil"/>
              <w:bottom w:val="single" w:sz="4" w:space="0" w:color="auto"/>
              <w:right w:val="single" w:sz="4" w:space="0" w:color="auto"/>
            </w:tcBorders>
            <w:shd w:val="clear" w:color="auto" w:fill="auto"/>
            <w:vAlign w:val="center"/>
            <w:hideMark/>
          </w:tcPr>
          <w:p w14:paraId="1BCB2CC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P-711-14</w:t>
            </w:r>
          </w:p>
        </w:tc>
        <w:tc>
          <w:tcPr>
            <w:tcW w:w="0" w:type="auto"/>
            <w:tcBorders>
              <w:top w:val="nil"/>
              <w:left w:val="nil"/>
              <w:bottom w:val="single" w:sz="4" w:space="0" w:color="auto"/>
              <w:right w:val="single" w:sz="4" w:space="0" w:color="auto"/>
            </w:tcBorders>
            <w:shd w:val="clear" w:color="auto" w:fill="auto"/>
            <w:vAlign w:val="center"/>
            <w:hideMark/>
          </w:tcPr>
          <w:p w14:paraId="5C809B8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14.318</w:t>
            </w:r>
          </w:p>
        </w:tc>
        <w:tc>
          <w:tcPr>
            <w:tcW w:w="0" w:type="auto"/>
            <w:tcBorders>
              <w:top w:val="nil"/>
              <w:left w:val="nil"/>
              <w:bottom w:val="single" w:sz="4" w:space="0" w:color="auto"/>
              <w:right w:val="single" w:sz="4" w:space="0" w:color="auto"/>
            </w:tcBorders>
            <w:shd w:val="clear" w:color="auto" w:fill="auto"/>
            <w:vAlign w:val="center"/>
            <w:hideMark/>
          </w:tcPr>
          <w:p w14:paraId="4CDAE1A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040FC78C"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Román Enrique Pérez Maldonado.</w:t>
            </w:r>
          </w:p>
        </w:tc>
        <w:tc>
          <w:tcPr>
            <w:tcW w:w="0" w:type="auto"/>
            <w:tcBorders>
              <w:top w:val="nil"/>
              <w:left w:val="nil"/>
              <w:bottom w:val="single" w:sz="4" w:space="0" w:color="auto"/>
              <w:right w:val="single" w:sz="4" w:space="0" w:color="auto"/>
            </w:tcBorders>
            <w:shd w:val="clear" w:color="auto" w:fill="auto"/>
            <w:vAlign w:val="center"/>
            <w:hideMark/>
          </w:tcPr>
          <w:p w14:paraId="6C66ED5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38A91B57" w14:textId="77777777" w:rsidTr="008B7C11">
        <w:trPr>
          <w:trHeight w:val="1862"/>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1EAA10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14:paraId="6130E99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GUYANA</w:t>
            </w:r>
          </w:p>
        </w:tc>
        <w:tc>
          <w:tcPr>
            <w:tcW w:w="0" w:type="auto"/>
            <w:tcBorders>
              <w:top w:val="nil"/>
              <w:left w:val="nil"/>
              <w:bottom w:val="single" w:sz="4" w:space="0" w:color="auto"/>
              <w:right w:val="single" w:sz="4" w:space="0" w:color="auto"/>
            </w:tcBorders>
            <w:shd w:val="clear" w:color="auto" w:fill="auto"/>
            <w:vAlign w:val="center"/>
            <w:hideMark/>
          </w:tcPr>
          <w:p w14:paraId="2C7DB0A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P-353-07</w:t>
            </w:r>
          </w:p>
        </w:tc>
        <w:tc>
          <w:tcPr>
            <w:tcW w:w="0" w:type="auto"/>
            <w:tcBorders>
              <w:top w:val="nil"/>
              <w:left w:val="nil"/>
              <w:bottom w:val="single" w:sz="4" w:space="0" w:color="auto"/>
              <w:right w:val="single" w:sz="4" w:space="0" w:color="auto"/>
            </w:tcBorders>
            <w:shd w:val="clear" w:color="auto" w:fill="auto"/>
            <w:vAlign w:val="center"/>
            <w:hideMark/>
          </w:tcPr>
          <w:p w14:paraId="6CEEC0F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13.009</w:t>
            </w:r>
          </w:p>
        </w:tc>
        <w:tc>
          <w:tcPr>
            <w:tcW w:w="0" w:type="auto"/>
            <w:tcBorders>
              <w:top w:val="nil"/>
              <w:left w:val="nil"/>
              <w:bottom w:val="single" w:sz="4" w:space="0" w:color="auto"/>
              <w:right w:val="single" w:sz="4" w:space="0" w:color="auto"/>
            </w:tcBorders>
            <w:shd w:val="clear" w:color="auto" w:fill="auto"/>
            <w:vAlign w:val="center"/>
            <w:hideMark/>
          </w:tcPr>
          <w:p w14:paraId="1E6ED7A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1D549DA7" w14:textId="77777777" w:rsidR="007425A1" w:rsidRPr="00524435" w:rsidRDefault="007425A1" w:rsidP="008B7C11">
            <w:pPr>
              <w:rPr>
                <w:rFonts w:ascii="Cambria" w:hAnsi="Cambria" w:cs="Calibri"/>
                <w:color w:val="000000"/>
                <w:sz w:val="20"/>
                <w:szCs w:val="20"/>
              </w:rPr>
            </w:pPr>
            <w:proofErr w:type="spellStart"/>
            <w:r w:rsidRPr="00524435">
              <w:rPr>
                <w:rFonts w:ascii="Cambria" w:hAnsi="Cambria" w:cs="Calibri"/>
                <w:color w:val="000000"/>
                <w:sz w:val="20"/>
                <w:szCs w:val="20"/>
              </w:rPr>
              <w:t>Kamla</w:t>
            </w:r>
            <w:proofErr w:type="spellEnd"/>
            <w:r w:rsidRPr="00524435">
              <w:rPr>
                <w:rFonts w:ascii="Cambria" w:hAnsi="Cambria" w:cs="Calibri"/>
                <w:color w:val="000000"/>
                <w:sz w:val="20"/>
                <w:szCs w:val="20"/>
              </w:rPr>
              <w:t xml:space="preserve"> Patricia Panday, Anthony Williams, </w:t>
            </w:r>
            <w:proofErr w:type="spellStart"/>
            <w:r w:rsidRPr="00524435">
              <w:rPr>
                <w:rFonts w:ascii="Cambria" w:hAnsi="Cambria" w:cs="Calibri"/>
                <w:color w:val="000000"/>
                <w:sz w:val="20"/>
                <w:szCs w:val="20"/>
              </w:rPr>
              <w:t>Anesa</w:t>
            </w:r>
            <w:proofErr w:type="spellEnd"/>
            <w:r w:rsidRPr="00524435">
              <w:rPr>
                <w:rFonts w:ascii="Cambria" w:hAnsi="Cambria" w:cs="Calibri"/>
                <w:color w:val="000000"/>
                <w:sz w:val="20"/>
                <w:szCs w:val="20"/>
              </w:rPr>
              <w:t xml:space="preserve"> Williams, </w:t>
            </w:r>
            <w:proofErr w:type="spellStart"/>
            <w:r w:rsidRPr="00524435">
              <w:rPr>
                <w:rFonts w:ascii="Cambria" w:hAnsi="Cambria" w:cs="Calibri"/>
                <w:color w:val="000000"/>
                <w:sz w:val="20"/>
                <w:szCs w:val="20"/>
              </w:rPr>
              <w:t>Orie</w:t>
            </w:r>
            <w:proofErr w:type="spellEnd"/>
            <w:r w:rsidRPr="00524435">
              <w:rPr>
                <w:rFonts w:ascii="Cambria" w:hAnsi="Cambria" w:cs="Calibri"/>
                <w:color w:val="000000"/>
                <w:sz w:val="20"/>
                <w:szCs w:val="20"/>
              </w:rPr>
              <w:t xml:space="preserve"> </w:t>
            </w:r>
            <w:proofErr w:type="spellStart"/>
            <w:r w:rsidRPr="00524435">
              <w:rPr>
                <w:rFonts w:ascii="Cambria" w:hAnsi="Cambria" w:cs="Calibri"/>
                <w:color w:val="000000"/>
                <w:sz w:val="20"/>
                <w:szCs w:val="20"/>
              </w:rPr>
              <w:t>Udho</w:t>
            </w:r>
            <w:proofErr w:type="spellEnd"/>
            <w:r w:rsidRPr="00524435">
              <w:rPr>
                <w:rFonts w:ascii="Cambria" w:hAnsi="Cambria" w:cs="Calibri"/>
                <w:color w:val="000000"/>
                <w:sz w:val="20"/>
                <w:szCs w:val="20"/>
              </w:rPr>
              <w:t xml:space="preserve"> and Reita </w:t>
            </w:r>
            <w:proofErr w:type="spellStart"/>
            <w:r w:rsidRPr="00524435">
              <w:rPr>
                <w:rFonts w:ascii="Cambria" w:hAnsi="Cambria" w:cs="Calibri"/>
                <w:color w:val="000000"/>
                <w:sz w:val="20"/>
                <w:szCs w:val="20"/>
              </w:rPr>
              <w:t>Bhagwandin</w:t>
            </w:r>
            <w:proofErr w:type="spellEnd"/>
            <w:r w:rsidRPr="00524435">
              <w:rPr>
                <w:rFonts w:ascii="Cambria" w:hAnsi="Cambria" w:cs="Calibri"/>
                <w:color w:val="000000"/>
                <w:sz w:val="20"/>
                <w:szCs w:val="20"/>
              </w:rPr>
              <w:t xml:space="preserve">, Anthony Williams, </w:t>
            </w:r>
            <w:proofErr w:type="spellStart"/>
            <w:r w:rsidRPr="00524435">
              <w:rPr>
                <w:rFonts w:ascii="Cambria" w:hAnsi="Cambria" w:cs="Calibri"/>
                <w:color w:val="000000"/>
                <w:sz w:val="20"/>
                <w:szCs w:val="20"/>
              </w:rPr>
              <w:t>Anesa</w:t>
            </w:r>
            <w:proofErr w:type="spellEnd"/>
            <w:r w:rsidRPr="00524435">
              <w:rPr>
                <w:rFonts w:ascii="Cambria" w:hAnsi="Cambria" w:cs="Calibri"/>
                <w:color w:val="000000"/>
                <w:sz w:val="20"/>
                <w:szCs w:val="20"/>
              </w:rPr>
              <w:t xml:space="preserve"> Williams, </w:t>
            </w:r>
            <w:proofErr w:type="spellStart"/>
            <w:r w:rsidRPr="00524435">
              <w:rPr>
                <w:rFonts w:ascii="Cambria" w:hAnsi="Cambria" w:cs="Calibri"/>
                <w:color w:val="000000"/>
                <w:sz w:val="20"/>
                <w:szCs w:val="20"/>
              </w:rPr>
              <w:t>Orie</w:t>
            </w:r>
            <w:proofErr w:type="spellEnd"/>
            <w:r w:rsidRPr="00524435">
              <w:rPr>
                <w:rFonts w:ascii="Cambria" w:hAnsi="Cambria" w:cs="Calibri"/>
                <w:color w:val="000000"/>
                <w:sz w:val="20"/>
                <w:szCs w:val="20"/>
              </w:rPr>
              <w:t xml:space="preserve"> </w:t>
            </w:r>
            <w:proofErr w:type="spellStart"/>
            <w:r w:rsidRPr="00524435">
              <w:rPr>
                <w:rFonts w:ascii="Cambria" w:hAnsi="Cambria" w:cs="Calibri"/>
                <w:color w:val="000000"/>
                <w:sz w:val="20"/>
                <w:szCs w:val="20"/>
              </w:rPr>
              <w:t>Udho</w:t>
            </w:r>
            <w:proofErr w:type="spellEnd"/>
            <w:r w:rsidRPr="00524435">
              <w:rPr>
                <w:rFonts w:ascii="Cambria" w:hAnsi="Cambria" w:cs="Calibri"/>
                <w:color w:val="000000"/>
                <w:sz w:val="20"/>
                <w:szCs w:val="20"/>
              </w:rPr>
              <w:t xml:space="preserve"> and Reita </w:t>
            </w:r>
            <w:proofErr w:type="spellStart"/>
            <w:r w:rsidRPr="00524435">
              <w:rPr>
                <w:rFonts w:ascii="Cambria" w:hAnsi="Cambria" w:cs="Calibri"/>
                <w:color w:val="000000"/>
                <w:sz w:val="20"/>
                <w:szCs w:val="20"/>
              </w:rPr>
              <w:t>Bhagwandin</w:t>
            </w:r>
            <w:proofErr w:type="spellEnd"/>
            <w:r w:rsidRPr="00524435">
              <w:rPr>
                <w:rFonts w:ascii="Cambria" w:hAnsi="Cambria" w:cs="Calibr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230E40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3D0E3A73" w14:textId="77777777" w:rsidTr="008B7C1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8AABE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113</w:t>
            </w:r>
          </w:p>
        </w:tc>
        <w:tc>
          <w:tcPr>
            <w:tcW w:w="0" w:type="auto"/>
            <w:tcBorders>
              <w:top w:val="nil"/>
              <w:left w:val="nil"/>
              <w:bottom w:val="single" w:sz="4" w:space="0" w:color="auto"/>
              <w:right w:val="single" w:sz="4" w:space="0" w:color="auto"/>
            </w:tcBorders>
            <w:shd w:val="clear" w:color="auto" w:fill="auto"/>
            <w:vAlign w:val="center"/>
            <w:hideMark/>
          </w:tcPr>
          <w:p w14:paraId="44F27C56"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HONDURAS</w:t>
            </w:r>
          </w:p>
        </w:tc>
        <w:tc>
          <w:tcPr>
            <w:tcW w:w="0" w:type="auto"/>
            <w:tcBorders>
              <w:top w:val="nil"/>
              <w:left w:val="nil"/>
              <w:bottom w:val="single" w:sz="4" w:space="0" w:color="auto"/>
              <w:right w:val="single" w:sz="4" w:space="0" w:color="auto"/>
            </w:tcBorders>
            <w:shd w:val="clear" w:color="auto" w:fill="auto"/>
            <w:vAlign w:val="center"/>
            <w:hideMark/>
          </w:tcPr>
          <w:p w14:paraId="2598D5E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P-1220-06</w:t>
            </w:r>
          </w:p>
        </w:tc>
        <w:tc>
          <w:tcPr>
            <w:tcW w:w="0" w:type="auto"/>
            <w:tcBorders>
              <w:top w:val="nil"/>
              <w:left w:val="nil"/>
              <w:bottom w:val="single" w:sz="4" w:space="0" w:color="auto"/>
              <w:right w:val="single" w:sz="4" w:space="0" w:color="auto"/>
            </w:tcBorders>
            <w:shd w:val="clear" w:color="auto" w:fill="auto"/>
            <w:vAlign w:val="center"/>
            <w:hideMark/>
          </w:tcPr>
          <w:p w14:paraId="7352862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13.225</w:t>
            </w:r>
          </w:p>
        </w:tc>
        <w:tc>
          <w:tcPr>
            <w:tcW w:w="0" w:type="auto"/>
            <w:tcBorders>
              <w:top w:val="nil"/>
              <w:left w:val="nil"/>
              <w:bottom w:val="single" w:sz="4" w:space="0" w:color="auto"/>
              <w:right w:val="single" w:sz="4" w:space="0" w:color="auto"/>
            </w:tcBorders>
            <w:shd w:val="clear" w:color="auto" w:fill="auto"/>
            <w:vAlign w:val="center"/>
            <w:hideMark/>
          </w:tcPr>
          <w:p w14:paraId="3FF2AAA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5B8A23AF" w14:textId="77777777" w:rsidR="007425A1" w:rsidRPr="003F238D" w:rsidRDefault="007425A1" w:rsidP="008B7C11">
            <w:pPr>
              <w:rPr>
                <w:rFonts w:ascii="Cambria" w:hAnsi="Cambria" w:cs="Calibri"/>
                <w:color w:val="000000"/>
                <w:sz w:val="20"/>
                <w:szCs w:val="20"/>
                <w:lang w:val="es-US"/>
              </w:rPr>
            </w:pPr>
            <w:r w:rsidRPr="003F238D">
              <w:rPr>
                <w:rFonts w:ascii="Cambria" w:hAnsi="Cambria" w:cs="Calibri"/>
                <w:color w:val="000000"/>
                <w:sz w:val="20"/>
                <w:szCs w:val="20"/>
                <w:lang w:val="es-US"/>
              </w:rPr>
              <w:t>Christopher Reyes Gómez y Ana María Hernández Cambar.</w:t>
            </w:r>
          </w:p>
        </w:tc>
        <w:tc>
          <w:tcPr>
            <w:tcW w:w="0" w:type="auto"/>
            <w:tcBorders>
              <w:top w:val="nil"/>
              <w:left w:val="nil"/>
              <w:bottom w:val="single" w:sz="4" w:space="0" w:color="auto"/>
              <w:right w:val="single" w:sz="4" w:space="0" w:color="auto"/>
            </w:tcBorders>
            <w:shd w:val="clear" w:color="auto" w:fill="auto"/>
            <w:vAlign w:val="center"/>
            <w:hideMark/>
          </w:tcPr>
          <w:p w14:paraId="5D87C7F0" w14:textId="77777777" w:rsidR="007425A1" w:rsidRPr="00524435" w:rsidRDefault="007425A1" w:rsidP="008B7C11">
            <w:pPr>
              <w:jc w:val="center"/>
              <w:rPr>
                <w:rFonts w:ascii="Cambria" w:hAnsi="Cambria" w:cs="Calibri"/>
                <w:color w:val="000000"/>
                <w:sz w:val="20"/>
                <w:szCs w:val="20"/>
              </w:rPr>
            </w:pPr>
            <w:r w:rsidRPr="003F238D">
              <w:rPr>
                <w:rFonts w:ascii="Cambria" w:hAnsi="Cambria" w:cs="Calibri"/>
                <w:color w:val="000000"/>
                <w:sz w:val="20"/>
                <w:szCs w:val="20"/>
                <w:lang w:val="es-US"/>
              </w:rPr>
              <w:br/>
            </w:r>
            <w:r w:rsidRPr="00524435">
              <w:rPr>
                <w:rFonts w:ascii="Cambria" w:hAnsi="Cambria" w:cs="Calibri"/>
                <w:i/>
                <w:iCs/>
                <w:color w:val="000000"/>
                <w:sz w:val="20"/>
                <w:szCs w:val="20"/>
              </w:rPr>
              <w:t>Merit</w:t>
            </w:r>
          </w:p>
        </w:tc>
      </w:tr>
      <w:tr w:rsidR="007425A1" w:rsidRPr="00524435" w14:paraId="7653BEE4" w14:textId="77777777" w:rsidTr="008B7C11">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E515B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114</w:t>
            </w:r>
          </w:p>
        </w:tc>
        <w:tc>
          <w:tcPr>
            <w:tcW w:w="0" w:type="auto"/>
            <w:tcBorders>
              <w:top w:val="nil"/>
              <w:left w:val="nil"/>
              <w:bottom w:val="single" w:sz="4" w:space="0" w:color="auto"/>
              <w:right w:val="single" w:sz="4" w:space="0" w:color="auto"/>
            </w:tcBorders>
            <w:shd w:val="clear" w:color="auto" w:fill="auto"/>
            <w:vAlign w:val="center"/>
            <w:hideMark/>
          </w:tcPr>
          <w:p w14:paraId="207EA8F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HONDURAS</w:t>
            </w:r>
          </w:p>
        </w:tc>
        <w:tc>
          <w:tcPr>
            <w:tcW w:w="0" w:type="auto"/>
            <w:tcBorders>
              <w:top w:val="nil"/>
              <w:left w:val="nil"/>
              <w:bottom w:val="single" w:sz="4" w:space="0" w:color="auto"/>
              <w:right w:val="single" w:sz="4" w:space="0" w:color="auto"/>
            </w:tcBorders>
            <w:shd w:val="clear" w:color="auto" w:fill="auto"/>
            <w:vAlign w:val="center"/>
            <w:hideMark/>
          </w:tcPr>
          <w:p w14:paraId="3625721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P-1063-07</w:t>
            </w:r>
          </w:p>
        </w:tc>
        <w:tc>
          <w:tcPr>
            <w:tcW w:w="0" w:type="auto"/>
            <w:tcBorders>
              <w:top w:val="nil"/>
              <w:left w:val="nil"/>
              <w:bottom w:val="single" w:sz="4" w:space="0" w:color="auto"/>
              <w:right w:val="single" w:sz="4" w:space="0" w:color="auto"/>
            </w:tcBorders>
            <w:shd w:val="clear" w:color="auto" w:fill="auto"/>
            <w:vAlign w:val="center"/>
            <w:hideMark/>
          </w:tcPr>
          <w:p w14:paraId="5595913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12.933</w:t>
            </w:r>
          </w:p>
        </w:tc>
        <w:tc>
          <w:tcPr>
            <w:tcW w:w="0" w:type="auto"/>
            <w:tcBorders>
              <w:top w:val="nil"/>
              <w:left w:val="nil"/>
              <w:bottom w:val="single" w:sz="4" w:space="0" w:color="auto"/>
              <w:right w:val="single" w:sz="4" w:space="0" w:color="auto"/>
            </w:tcBorders>
            <w:shd w:val="clear" w:color="auto" w:fill="auto"/>
            <w:vAlign w:val="center"/>
            <w:hideMark/>
          </w:tcPr>
          <w:p w14:paraId="65F1278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6F8533A3" w14:textId="77777777" w:rsidR="007425A1" w:rsidRPr="003F238D" w:rsidRDefault="007425A1" w:rsidP="008B7C11">
            <w:pPr>
              <w:rPr>
                <w:rFonts w:ascii="Cambria" w:hAnsi="Cambria" w:cs="Calibri"/>
                <w:color w:val="000000"/>
                <w:sz w:val="20"/>
                <w:szCs w:val="20"/>
                <w:lang w:val="es-US"/>
              </w:rPr>
            </w:pPr>
            <w:r w:rsidRPr="003F238D">
              <w:rPr>
                <w:rFonts w:ascii="Cambria" w:hAnsi="Cambria" w:cs="Calibri"/>
                <w:color w:val="000000"/>
                <w:sz w:val="20"/>
                <w:szCs w:val="20"/>
                <w:lang w:val="es-US"/>
              </w:rPr>
              <w:t xml:space="preserve">Buzo Jesús Flores </w:t>
            </w:r>
            <w:proofErr w:type="spellStart"/>
            <w:r w:rsidRPr="003F238D">
              <w:rPr>
                <w:rFonts w:ascii="Cambria" w:hAnsi="Cambria" w:cs="Calibri"/>
                <w:color w:val="000000"/>
                <w:sz w:val="20"/>
                <w:szCs w:val="20"/>
                <w:lang w:val="es-US"/>
              </w:rPr>
              <w:t>Satuye</w:t>
            </w:r>
            <w:proofErr w:type="spellEnd"/>
            <w:r w:rsidRPr="003F238D">
              <w:rPr>
                <w:rFonts w:ascii="Cambria" w:hAnsi="Cambria" w:cs="Calibri"/>
                <w:color w:val="000000"/>
                <w:sz w:val="20"/>
                <w:szCs w:val="20"/>
                <w:lang w:val="es-US"/>
              </w:rPr>
              <w:t xml:space="preserve"> de la Comunidad Garífuna de Cayos Cochinos.</w:t>
            </w:r>
          </w:p>
        </w:tc>
        <w:tc>
          <w:tcPr>
            <w:tcW w:w="0" w:type="auto"/>
            <w:tcBorders>
              <w:top w:val="nil"/>
              <w:left w:val="nil"/>
              <w:bottom w:val="single" w:sz="4" w:space="0" w:color="auto"/>
              <w:right w:val="single" w:sz="4" w:space="0" w:color="auto"/>
            </w:tcBorders>
            <w:shd w:val="clear" w:color="auto" w:fill="auto"/>
            <w:vAlign w:val="center"/>
            <w:hideMark/>
          </w:tcPr>
          <w:p w14:paraId="641AE1C2" w14:textId="77777777" w:rsidR="007425A1" w:rsidRPr="00524435" w:rsidRDefault="007425A1" w:rsidP="008B7C11">
            <w:pPr>
              <w:jc w:val="center"/>
              <w:rPr>
                <w:rFonts w:ascii="Cambria" w:hAnsi="Cambria" w:cs="Calibri"/>
                <w:color w:val="000000"/>
                <w:sz w:val="20"/>
                <w:szCs w:val="20"/>
              </w:rPr>
            </w:pPr>
            <w:r w:rsidRPr="003F238D">
              <w:rPr>
                <w:rFonts w:ascii="Cambria" w:hAnsi="Cambria" w:cs="Calibri"/>
                <w:color w:val="000000"/>
                <w:sz w:val="20"/>
                <w:szCs w:val="20"/>
                <w:lang w:val="es-US"/>
              </w:rPr>
              <w:br/>
            </w:r>
            <w:r w:rsidRPr="00524435">
              <w:rPr>
                <w:rFonts w:ascii="Cambria" w:hAnsi="Cambria" w:cs="Calibri"/>
                <w:i/>
                <w:iCs/>
                <w:color w:val="000000"/>
                <w:sz w:val="20"/>
                <w:szCs w:val="20"/>
              </w:rPr>
              <w:t>Merit</w:t>
            </w:r>
          </w:p>
        </w:tc>
      </w:tr>
      <w:tr w:rsidR="007425A1" w:rsidRPr="00524435" w14:paraId="079E2D10" w14:textId="77777777" w:rsidTr="008B7C11">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5CF34D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lastRenderedPageBreak/>
              <w:t>115</w:t>
            </w:r>
          </w:p>
        </w:tc>
        <w:tc>
          <w:tcPr>
            <w:tcW w:w="0" w:type="auto"/>
            <w:tcBorders>
              <w:top w:val="nil"/>
              <w:left w:val="nil"/>
              <w:bottom w:val="single" w:sz="4" w:space="0" w:color="auto"/>
              <w:right w:val="single" w:sz="4" w:space="0" w:color="auto"/>
            </w:tcBorders>
            <w:shd w:val="clear" w:color="auto" w:fill="auto"/>
            <w:vAlign w:val="center"/>
            <w:hideMark/>
          </w:tcPr>
          <w:p w14:paraId="792B6B2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HONDURAS</w:t>
            </w:r>
          </w:p>
        </w:tc>
        <w:tc>
          <w:tcPr>
            <w:tcW w:w="0" w:type="auto"/>
            <w:tcBorders>
              <w:top w:val="nil"/>
              <w:left w:val="nil"/>
              <w:bottom w:val="single" w:sz="4" w:space="0" w:color="auto"/>
              <w:right w:val="single" w:sz="4" w:space="0" w:color="auto"/>
            </w:tcBorders>
            <w:shd w:val="clear" w:color="auto" w:fill="auto"/>
            <w:vAlign w:val="center"/>
            <w:hideMark/>
          </w:tcPr>
          <w:p w14:paraId="11B9CC5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P-606-08</w:t>
            </w:r>
          </w:p>
        </w:tc>
        <w:tc>
          <w:tcPr>
            <w:tcW w:w="0" w:type="auto"/>
            <w:tcBorders>
              <w:top w:val="nil"/>
              <w:left w:val="nil"/>
              <w:bottom w:val="single" w:sz="4" w:space="0" w:color="auto"/>
              <w:right w:val="single" w:sz="4" w:space="0" w:color="auto"/>
            </w:tcBorders>
            <w:shd w:val="clear" w:color="auto" w:fill="auto"/>
            <w:vAlign w:val="center"/>
            <w:hideMark/>
          </w:tcPr>
          <w:p w14:paraId="1FE03F0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13.332</w:t>
            </w:r>
          </w:p>
        </w:tc>
        <w:tc>
          <w:tcPr>
            <w:tcW w:w="0" w:type="auto"/>
            <w:tcBorders>
              <w:top w:val="nil"/>
              <w:left w:val="nil"/>
              <w:bottom w:val="single" w:sz="4" w:space="0" w:color="auto"/>
              <w:right w:val="single" w:sz="4" w:space="0" w:color="auto"/>
            </w:tcBorders>
            <w:shd w:val="clear" w:color="auto" w:fill="auto"/>
            <w:vAlign w:val="center"/>
            <w:hideMark/>
          </w:tcPr>
          <w:p w14:paraId="78DED63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17CC1029"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E.J.M. </w:t>
            </w:r>
            <w:proofErr w:type="spellStart"/>
            <w:r w:rsidRPr="00524435">
              <w:rPr>
                <w:rFonts w:ascii="Cambria" w:hAnsi="Cambria" w:cs="Calibri"/>
                <w:color w:val="000000"/>
                <w:sz w:val="20"/>
                <w:szCs w:val="20"/>
              </w:rPr>
              <w:t>y</w:t>
            </w:r>
            <w:proofErr w:type="spellEnd"/>
            <w:r w:rsidRPr="00524435">
              <w:rPr>
                <w:rFonts w:ascii="Cambria" w:hAnsi="Cambria" w:cs="Calibri"/>
                <w:color w:val="000000"/>
                <w:sz w:val="20"/>
                <w:szCs w:val="20"/>
              </w:rPr>
              <w:t xml:space="preserve"> family.</w:t>
            </w:r>
          </w:p>
        </w:tc>
        <w:tc>
          <w:tcPr>
            <w:tcW w:w="0" w:type="auto"/>
            <w:tcBorders>
              <w:top w:val="nil"/>
              <w:left w:val="nil"/>
              <w:bottom w:val="single" w:sz="4" w:space="0" w:color="auto"/>
              <w:right w:val="single" w:sz="4" w:space="0" w:color="auto"/>
            </w:tcBorders>
            <w:shd w:val="clear" w:color="auto" w:fill="auto"/>
            <w:vAlign w:val="center"/>
            <w:hideMark/>
          </w:tcPr>
          <w:p w14:paraId="0A94C03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49DA70B2"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336BB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117</w:t>
            </w:r>
          </w:p>
        </w:tc>
        <w:tc>
          <w:tcPr>
            <w:tcW w:w="0" w:type="auto"/>
            <w:tcBorders>
              <w:top w:val="nil"/>
              <w:left w:val="nil"/>
              <w:bottom w:val="single" w:sz="4" w:space="0" w:color="auto"/>
              <w:right w:val="single" w:sz="4" w:space="0" w:color="auto"/>
            </w:tcBorders>
            <w:shd w:val="clear" w:color="auto" w:fill="auto"/>
            <w:vAlign w:val="center"/>
            <w:hideMark/>
          </w:tcPr>
          <w:p w14:paraId="01B75DF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HONDURAS</w:t>
            </w:r>
          </w:p>
        </w:tc>
        <w:tc>
          <w:tcPr>
            <w:tcW w:w="0" w:type="auto"/>
            <w:tcBorders>
              <w:top w:val="nil"/>
              <w:left w:val="nil"/>
              <w:bottom w:val="single" w:sz="4" w:space="0" w:color="auto"/>
              <w:right w:val="single" w:sz="4" w:space="0" w:color="auto"/>
            </w:tcBorders>
            <w:shd w:val="clear" w:color="auto" w:fill="auto"/>
            <w:vAlign w:val="center"/>
            <w:hideMark/>
          </w:tcPr>
          <w:p w14:paraId="729B849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P-266-16</w:t>
            </w:r>
          </w:p>
        </w:tc>
        <w:tc>
          <w:tcPr>
            <w:tcW w:w="0" w:type="auto"/>
            <w:tcBorders>
              <w:top w:val="nil"/>
              <w:left w:val="nil"/>
              <w:bottom w:val="single" w:sz="4" w:space="0" w:color="auto"/>
              <w:right w:val="single" w:sz="4" w:space="0" w:color="auto"/>
            </w:tcBorders>
            <w:shd w:val="clear" w:color="auto" w:fill="auto"/>
            <w:vAlign w:val="center"/>
            <w:hideMark/>
          </w:tcPr>
          <w:p w14:paraId="533AB53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13.826</w:t>
            </w:r>
          </w:p>
        </w:tc>
        <w:tc>
          <w:tcPr>
            <w:tcW w:w="0" w:type="auto"/>
            <w:tcBorders>
              <w:top w:val="nil"/>
              <w:left w:val="nil"/>
              <w:bottom w:val="single" w:sz="4" w:space="0" w:color="auto"/>
              <w:right w:val="single" w:sz="4" w:space="0" w:color="auto"/>
            </w:tcBorders>
            <w:shd w:val="clear" w:color="auto" w:fill="auto"/>
            <w:vAlign w:val="center"/>
            <w:hideMark/>
          </w:tcPr>
          <w:p w14:paraId="0E4671B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14:paraId="3F8573EA"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Nelly Lizeth Martínez </w:t>
            </w:r>
            <w:proofErr w:type="spellStart"/>
            <w:r w:rsidRPr="00524435">
              <w:rPr>
                <w:rFonts w:ascii="Cambria" w:hAnsi="Cambria" w:cs="Calibri"/>
                <w:color w:val="000000"/>
                <w:sz w:val="20"/>
                <w:szCs w:val="20"/>
              </w:rPr>
              <w:t>Martínez</w:t>
            </w:r>
            <w:proofErr w:type="spellEnd"/>
            <w:r w:rsidRPr="00524435">
              <w:rPr>
                <w:rFonts w:ascii="Cambria" w:hAnsi="Cambria" w:cs="Calibri"/>
                <w:color w:val="000000"/>
                <w:sz w:val="20"/>
                <w:szCs w:val="20"/>
              </w:rPr>
              <w:t xml:space="preserve"> and family.</w:t>
            </w:r>
          </w:p>
        </w:tc>
        <w:tc>
          <w:tcPr>
            <w:tcW w:w="0" w:type="auto"/>
            <w:tcBorders>
              <w:top w:val="nil"/>
              <w:left w:val="nil"/>
              <w:bottom w:val="single" w:sz="4" w:space="0" w:color="auto"/>
              <w:right w:val="single" w:sz="4" w:space="0" w:color="auto"/>
            </w:tcBorders>
            <w:shd w:val="clear" w:color="auto" w:fill="auto"/>
            <w:vAlign w:val="center"/>
            <w:hideMark/>
          </w:tcPr>
          <w:p w14:paraId="7DBCAA3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199FF509" w14:textId="77777777" w:rsidTr="008B7C11">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C22346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121</w:t>
            </w:r>
          </w:p>
        </w:tc>
        <w:tc>
          <w:tcPr>
            <w:tcW w:w="0" w:type="auto"/>
            <w:tcBorders>
              <w:top w:val="nil"/>
              <w:left w:val="nil"/>
              <w:bottom w:val="single" w:sz="4" w:space="0" w:color="auto"/>
              <w:right w:val="single" w:sz="4" w:space="0" w:color="auto"/>
            </w:tcBorders>
            <w:shd w:val="clear" w:color="auto" w:fill="auto"/>
            <w:vAlign w:val="center"/>
            <w:hideMark/>
          </w:tcPr>
          <w:p w14:paraId="2741482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MEXICO</w:t>
            </w:r>
          </w:p>
        </w:tc>
        <w:tc>
          <w:tcPr>
            <w:tcW w:w="0" w:type="auto"/>
            <w:tcBorders>
              <w:top w:val="nil"/>
              <w:left w:val="nil"/>
              <w:bottom w:val="single" w:sz="4" w:space="0" w:color="auto"/>
              <w:right w:val="single" w:sz="4" w:space="0" w:color="auto"/>
            </w:tcBorders>
            <w:shd w:val="clear" w:color="auto" w:fill="auto"/>
            <w:vAlign w:val="center"/>
            <w:hideMark/>
          </w:tcPr>
          <w:p w14:paraId="0E7A003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P-1213-12</w:t>
            </w:r>
          </w:p>
        </w:tc>
        <w:tc>
          <w:tcPr>
            <w:tcW w:w="0" w:type="auto"/>
            <w:tcBorders>
              <w:top w:val="nil"/>
              <w:left w:val="nil"/>
              <w:bottom w:val="single" w:sz="4" w:space="0" w:color="auto"/>
              <w:right w:val="single" w:sz="4" w:space="0" w:color="auto"/>
            </w:tcBorders>
            <w:shd w:val="clear" w:color="auto" w:fill="auto"/>
            <w:vAlign w:val="center"/>
            <w:hideMark/>
          </w:tcPr>
          <w:p w14:paraId="79674E7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13.864</w:t>
            </w:r>
          </w:p>
        </w:tc>
        <w:tc>
          <w:tcPr>
            <w:tcW w:w="0" w:type="auto"/>
            <w:tcBorders>
              <w:top w:val="nil"/>
              <w:left w:val="nil"/>
              <w:bottom w:val="single" w:sz="4" w:space="0" w:color="auto"/>
              <w:right w:val="single" w:sz="4" w:space="0" w:color="auto"/>
            </w:tcBorders>
            <w:shd w:val="clear" w:color="auto" w:fill="auto"/>
            <w:vAlign w:val="center"/>
            <w:hideMark/>
          </w:tcPr>
          <w:p w14:paraId="0B3926B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2A8DD520"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S.D.C.G. </w:t>
            </w:r>
            <w:proofErr w:type="spellStart"/>
            <w:r w:rsidRPr="00524435">
              <w:rPr>
                <w:rFonts w:ascii="Cambria" w:hAnsi="Cambria" w:cs="Calibri"/>
                <w:color w:val="000000"/>
                <w:sz w:val="20"/>
                <w:szCs w:val="20"/>
              </w:rPr>
              <w:t>y</w:t>
            </w:r>
            <w:proofErr w:type="spellEnd"/>
            <w:r w:rsidRPr="00524435">
              <w:rPr>
                <w:rFonts w:ascii="Cambria" w:hAnsi="Cambria" w:cs="Calibri"/>
                <w:color w:val="000000"/>
                <w:sz w:val="20"/>
                <w:szCs w:val="20"/>
              </w:rPr>
              <w:t xml:space="preserve"> D.G.R. </w:t>
            </w:r>
          </w:p>
        </w:tc>
        <w:tc>
          <w:tcPr>
            <w:tcW w:w="0" w:type="auto"/>
            <w:tcBorders>
              <w:top w:val="nil"/>
              <w:left w:val="nil"/>
              <w:bottom w:val="single" w:sz="4" w:space="0" w:color="auto"/>
              <w:right w:val="single" w:sz="4" w:space="0" w:color="auto"/>
            </w:tcBorders>
            <w:shd w:val="clear" w:color="auto" w:fill="auto"/>
            <w:vAlign w:val="center"/>
            <w:hideMark/>
          </w:tcPr>
          <w:p w14:paraId="1E36066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7DD75874"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88116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140</w:t>
            </w:r>
          </w:p>
        </w:tc>
        <w:tc>
          <w:tcPr>
            <w:tcW w:w="0" w:type="auto"/>
            <w:tcBorders>
              <w:top w:val="nil"/>
              <w:left w:val="nil"/>
              <w:bottom w:val="single" w:sz="4" w:space="0" w:color="auto"/>
              <w:right w:val="single" w:sz="4" w:space="0" w:color="auto"/>
            </w:tcBorders>
            <w:shd w:val="clear" w:color="auto" w:fill="auto"/>
            <w:vAlign w:val="center"/>
            <w:hideMark/>
          </w:tcPr>
          <w:p w14:paraId="071103B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NICARAGUA</w:t>
            </w:r>
          </w:p>
        </w:tc>
        <w:tc>
          <w:tcPr>
            <w:tcW w:w="0" w:type="auto"/>
            <w:tcBorders>
              <w:top w:val="nil"/>
              <w:left w:val="nil"/>
              <w:bottom w:val="single" w:sz="4" w:space="0" w:color="auto"/>
              <w:right w:val="single" w:sz="4" w:space="0" w:color="auto"/>
            </w:tcBorders>
            <w:shd w:val="clear" w:color="auto" w:fill="auto"/>
            <w:vAlign w:val="center"/>
            <w:hideMark/>
          </w:tcPr>
          <w:p w14:paraId="32C89F7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P-1437-11</w:t>
            </w:r>
          </w:p>
        </w:tc>
        <w:tc>
          <w:tcPr>
            <w:tcW w:w="0" w:type="auto"/>
            <w:tcBorders>
              <w:top w:val="nil"/>
              <w:left w:val="nil"/>
              <w:bottom w:val="single" w:sz="4" w:space="0" w:color="auto"/>
              <w:right w:val="single" w:sz="4" w:space="0" w:color="auto"/>
            </w:tcBorders>
            <w:shd w:val="clear" w:color="auto" w:fill="auto"/>
            <w:vAlign w:val="center"/>
            <w:hideMark/>
          </w:tcPr>
          <w:p w14:paraId="559B124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13.659</w:t>
            </w:r>
          </w:p>
        </w:tc>
        <w:tc>
          <w:tcPr>
            <w:tcW w:w="0" w:type="auto"/>
            <w:tcBorders>
              <w:top w:val="nil"/>
              <w:left w:val="nil"/>
              <w:bottom w:val="single" w:sz="4" w:space="0" w:color="auto"/>
              <w:right w:val="single" w:sz="4" w:space="0" w:color="auto"/>
            </w:tcBorders>
            <w:shd w:val="clear" w:color="auto" w:fill="auto"/>
            <w:vAlign w:val="center"/>
            <w:hideMark/>
          </w:tcPr>
          <w:p w14:paraId="391899B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7FCDC13E"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Luciano Rafael García Mejía.</w:t>
            </w:r>
          </w:p>
        </w:tc>
        <w:tc>
          <w:tcPr>
            <w:tcW w:w="0" w:type="auto"/>
            <w:tcBorders>
              <w:top w:val="nil"/>
              <w:left w:val="nil"/>
              <w:bottom w:val="single" w:sz="4" w:space="0" w:color="auto"/>
              <w:right w:val="single" w:sz="4" w:space="0" w:color="auto"/>
            </w:tcBorders>
            <w:shd w:val="clear" w:color="auto" w:fill="auto"/>
            <w:vAlign w:val="center"/>
            <w:hideMark/>
          </w:tcPr>
          <w:p w14:paraId="137B577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6307633C"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694D6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141</w:t>
            </w:r>
          </w:p>
        </w:tc>
        <w:tc>
          <w:tcPr>
            <w:tcW w:w="0" w:type="auto"/>
            <w:tcBorders>
              <w:top w:val="nil"/>
              <w:left w:val="nil"/>
              <w:bottom w:val="single" w:sz="4" w:space="0" w:color="auto"/>
              <w:right w:val="single" w:sz="4" w:space="0" w:color="auto"/>
            </w:tcBorders>
            <w:shd w:val="clear" w:color="auto" w:fill="auto"/>
            <w:vAlign w:val="center"/>
            <w:hideMark/>
          </w:tcPr>
          <w:p w14:paraId="67CA6A2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NICARAGUA</w:t>
            </w:r>
          </w:p>
        </w:tc>
        <w:tc>
          <w:tcPr>
            <w:tcW w:w="0" w:type="auto"/>
            <w:tcBorders>
              <w:top w:val="nil"/>
              <w:left w:val="nil"/>
              <w:bottom w:val="single" w:sz="4" w:space="0" w:color="auto"/>
              <w:right w:val="single" w:sz="4" w:space="0" w:color="auto"/>
            </w:tcBorders>
            <w:shd w:val="clear" w:color="auto" w:fill="auto"/>
            <w:vAlign w:val="center"/>
            <w:hideMark/>
          </w:tcPr>
          <w:p w14:paraId="5B57A49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P-1720-11</w:t>
            </w:r>
          </w:p>
        </w:tc>
        <w:tc>
          <w:tcPr>
            <w:tcW w:w="0" w:type="auto"/>
            <w:tcBorders>
              <w:top w:val="nil"/>
              <w:left w:val="nil"/>
              <w:bottom w:val="single" w:sz="4" w:space="0" w:color="auto"/>
              <w:right w:val="single" w:sz="4" w:space="0" w:color="auto"/>
            </w:tcBorders>
            <w:shd w:val="clear" w:color="auto" w:fill="auto"/>
            <w:vAlign w:val="center"/>
            <w:hideMark/>
          </w:tcPr>
          <w:p w14:paraId="4C53600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13.675</w:t>
            </w:r>
          </w:p>
        </w:tc>
        <w:tc>
          <w:tcPr>
            <w:tcW w:w="0" w:type="auto"/>
            <w:tcBorders>
              <w:top w:val="nil"/>
              <w:left w:val="nil"/>
              <w:bottom w:val="single" w:sz="4" w:space="0" w:color="auto"/>
              <w:right w:val="single" w:sz="4" w:space="0" w:color="auto"/>
            </w:tcBorders>
            <w:shd w:val="clear" w:color="auto" w:fill="auto"/>
            <w:vAlign w:val="center"/>
            <w:hideMark/>
          </w:tcPr>
          <w:p w14:paraId="35978E1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1233B066"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Ana Margarita </w:t>
            </w:r>
            <w:proofErr w:type="spellStart"/>
            <w:r w:rsidRPr="00524435">
              <w:rPr>
                <w:rFonts w:ascii="Cambria" w:hAnsi="Cambria" w:cs="Calibri"/>
                <w:color w:val="000000"/>
                <w:sz w:val="20"/>
                <w:szCs w:val="20"/>
              </w:rPr>
              <w:t>Vijil</w:t>
            </w:r>
            <w:proofErr w:type="spellEnd"/>
            <w:r w:rsidRPr="00524435">
              <w:rPr>
                <w:rFonts w:ascii="Cambria" w:hAnsi="Cambria" w:cs="Calibri"/>
                <w:color w:val="000000"/>
                <w:sz w:val="20"/>
                <w:szCs w:val="20"/>
              </w:rPr>
              <w:t xml:space="preserve"> </w:t>
            </w:r>
            <w:proofErr w:type="spellStart"/>
            <w:r w:rsidRPr="00524435">
              <w:rPr>
                <w:rFonts w:ascii="Cambria" w:hAnsi="Cambria" w:cs="Calibri"/>
                <w:color w:val="000000"/>
                <w:sz w:val="20"/>
                <w:szCs w:val="20"/>
              </w:rPr>
              <w:t>Gurdián</w:t>
            </w:r>
            <w:proofErr w:type="spellEnd"/>
            <w:r w:rsidRPr="00524435">
              <w:rPr>
                <w:rFonts w:ascii="Cambria" w:hAnsi="Cambria" w:cs="Calibr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40305E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13E45840"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76E49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146</w:t>
            </w:r>
          </w:p>
        </w:tc>
        <w:tc>
          <w:tcPr>
            <w:tcW w:w="0" w:type="auto"/>
            <w:tcBorders>
              <w:top w:val="nil"/>
              <w:left w:val="nil"/>
              <w:bottom w:val="single" w:sz="4" w:space="0" w:color="auto"/>
              <w:right w:val="single" w:sz="4" w:space="0" w:color="auto"/>
            </w:tcBorders>
            <w:shd w:val="clear" w:color="auto" w:fill="auto"/>
            <w:vAlign w:val="center"/>
            <w:hideMark/>
          </w:tcPr>
          <w:p w14:paraId="452C4EF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NICARAGUA</w:t>
            </w:r>
          </w:p>
        </w:tc>
        <w:tc>
          <w:tcPr>
            <w:tcW w:w="0" w:type="auto"/>
            <w:tcBorders>
              <w:top w:val="nil"/>
              <w:left w:val="nil"/>
              <w:bottom w:val="single" w:sz="4" w:space="0" w:color="auto"/>
              <w:right w:val="single" w:sz="4" w:space="0" w:color="auto"/>
            </w:tcBorders>
            <w:shd w:val="clear" w:color="auto" w:fill="auto"/>
            <w:vAlign w:val="center"/>
            <w:hideMark/>
          </w:tcPr>
          <w:p w14:paraId="4FDF53D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P-1238-17</w:t>
            </w:r>
          </w:p>
        </w:tc>
        <w:tc>
          <w:tcPr>
            <w:tcW w:w="0" w:type="auto"/>
            <w:tcBorders>
              <w:top w:val="nil"/>
              <w:left w:val="nil"/>
              <w:bottom w:val="single" w:sz="4" w:space="0" w:color="auto"/>
              <w:right w:val="single" w:sz="4" w:space="0" w:color="auto"/>
            </w:tcBorders>
            <w:shd w:val="clear" w:color="auto" w:fill="auto"/>
            <w:vAlign w:val="center"/>
            <w:hideMark/>
          </w:tcPr>
          <w:p w14:paraId="459F6832"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14.233</w:t>
            </w:r>
          </w:p>
        </w:tc>
        <w:tc>
          <w:tcPr>
            <w:tcW w:w="0" w:type="auto"/>
            <w:tcBorders>
              <w:top w:val="nil"/>
              <w:left w:val="nil"/>
              <w:bottom w:val="single" w:sz="4" w:space="0" w:color="auto"/>
              <w:right w:val="single" w:sz="4" w:space="0" w:color="auto"/>
            </w:tcBorders>
            <w:shd w:val="clear" w:color="auto" w:fill="auto"/>
            <w:vAlign w:val="center"/>
            <w:hideMark/>
          </w:tcPr>
          <w:p w14:paraId="0F6D15E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14:paraId="66ED897E"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Alvaro Antonio Davila Martinez </w:t>
            </w:r>
          </w:p>
        </w:tc>
        <w:tc>
          <w:tcPr>
            <w:tcW w:w="0" w:type="auto"/>
            <w:tcBorders>
              <w:top w:val="nil"/>
              <w:left w:val="nil"/>
              <w:bottom w:val="single" w:sz="4" w:space="0" w:color="auto"/>
              <w:right w:val="single" w:sz="4" w:space="0" w:color="auto"/>
            </w:tcBorders>
            <w:shd w:val="clear" w:color="auto" w:fill="auto"/>
            <w:vAlign w:val="center"/>
            <w:hideMark/>
          </w:tcPr>
          <w:p w14:paraId="41C0936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2F7AD4AA" w14:textId="77777777" w:rsidTr="008B7C1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1A43B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149</w:t>
            </w:r>
          </w:p>
        </w:tc>
        <w:tc>
          <w:tcPr>
            <w:tcW w:w="0" w:type="auto"/>
            <w:tcBorders>
              <w:top w:val="nil"/>
              <w:left w:val="nil"/>
              <w:bottom w:val="single" w:sz="4" w:space="0" w:color="auto"/>
              <w:right w:val="single" w:sz="4" w:space="0" w:color="auto"/>
            </w:tcBorders>
            <w:shd w:val="clear" w:color="auto" w:fill="auto"/>
            <w:vAlign w:val="center"/>
            <w:hideMark/>
          </w:tcPr>
          <w:p w14:paraId="1CA4099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PARAGUAY</w:t>
            </w:r>
          </w:p>
        </w:tc>
        <w:tc>
          <w:tcPr>
            <w:tcW w:w="0" w:type="auto"/>
            <w:tcBorders>
              <w:top w:val="nil"/>
              <w:left w:val="nil"/>
              <w:bottom w:val="single" w:sz="4" w:space="0" w:color="auto"/>
              <w:right w:val="single" w:sz="4" w:space="0" w:color="auto"/>
            </w:tcBorders>
            <w:shd w:val="clear" w:color="auto" w:fill="auto"/>
            <w:vAlign w:val="center"/>
            <w:hideMark/>
          </w:tcPr>
          <w:p w14:paraId="5C0FA37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P-733-CA</w:t>
            </w:r>
          </w:p>
        </w:tc>
        <w:tc>
          <w:tcPr>
            <w:tcW w:w="0" w:type="auto"/>
            <w:tcBorders>
              <w:top w:val="nil"/>
              <w:left w:val="nil"/>
              <w:bottom w:val="single" w:sz="4" w:space="0" w:color="auto"/>
              <w:right w:val="single" w:sz="4" w:space="0" w:color="auto"/>
            </w:tcBorders>
            <w:shd w:val="clear" w:color="auto" w:fill="auto"/>
            <w:vAlign w:val="center"/>
            <w:hideMark/>
          </w:tcPr>
          <w:p w14:paraId="5EFFEBD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12.849</w:t>
            </w:r>
          </w:p>
        </w:tc>
        <w:tc>
          <w:tcPr>
            <w:tcW w:w="0" w:type="auto"/>
            <w:tcBorders>
              <w:top w:val="nil"/>
              <w:left w:val="nil"/>
              <w:bottom w:val="single" w:sz="4" w:space="0" w:color="auto"/>
              <w:right w:val="single" w:sz="4" w:space="0" w:color="auto"/>
            </w:tcBorders>
            <w:shd w:val="clear" w:color="auto" w:fill="auto"/>
            <w:vAlign w:val="center"/>
            <w:hideMark/>
          </w:tcPr>
          <w:p w14:paraId="1B088E5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CA</w:t>
            </w:r>
          </w:p>
        </w:tc>
        <w:tc>
          <w:tcPr>
            <w:tcW w:w="0" w:type="auto"/>
            <w:tcBorders>
              <w:top w:val="nil"/>
              <w:left w:val="nil"/>
              <w:bottom w:val="single" w:sz="4" w:space="0" w:color="auto"/>
              <w:right w:val="single" w:sz="4" w:space="0" w:color="auto"/>
            </w:tcBorders>
            <w:shd w:val="clear" w:color="auto" w:fill="auto"/>
            <w:vAlign w:val="center"/>
            <w:hideMark/>
          </w:tcPr>
          <w:p w14:paraId="3249B8FC" w14:textId="77777777" w:rsidR="007425A1" w:rsidRPr="003F238D" w:rsidRDefault="007425A1" w:rsidP="008B7C11">
            <w:pPr>
              <w:rPr>
                <w:rFonts w:ascii="Cambria" w:hAnsi="Cambria" w:cs="Calibri"/>
                <w:color w:val="000000"/>
                <w:sz w:val="20"/>
                <w:szCs w:val="20"/>
                <w:lang w:val="es-US"/>
              </w:rPr>
            </w:pPr>
            <w:r w:rsidRPr="003F238D">
              <w:rPr>
                <w:rFonts w:ascii="Cambria" w:hAnsi="Cambria" w:cs="Calibri"/>
                <w:color w:val="000000"/>
                <w:sz w:val="20"/>
                <w:szCs w:val="20"/>
                <w:lang w:val="es-US"/>
              </w:rPr>
              <w:t xml:space="preserve"> Juan de los Santos Giménez </w:t>
            </w:r>
            <w:proofErr w:type="spellStart"/>
            <w:r w:rsidRPr="003F238D">
              <w:rPr>
                <w:rFonts w:ascii="Cambria" w:hAnsi="Cambria" w:cs="Calibri"/>
                <w:color w:val="000000"/>
                <w:sz w:val="20"/>
                <w:szCs w:val="20"/>
                <w:lang w:val="es-US"/>
              </w:rPr>
              <w:t>Marecos</w:t>
            </w:r>
            <w:proofErr w:type="spellEnd"/>
            <w:r w:rsidRPr="003F238D">
              <w:rPr>
                <w:rFonts w:ascii="Cambria" w:hAnsi="Cambria" w:cs="Calibri"/>
                <w:color w:val="000000"/>
                <w:sz w:val="20"/>
                <w:szCs w:val="20"/>
                <w:lang w:val="es-US"/>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14A6E6B" w14:textId="77777777" w:rsidR="007425A1" w:rsidRPr="00524435" w:rsidRDefault="007425A1" w:rsidP="008B7C11">
            <w:pPr>
              <w:jc w:val="center"/>
              <w:rPr>
                <w:rFonts w:ascii="Cambria" w:hAnsi="Cambria" w:cs="Calibri"/>
                <w:color w:val="000000"/>
                <w:sz w:val="20"/>
                <w:szCs w:val="20"/>
              </w:rPr>
            </w:pPr>
            <w:r w:rsidRPr="003F238D">
              <w:rPr>
                <w:rFonts w:ascii="Cambria" w:hAnsi="Cambria" w:cs="Calibri"/>
                <w:color w:val="000000"/>
                <w:sz w:val="20"/>
                <w:szCs w:val="20"/>
                <w:lang w:val="es-US"/>
              </w:rPr>
              <w:br/>
            </w:r>
            <w:r w:rsidRPr="00524435">
              <w:rPr>
                <w:rFonts w:ascii="Cambria" w:hAnsi="Cambria" w:cs="Calibri"/>
                <w:i/>
                <w:iCs/>
                <w:color w:val="000000"/>
                <w:sz w:val="20"/>
                <w:szCs w:val="20"/>
              </w:rPr>
              <w:t>Merit</w:t>
            </w:r>
          </w:p>
        </w:tc>
      </w:tr>
      <w:tr w:rsidR="007425A1" w:rsidRPr="00524435" w14:paraId="2ED425CE" w14:textId="77777777" w:rsidTr="008B7C11">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3D56C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150</w:t>
            </w:r>
          </w:p>
        </w:tc>
        <w:tc>
          <w:tcPr>
            <w:tcW w:w="0" w:type="auto"/>
            <w:tcBorders>
              <w:top w:val="nil"/>
              <w:left w:val="nil"/>
              <w:bottom w:val="single" w:sz="4" w:space="0" w:color="auto"/>
              <w:right w:val="single" w:sz="4" w:space="0" w:color="auto"/>
            </w:tcBorders>
            <w:shd w:val="clear" w:color="auto" w:fill="auto"/>
            <w:vAlign w:val="center"/>
            <w:hideMark/>
          </w:tcPr>
          <w:p w14:paraId="4A36BBA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30CABC3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P-373-01</w:t>
            </w:r>
          </w:p>
        </w:tc>
        <w:tc>
          <w:tcPr>
            <w:tcW w:w="0" w:type="auto"/>
            <w:tcBorders>
              <w:top w:val="nil"/>
              <w:left w:val="nil"/>
              <w:bottom w:val="single" w:sz="4" w:space="0" w:color="auto"/>
              <w:right w:val="single" w:sz="4" w:space="0" w:color="auto"/>
            </w:tcBorders>
            <w:shd w:val="clear" w:color="auto" w:fill="auto"/>
            <w:vAlign w:val="center"/>
            <w:hideMark/>
          </w:tcPr>
          <w:p w14:paraId="6CA3075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13.260</w:t>
            </w:r>
          </w:p>
        </w:tc>
        <w:tc>
          <w:tcPr>
            <w:tcW w:w="0" w:type="auto"/>
            <w:tcBorders>
              <w:top w:val="nil"/>
              <w:left w:val="nil"/>
              <w:bottom w:val="single" w:sz="4" w:space="0" w:color="auto"/>
              <w:right w:val="single" w:sz="4" w:space="0" w:color="auto"/>
            </w:tcBorders>
            <w:shd w:val="clear" w:color="auto" w:fill="auto"/>
            <w:vAlign w:val="center"/>
            <w:hideMark/>
          </w:tcPr>
          <w:p w14:paraId="455E208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471389AE" w14:textId="77777777" w:rsidR="007425A1" w:rsidRPr="003F238D" w:rsidRDefault="007425A1" w:rsidP="008B7C11">
            <w:pPr>
              <w:rPr>
                <w:rFonts w:ascii="Cambria" w:hAnsi="Cambria" w:cs="Calibri"/>
                <w:color w:val="000000"/>
                <w:sz w:val="20"/>
                <w:szCs w:val="20"/>
                <w:lang w:val="es-US"/>
              </w:rPr>
            </w:pPr>
            <w:r w:rsidRPr="003F238D">
              <w:rPr>
                <w:rFonts w:ascii="Cambria" w:hAnsi="Cambria" w:cs="Calibri"/>
                <w:color w:val="000000"/>
                <w:sz w:val="20"/>
                <w:szCs w:val="20"/>
                <w:lang w:val="es-US"/>
              </w:rPr>
              <w:t xml:space="preserve">Américo Rodríguez </w:t>
            </w:r>
            <w:proofErr w:type="spellStart"/>
            <w:r w:rsidRPr="003F238D">
              <w:rPr>
                <w:rFonts w:ascii="Cambria" w:hAnsi="Cambria" w:cs="Calibri"/>
                <w:color w:val="000000"/>
                <w:sz w:val="20"/>
                <w:szCs w:val="20"/>
                <w:lang w:val="es-US"/>
              </w:rPr>
              <w:t>Zabalbeascoa</w:t>
            </w:r>
            <w:proofErr w:type="spellEnd"/>
            <w:r w:rsidRPr="003F238D">
              <w:rPr>
                <w:rFonts w:ascii="Cambria" w:hAnsi="Cambria" w:cs="Calibri"/>
                <w:color w:val="000000"/>
                <w:sz w:val="20"/>
                <w:szCs w:val="20"/>
                <w:lang w:val="es-US"/>
              </w:rPr>
              <w:t xml:space="preserve">, Fernando Rodríguez </w:t>
            </w:r>
            <w:proofErr w:type="spellStart"/>
            <w:r w:rsidRPr="003F238D">
              <w:rPr>
                <w:rFonts w:ascii="Cambria" w:hAnsi="Cambria" w:cs="Calibri"/>
                <w:color w:val="000000"/>
                <w:sz w:val="20"/>
                <w:szCs w:val="20"/>
                <w:lang w:val="es-US"/>
              </w:rPr>
              <w:t>Zabalbeascoa</w:t>
            </w:r>
            <w:proofErr w:type="spellEnd"/>
            <w:r w:rsidRPr="003F238D">
              <w:rPr>
                <w:rFonts w:ascii="Cambria" w:hAnsi="Cambria" w:cs="Calibri"/>
                <w:color w:val="000000"/>
                <w:sz w:val="20"/>
                <w:szCs w:val="20"/>
                <w:lang w:val="es-US"/>
              </w:rPr>
              <w:t>.</w:t>
            </w:r>
          </w:p>
        </w:tc>
        <w:tc>
          <w:tcPr>
            <w:tcW w:w="0" w:type="auto"/>
            <w:tcBorders>
              <w:top w:val="nil"/>
              <w:left w:val="nil"/>
              <w:bottom w:val="single" w:sz="4" w:space="0" w:color="auto"/>
              <w:right w:val="single" w:sz="4" w:space="0" w:color="auto"/>
            </w:tcBorders>
            <w:shd w:val="clear" w:color="auto" w:fill="auto"/>
            <w:vAlign w:val="center"/>
            <w:hideMark/>
          </w:tcPr>
          <w:p w14:paraId="5395A47D" w14:textId="77777777" w:rsidR="007425A1" w:rsidRPr="00524435" w:rsidRDefault="007425A1" w:rsidP="008B7C11">
            <w:pPr>
              <w:jc w:val="center"/>
              <w:rPr>
                <w:rFonts w:ascii="Cambria" w:hAnsi="Cambria" w:cs="Calibri"/>
                <w:color w:val="000000"/>
                <w:sz w:val="20"/>
                <w:szCs w:val="20"/>
              </w:rPr>
            </w:pPr>
            <w:r w:rsidRPr="003F238D">
              <w:rPr>
                <w:rFonts w:ascii="Cambria" w:hAnsi="Cambria" w:cs="Calibri"/>
                <w:color w:val="000000"/>
                <w:sz w:val="20"/>
                <w:szCs w:val="20"/>
                <w:lang w:val="es-US"/>
              </w:rPr>
              <w:br/>
            </w:r>
            <w:r w:rsidRPr="00524435">
              <w:rPr>
                <w:rFonts w:ascii="Cambria" w:hAnsi="Cambria" w:cs="Calibri"/>
                <w:i/>
                <w:iCs/>
                <w:color w:val="000000"/>
                <w:sz w:val="20"/>
                <w:szCs w:val="20"/>
              </w:rPr>
              <w:t>Merit</w:t>
            </w:r>
          </w:p>
        </w:tc>
      </w:tr>
      <w:tr w:rsidR="007425A1" w:rsidRPr="00524435" w14:paraId="281719B7" w14:textId="77777777" w:rsidTr="008B7C11">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BBB13E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151</w:t>
            </w:r>
          </w:p>
        </w:tc>
        <w:tc>
          <w:tcPr>
            <w:tcW w:w="0" w:type="auto"/>
            <w:tcBorders>
              <w:top w:val="nil"/>
              <w:left w:val="nil"/>
              <w:bottom w:val="single" w:sz="4" w:space="0" w:color="auto"/>
              <w:right w:val="single" w:sz="4" w:space="0" w:color="auto"/>
            </w:tcBorders>
            <w:shd w:val="clear" w:color="auto" w:fill="auto"/>
            <w:vAlign w:val="center"/>
            <w:hideMark/>
          </w:tcPr>
          <w:p w14:paraId="72F6292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6895A08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P-1072-05</w:t>
            </w:r>
          </w:p>
        </w:tc>
        <w:tc>
          <w:tcPr>
            <w:tcW w:w="0" w:type="auto"/>
            <w:tcBorders>
              <w:top w:val="nil"/>
              <w:left w:val="nil"/>
              <w:bottom w:val="single" w:sz="4" w:space="0" w:color="auto"/>
              <w:right w:val="single" w:sz="4" w:space="0" w:color="auto"/>
            </w:tcBorders>
            <w:shd w:val="clear" w:color="auto" w:fill="auto"/>
            <w:vAlign w:val="center"/>
            <w:hideMark/>
          </w:tcPr>
          <w:p w14:paraId="4F3C092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13.281</w:t>
            </w:r>
          </w:p>
        </w:tc>
        <w:tc>
          <w:tcPr>
            <w:tcW w:w="0" w:type="auto"/>
            <w:tcBorders>
              <w:top w:val="nil"/>
              <w:left w:val="nil"/>
              <w:bottom w:val="single" w:sz="4" w:space="0" w:color="auto"/>
              <w:right w:val="single" w:sz="4" w:space="0" w:color="auto"/>
            </w:tcBorders>
            <w:shd w:val="clear" w:color="auto" w:fill="auto"/>
            <w:vAlign w:val="center"/>
            <w:hideMark/>
          </w:tcPr>
          <w:p w14:paraId="4D36DF4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4D215C2C"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Julio Salvador Vega </w:t>
            </w:r>
            <w:proofErr w:type="spellStart"/>
            <w:r w:rsidRPr="00524435">
              <w:rPr>
                <w:rFonts w:ascii="Cambria" w:hAnsi="Cambria" w:cs="Calibri"/>
                <w:color w:val="000000"/>
                <w:sz w:val="20"/>
                <w:szCs w:val="20"/>
              </w:rPr>
              <w:t>Erausquin</w:t>
            </w:r>
            <w:proofErr w:type="spellEnd"/>
            <w:r w:rsidRPr="00524435">
              <w:rPr>
                <w:rFonts w:ascii="Cambria" w:hAnsi="Cambria" w:cs="Calibr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13D9DD9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30F28747"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4240D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152</w:t>
            </w:r>
          </w:p>
        </w:tc>
        <w:tc>
          <w:tcPr>
            <w:tcW w:w="0" w:type="auto"/>
            <w:tcBorders>
              <w:top w:val="nil"/>
              <w:left w:val="nil"/>
              <w:bottom w:val="single" w:sz="4" w:space="0" w:color="auto"/>
              <w:right w:val="single" w:sz="4" w:space="0" w:color="auto"/>
            </w:tcBorders>
            <w:shd w:val="clear" w:color="auto" w:fill="auto"/>
            <w:vAlign w:val="center"/>
            <w:hideMark/>
          </w:tcPr>
          <w:p w14:paraId="1DBF781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556FC6D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P-236-05</w:t>
            </w:r>
          </w:p>
        </w:tc>
        <w:tc>
          <w:tcPr>
            <w:tcW w:w="0" w:type="auto"/>
            <w:tcBorders>
              <w:top w:val="nil"/>
              <w:left w:val="nil"/>
              <w:bottom w:val="single" w:sz="4" w:space="0" w:color="auto"/>
              <w:right w:val="single" w:sz="4" w:space="0" w:color="auto"/>
            </w:tcBorders>
            <w:shd w:val="clear" w:color="auto" w:fill="auto"/>
            <w:vAlign w:val="center"/>
            <w:hideMark/>
          </w:tcPr>
          <w:p w14:paraId="3C2C7CA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13.275</w:t>
            </w:r>
          </w:p>
        </w:tc>
        <w:tc>
          <w:tcPr>
            <w:tcW w:w="0" w:type="auto"/>
            <w:tcBorders>
              <w:top w:val="nil"/>
              <w:left w:val="nil"/>
              <w:bottom w:val="single" w:sz="4" w:space="0" w:color="auto"/>
              <w:right w:val="single" w:sz="4" w:space="0" w:color="auto"/>
            </w:tcBorders>
            <w:shd w:val="clear" w:color="auto" w:fill="auto"/>
            <w:vAlign w:val="center"/>
            <w:hideMark/>
          </w:tcPr>
          <w:p w14:paraId="11B5E16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099475F3"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Braulio Gabriel </w:t>
            </w:r>
            <w:proofErr w:type="spellStart"/>
            <w:r w:rsidRPr="00524435">
              <w:rPr>
                <w:rFonts w:ascii="Cambria" w:hAnsi="Cambria" w:cs="Calibri"/>
                <w:color w:val="000000"/>
                <w:sz w:val="20"/>
                <w:szCs w:val="20"/>
              </w:rPr>
              <w:t>Guillén</w:t>
            </w:r>
            <w:proofErr w:type="spellEnd"/>
            <w:r w:rsidRPr="00524435">
              <w:rPr>
                <w:rFonts w:ascii="Cambria" w:hAnsi="Cambria" w:cs="Calibri"/>
                <w:color w:val="000000"/>
                <w:sz w:val="20"/>
                <w:szCs w:val="20"/>
              </w:rPr>
              <w:t xml:space="preserve"> </w:t>
            </w:r>
            <w:proofErr w:type="spellStart"/>
            <w:r w:rsidRPr="00524435">
              <w:rPr>
                <w:rFonts w:ascii="Cambria" w:hAnsi="Cambria" w:cs="Calibri"/>
                <w:color w:val="000000"/>
                <w:sz w:val="20"/>
                <w:szCs w:val="20"/>
              </w:rPr>
              <w:t>Ccápa</w:t>
            </w:r>
            <w:proofErr w:type="spellEnd"/>
            <w:r w:rsidRPr="00524435">
              <w:rPr>
                <w:rFonts w:ascii="Cambria" w:hAnsi="Cambria" w:cs="Calibr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1F7D9CB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3BE03048" w14:textId="77777777" w:rsidTr="008B7C11">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3C845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153</w:t>
            </w:r>
          </w:p>
        </w:tc>
        <w:tc>
          <w:tcPr>
            <w:tcW w:w="0" w:type="auto"/>
            <w:tcBorders>
              <w:top w:val="nil"/>
              <w:left w:val="nil"/>
              <w:bottom w:val="single" w:sz="4" w:space="0" w:color="auto"/>
              <w:right w:val="single" w:sz="4" w:space="0" w:color="auto"/>
            </w:tcBorders>
            <w:shd w:val="clear" w:color="auto" w:fill="auto"/>
            <w:vAlign w:val="center"/>
            <w:hideMark/>
          </w:tcPr>
          <w:p w14:paraId="23AEA7E6"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7E6BDA4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P-334-05</w:t>
            </w:r>
          </w:p>
        </w:tc>
        <w:tc>
          <w:tcPr>
            <w:tcW w:w="0" w:type="auto"/>
            <w:tcBorders>
              <w:top w:val="nil"/>
              <w:left w:val="nil"/>
              <w:bottom w:val="single" w:sz="4" w:space="0" w:color="auto"/>
              <w:right w:val="single" w:sz="4" w:space="0" w:color="auto"/>
            </w:tcBorders>
            <w:shd w:val="clear" w:color="auto" w:fill="auto"/>
            <w:vAlign w:val="center"/>
            <w:hideMark/>
          </w:tcPr>
          <w:p w14:paraId="0AA29B36"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13.276</w:t>
            </w:r>
          </w:p>
        </w:tc>
        <w:tc>
          <w:tcPr>
            <w:tcW w:w="0" w:type="auto"/>
            <w:tcBorders>
              <w:top w:val="nil"/>
              <w:left w:val="nil"/>
              <w:bottom w:val="single" w:sz="4" w:space="0" w:color="auto"/>
              <w:right w:val="single" w:sz="4" w:space="0" w:color="auto"/>
            </w:tcBorders>
            <w:shd w:val="clear" w:color="auto" w:fill="auto"/>
            <w:vAlign w:val="center"/>
            <w:hideMark/>
          </w:tcPr>
          <w:p w14:paraId="1B29150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12176530" w14:textId="77777777" w:rsidR="007425A1" w:rsidRPr="003F238D" w:rsidRDefault="007425A1" w:rsidP="008B7C11">
            <w:pPr>
              <w:rPr>
                <w:rFonts w:ascii="Cambria" w:hAnsi="Cambria" w:cs="Calibri"/>
                <w:color w:val="000000"/>
                <w:sz w:val="20"/>
                <w:szCs w:val="20"/>
                <w:lang w:val="es-US"/>
              </w:rPr>
            </w:pPr>
            <w:r w:rsidRPr="003F238D">
              <w:rPr>
                <w:rFonts w:ascii="Cambria" w:hAnsi="Cambria" w:cs="Calibri"/>
                <w:color w:val="000000"/>
                <w:sz w:val="20"/>
                <w:szCs w:val="20"/>
                <w:lang w:val="es-US"/>
              </w:rPr>
              <w:t xml:space="preserve">Luis Hernán Carranza Valdivieso y </w:t>
            </w:r>
            <w:proofErr w:type="spellStart"/>
            <w:r w:rsidRPr="003F238D">
              <w:rPr>
                <w:rFonts w:ascii="Cambria" w:hAnsi="Cambria" w:cs="Calibri"/>
                <w:color w:val="000000"/>
                <w:sz w:val="20"/>
                <w:szCs w:val="20"/>
                <w:lang w:val="es-US"/>
              </w:rPr>
              <w:t>Glicerio</w:t>
            </w:r>
            <w:proofErr w:type="spellEnd"/>
            <w:r w:rsidRPr="003F238D">
              <w:rPr>
                <w:rFonts w:ascii="Cambria" w:hAnsi="Cambria" w:cs="Calibri"/>
                <w:color w:val="000000"/>
                <w:sz w:val="20"/>
                <w:szCs w:val="20"/>
                <w:lang w:val="es-US"/>
              </w:rPr>
              <w:t xml:space="preserve"> Jorge Camino </w:t>
            </w:r>
            <w:proofErr w:type="spellStart"/>
            <w:r w:rsidRPr="003F238D">
              <w:rPr>
                <w:rFonts w:ascii="Cambria" w:hAnsi="Cambria" w:cs="Calibri"/>
                <w:color w:val="000000"/>
                <w:sz w:val="20"/>
                <w:szCs w:val="20"/>
                <w:lang w:val="es-US"/>
              </w:rPr>
              <w:t>Mendivil</w:t>
            </w:r>
            <w:proofErr w:type="spellEnd"/>
            <w:r w:rsidRPr="003F238D">
              <w:rPr>
                <w:rFonts w:ascii="Cambria" w:hAnsi="Cambria" w:cs="Calibri"/>
                <w:color w:val="000000"/>
                <w:sz w:val="20"/>
                <w:szCs w:val="20"/>
                <w:lang w:val="es-US"/>
              </w:rPr>
              <w:t>.</w:t>
            </w:r>
          </w:p>
        </w:tc>
        <w:tc>
          <w:tcPr>
            <w:tcW w:w="0" w:type="auto"/>
            <w:tcBorders>
              <w:top w:val="nil"/>
              <w:left w:val="nil"/>
              <w:bottom w:val="single" w:sz="4" w:space="0" w:color="auto"/>
              <w:right w:val="single" w:sz="4" w:space="0" w:color="auto"/>
            </w:tcBorders>
            <w:shd w:val="clear" w:color="auto" w:fill="auto"/>
            <w:vAlign w:val="center"/>
            <w:hideMark/>
          </w:tcPr>
          <w:p w14:paraId="2691A128" w14:textId="77777777" w:rsidR="007425A1" w:rsidRPr="00524435" w:rsidRDefault="007425A1" w:rsidP="008B7C11">
            <w:pPr>
              <w:jc w:val="center"/>
              <w:rPr>
                <w:rFonts w:ascii="Cambria" w:hAnsi="Cambria" w:cs="Calibri"/>
                <w:color w:val="000000"/>
                <w:sz w:val="20"/>
                <w:szCs w:val="20"/>
              </w:rPr>
            </w:pPr>
            <w:r w:rsidRPr="003F238D">
              <w:rPr>
                <w:rFonts w:ascii="Cambria" w:hAnsi="Cambria" w:cs="Calibri"/>
                <w:color w:val="000000"/>
                <w:sz w:val="20"/>
                <w:szCs w:val="20"/>
                <w:lang w:val="es-US"/>
              </w:rPr>
              <w:br/>
            </w:r>
            <w:r w:rsidRPr="00524435">
              <w:rPr>
                <w:rFonts w:ascii="Cambria" w:hAnsi="Cambria" w:cs="Calibri"/>
                <w:i/>
                <w:iCs/>
                <w:color w:val="000000"/>
                <w:sz w:val="20"/>
                <w:szCs w:val="20"/>
              </w:rPr>
              <w:t>Merit</w:t>
            </w:r>
          </w:p>
        </w:tc>
      </w:tr>
      <w:tr w:rsidR="007425A1" w:rsidRPr="00524435" w14:paraId="718F473E" w14:textId="77777777" w:rsidTr="008B7C11">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2A90F3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154</w:t>
            </w:r>
          </w:p>
        </w:tc>
        <w:tc>
          <w:tcPr>
            <w:tcW w:w="0" w:type="auto"/>
            <w:tcBorders>
              <w:top w:val="nil"/>
              <w:left w:val="nil"/>
              <w:bottom w:val="single" w:sz="4" w:space="0" w:color="auto"/>
              <w:right w:val="single" w:sz="4" w:space="0" w:color="auto"/>
            </w:tcBorders>
            <w:shd w:val="clear" w:color="auto" w:fill="auto"/>
            <w:vAlign w:val="center"/>
            <w:hideMark/>
          </w:tcPr>
          <w:p w14:paraId="4AB8F796"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34FF0A16"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P-625-06</w:t>
            </w:r>
          </w:p>
        </w:tc>
        <w:tc>
          <w:tcPr>
            <w:tcW w:w="0" w:type="auto"/>
            <w:tcBorders>
              <w:top w:val="nil"/>
              <w:left w:val="nil"/>
              <w:bottom w:val="single" w:sz="4" w:space="0" w:color="auto"/>
              <w:right w:val="single" w:sz="4" w:space="0" w:color="auto"/>
            </w:tcBorders>
            <w:shd w:val="clear" w:color="auto" w:fill="auto"/>
            <w:vAlign w:val="center"/>
            <w:hideMark/>
          </w:tcPr>
          <w:p w14:paraId="3732CA9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13.686</w:t>
            </w:r>
          </w:p>
        </w:tc>
        <w:tc>
          <w:tcPr>
            <w:tcW w:w="0" w:type="auto"/>
            <w:tcBorders>
              <w:top w:val="nil"/>
              <w:left w:val="nil"/>
              <w:bottom w:val="single" w:sz="4" w:space="0" w:color="auto"/>
              <w:right w:val="single" w:sz="4" w:space="0" w:color="auto"/>
            </w:tcBorders>
            <w:shd w:val="clear" w:color="auto" w:fill="auto"/>
            <w:vAlign w:val="center"/>
            <w:hideMark/>
          </w:tcPr>
          <w:p w14:paraId="3293634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5B540211"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Javier Gonzalo Luna García.</w:t>
            </w:r>
          </w:p>
        </w:tc>
        <w:tc>
          <w:tcPr>
            <w:tcW w:w="0" w:type="auto"/>
            <w:tcBorders>
              <w:top w:val="nil"/>
              <w:left w:val="nil"/>
              <w:bottom w:val="single" w:sz="4" w:space="0" w:color="auto"/>
              <w:right w:val="single" w:sz="4" w:space="0" w:color="auto"/>
            </w:tcBorders>
            <w:shd w:val="clear" w:color="auto" w:fill="auto"/>
            <w:vAlign w:val="center"/>
            <w:hideMark/>
          </w:tcPr>
          <w:p w14:paraId="40E0224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67DF5D3F"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AD0CB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155</w:t>
            </w:r>
          </w:p>
        </w:tc>
        <w:tc>
          <w:tcPr>
            <w:tcW w:w="0" w:type="auto"/>
            <w:tcBorders>
              <w:top w:val="nil"/>
              <w:left w:val="nil"/>
              <w:bottom w:val="single" w:sz="4" w:space="0" w:color="auto"/>
              <w:right w:val="single" w:sz="4" w:space="0" w:color="auto"/>
            </w:tcBorders>
            <w:shd w:val="clear" w:color="auto" w:fill="auto"/>
            <w:vAlign w:val="center"/>
            <w:hideMark/>
          </w:tcPr>
          <w:p w14:paraId="29CE61D6"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6D8C2AE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P-835-06</w:t>
            </w:r>
          </w:p>
        </w:tc>
        <w:tc>
          <w:tcPr>
            <w:tcW w:w="0" w:type="auto"/>
            <w:tcBorders>
              <w:top w:val="nil"/>
              <w:left w:val="nil"/>
              <w:bottom w:val="single" w:sz="4" w:space="0" w:color="auto"/>
              <w:right w:val="single" w:sz="4" w:space="0" w:color="auto"/>
            </w:tcBorders>
            <w:shd w:val="clear" w:color="auto" w:fill="auto"/>
            <w:vAlign w:val="center"/>
            <w:hideMark/>
          </w:tcPr>
          <w:p w14:paraId="3556C9C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13.296</w:t>
            </w:r>
          </w:p>
        </w:tc>
        <w:tc>
          <w:tcPr>
            <w:tcW w:w="0" w:type="auto"/>
            <w:tcBorders>
              <w:top w:val="nil"/>
              <w:left w:val="nil"/>
              <w:bottom w:val="single" w:sz="4" w:space="0" w:color="auto"/>
              <w:right w:val="single" w:sz="4" w:space="0" w:color="auto"/>
            </w:tcBorders>
            <w:shd w:val="clear" w:color="auto" w:fill="auto"/>
            <w:vAlign w:val="center"/>
            <w:hideMark/>
          </w:tcPr>
          <w:p w14:paraId="5D883D8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4EAE04AB"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Wilbert Gonzalez Aguilar.</w:t>
            </w:r>
          </w:p>
        </w:tc>
        <w:tc>
          <w:tcPr>
            <w:tcW w:w="0" w:type="auto"/>
            <w:tcBorders>
              <w:top w:val="nil"/>
              <w:left w:val="nil"/>
              <w:bottom w:val="single" w:sz="4" w:space="0" w:color="auto"/>
              <w:right w:val="single" w:sz="4" w:space="0" w:color="auto"/>
            </w:tcBorders>
            <w:shd w:val="clear" w:color="auto" w:fill="auto"/>
            <w:vAlign w:val="center"/>
            <w:hideMark/>
          </w:tcPr>
          <w:p w14:paraId="04F5E1A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1EC097E7"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092AF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156</w:t>
            </w:r>
          </w:p>
        </w:tc>
        <w:tc>
          <w:tcPr>
            <w:tcW w:w="0" w:type="auto"/>
            <w:tcBorders>
              <w:top w:val="nil"/>
              <w:left w:val="nil"/>
              <w:bottom w:val="single" w:sz="4" w:space="0" w:color="auto"/>
              <w:right w:val="single" w:sz="4" w:space="0" w:color="auto"/>
            </w:tcBorders>
            <w:shd w:val="clear" w:color="auto" w:fill="auto"/>
            <w:vAlign w:val="center"/>
            <w:hideMark/>
          </w:tcPr>
          <w:p w14:paraId="1DC1B02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2A8F960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P-895-06</w:t>
            </w:r>
          </w:p>
        </w:tc>
        <w:tc>
          <w:tcPr>
            <w:tcW w:w="0" w:type="auto"/>
            <w:tcBorders>
              <w:top w:val="nil"/>
              <w:left w:val="nil"/>
              <w:bottom w:val="single" w:sz="4" w:space="0" w:color="auto"/>
              <w:right w:val="single" w:sz="4" w:space="0" w:color="auto"/>
            </w:tcBorders>
            <w:shd w:val="clear" w:color="auto" w:fill="auto"/>
            <w:vAlign w:val="center"/>
            <w:hideMark/>
          </w:tcPr>
          <w:p w14:paraId="617B0D1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13.008</w:t>
            </w:r>
          </w:p>
        </w:tc>
        <w:tc>
          <w:tcPr>
            <w:tcW w:w="0" w:type="auto"/>
            <w:tcBorders>
              <w:top w:val="nil"/>
              <w:left w:val="nil"/>
              <w:bottom w:val="single" w:sz="4" w:space="0" w:color="auto"/>
              <w:right w:val="single" w:sz="4" w:space="0" w:color="auto"/>
            </w:tcBorders>
            <w:shd w:val="clear" w:color="auto" w:fill="auto"/>
            <w:vAlign w:val="center"/>
            <w:hideMark/>
          </w:tcPr>
          <w:p w14:paraId="48B20BF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7180D532" w14:textId="77777777" w:rsidR="007425A1" w:rsidRPr="003F238D" w:rsidRDefault="007425A1" w:rsidP="008B7C11">
            <w:pPr>
              <w:rPr>
                <w:rFonts w:ascii="Cambria" w:hAnsi="Cambria" w:cs="Calibri"/>
                <w:color w:val="000000"/>
                <w:sz w:val="20"/>
                <w:szCs w:val="20"/>
                <w:lang w:val="es-US"/>
              </w:rPr>
            </w:pPr>
            <w:r w:rsidRPr="003F238D">
              <w:rPr>
                <w:rFonts w:ascii="Cambria" w:hAnsi="Cambria" w:cs="Calibri"/>
                <w:color w:val="000000"/>
                <w:sz w:val="20"/>
                <w:szCs w:val="20"/>
                <w:lang w:val="es-US"/>
              </w:rPr>
              <w:t>Antonio de la Torre Echeandía.</w:t>
            </w:r>
          </w:p>
        </w:tc>
        <w:tc>
          <w:tcPr>
            <w:tcW w:w="0" w:type="auto"/>
            <w:tcBorders>
              <w:top w:val="nil"/>
              <w:left w:val="nil"/>
              <w:bottom w:val="single" w:sz="4" w:space="0" w:color="auto"/>
              <w:right w:val="single" w:sz="4" w:space="0" w:color="auto"/>
            </w:tcBorders>
            <w:shd w:val="clear" w:color="auto" w:fill="auto"/>
            <w:vAlign w:val="center"/>
            <w:hideMark/>
          </w:tcPr>
          <w:p w14:paraId="767FC54A" w14:textId="77777777" w:rsidR="007425A1" w:rsidRPr="00524435" w:rsidRDefault="007425A1" w:rsidP="008B7C11">
            <w:pPr>
              <w:jc w:val="center"/>
              <w:rPr>
                <w:rFonts w:ascii="Cambria" w:hAnsi="Cambria" w:cs="Calibri"/>
                <w:color w:val="000000"/>
                <w:sz w:val="20"/>
                <w:szCs w:val="20"/>
              </w:rPr>
            </w:pPr>
            <w:r w:rsidRPr="003F238D">
              <w:rPr>
                <w:rFonts w:ascii="Cambria" w:hAnsi="Cambria" w:cs="Calibri"/>
                <w:color w:val="000000"/>
                <w:sz w:val="20"/>
                <w:szCs w:val="20"/>
                <w:lang w:val="es-US"/>
              </w:rPr>
              <w:br/>
            </w:r>
            <w:r w:rsidRPr="00524435">
              <w:rPr>
                <w:rFonts w:ascii="Cambria" w:hAnsi="Cambria" w:cs="Calibri"/>
                <w:i/>
                <w:iCs/>
                <w:color w:val="000000"/>
                <w:sz w:val="20"/>
                <w:szCs w:val="20"/>
              </w:rPr>
              <w:t>Merit</w:t>
            </w:r>
          </w:p>
        </w:tc>
      </w:tr>
      <w:tr w:rsidR="007425A1" w:rsidRPr="00524435" w14:paraId="1DDF011B" w14:textId="77777777" w:rsidTr="008B7C11">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D9041A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157</w:t>
            </w:r>
          </w:p>
        </w:tc>
        <w:tc>
          <w:tcPr>
            <w:tcW w:w="0" w:type="auto"/>
            <w:tcBorders>
              <w:top w:val="nil"/>
              <w:left w:val="nil"/>
              <w:bottom w:val="single" w:sz="4" w:space="0" w:color="auto"/>
              <w:right w:val="single" w:sz="4" w:space="0" w:color="auto"/>
            </w:tcBorders>
            <w:shd w:val="clear" w:color="auto" w:fill="auto"/>
            <w:vAlign w:val="center"/>
            <w:hideMark/>
          </w:tcPr>
          <w:p w14:paraId="02344BA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2B46722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P-155-08</w:t>
            </w:r>
          </w:p>
        </w:tc>
        <w:tc>
          <w:tcPr>
            <w:tcW w:w="0" w:type="auto"/>
            <w:tcBorders>
              <w:top w:val="nil"/>
              <w:left w:val="nil"/>
              <w:bottom w:val="single" w:sz="4" w:space="0" w:color="auto"/>
              <w:right w:val="single" w:sz="4" w:space="0" w:color="auto"/>
            </w:tcBorders>
            <w:shd w:val="clear" w:color="auto" w:fill="auto"/>
            <w:vAlign w:val="center"/>
            <w:hideMark/>
          </w:tcPr>
          <w:p w14:paraId="4894FB2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13.749</w:t>
            </w:r>
          </w:p>
        </w:tc>
        <w:tc>
          <w:tcPr>
            <w:tcW w:w="0" w:type="auto"/>
            <w:tcBorders>
              <w:top w:val="nil"/>
              <w:left w:val="nil"/>
              <w:bottom w:val="single" w:sz="4" w:space="0" w:color="auto"/>
              <w:right w:val="single" w:sz="4" w:space="0" w:color="auto"/>
            </w:tcBorders>
            <w:shd w:val="clear" w:color="auto" w:fill="auto"/>
            <w:vAlign w:val="center"/>
            <w:hideMark/>
          </w:tcPr>
          <w:p w14:paraId="167433F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02F9EC3D"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Rodrigo Díaz La Torre.</w:t>
            </w:r>
          </w:p>
        </w:tc>
        <w:tc>
          <w:tcPr>
            <w:tcW w:w="0" w:type="auto"/>
            <w:tcBorders>
              <w:top w:val="nil"/>
              <w:left w:val="nil"/>
              <w:bottom w:val="single" w:sz="4" w:space="0" w:color="auto"/>
              <w:right w:val="single" w:sz="4" w:space="0" w:color="auto"/>
            </w:tcBorders>
            <w:shd w:val="clear" w:color="auto" w:fill="auto"/>
            <w:vAlign w:val="center"/>
            <w:hideMark/>
          </w:tcPr>
          <w:p w14:paraId="48E8966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75C1C0A7" w14:textId="77777777" w:rsidTr="008B7C11">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A33D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158</w:t>
            </w:r>
          </w:p>
        </w:tc>
        <w:tc>
          <w:tcPr>
            <w:tcW w:w="0" w:type="auto"/>
            <w:tcBorders>
              <w:top w:val="nil"/>
              <w:left w:val="nil"/>
              <w:bottom w:val="single" w:sz="4" w:space="0" w:color="auto"/>
              <w:right w:val="single" w:sz="4" w:space="0" w:color="auto"/>
            </w:tcBorders>
            <w:shd w:val="clear" w:color="auto" w:fill="auto"/>
            <w:vAlign w:val="center"/>
            <w:hideMark/>
          </w:tcPr>
          <w:p w14:paraId="46E2859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7B2B88D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P-239-08</w:t>
            </w:r>
          </w:p>
        </w:tc>
        <w:tc>
          <w:tcPr>
            <w:tcW w:w="0" w:type="auto"/>
            <w:tcBorders>
              <w:top w:val="nil"/>
              <w:left w:val="nil"/>
              <w:bottom w:val="single" w:sz="4" w:space="0" w:color="auto"/>
              <w:right w:val="single" w:sz="4" w:space="0" w:color="auto"/>
            </w:tcBorders>
            <w:shd w:val="clear" w:color="auto" w:fill="auto"/>
            <w:vAlign w:val="center"/>
            <w:hideMark/>
          </w:tcPr>
          <w:p w14:paraId="502E30B2"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13.715</w:t>
            </w:r>
          </w:p>
        </w:tc>
        <w:tc>
          <w:tcPr>
            <w:tcW w:w="0" w:type="auto"/>
            <w:tcBorders>
              <w:top w:val="nil"/>
              <w:left w:val="nil"/>
              <w:bottom w:val="single" w:sz="4" w:space="0" w:color="auto"/>
              <w:right w:val="single" w:sz="4" w:space="0" w:color="auto"/>
            </w:tcBorders>
            <w:shd w:val="clear" w:color="auto" w:fill="auto"/>
            <w:vAlign w:val="center"/>
            <w:hideMark/>
          </w:tcPr>
          <w:p w14:paraId="170EEF5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32FF90F4" w14:textId="77777777" w:rsidR="007425A1" w:rsidRPr="003F238D" w:rsidRDefault="007425A1" w:rsidP="008B7C11">
            <w:pPr>
              <w:rPr>
                <w:rFonts w:ascii="Cambria" w:hAnsi="Cambria" w:cs="Calibri"/>
                <w:color w:val="000000"/>
                <w:sz w:val="20"/>
                <w:szCs w:val="20"/>
                <w:lang w:val="es-US"/>
              </w:rPr>
            </w:pPr>
            <w:r w:rsidRPr="003F238D">
              <w:rPr>
                <w:rFonts w:ascii="Cambria" w:hAnsi="Cambria" w:cs="Calibri"/>
                <w:color w:val="000000"/>
                <w:sz w:val="20"/>
                <w:szCs w:val="20"/>
                <w:lang w:val="es-US"/>
              </w:rPr>
              <w:t xml:space="preserve">Asociación Nacional de Magistrados Cesantes y Jubilados del Poder </w:t>
            </w:r>
            <w:proofErr w:type="gramStart"/>
            <w:r w:rsidRPr="003F238D">
              <w:rPr>
                <w:rFonts w:ascii="Cambria" w:hAnsi="Cambria" w:cs="Calibri"/>
                <w:color w:val="000000"/>
                <w:sz w:val="20"/>
                <w:szCs w:val="20"/>
                <w:lang w:val="es-US"/>
              </w:rPr>
              <w:t>Judicial .</w:t>
            </w:r>
            <w:proofErr w:type="gramEnd"/>
          </w:p>
        </w:tc>
        <w:tc>
          <w:tcPr>
            <w:tcW w:w="0" w:type="auto"/>
            <w:tcBorders>
              <w:top w:val="nil"/>
              <w:left w:val="nil"/>
              <w:bottom w:val="single" w:sz="4" w:space="0" w:color="auto"/>
              <w:right w:val="single" w:sz="4" w:space="0" w:color="auto"/>
            </w:tcBorders>
            <w:shd w:val="clear" w:color="auto" w:fill="auto"/>
            <w:vAlign w:val="center"/>
            <w:hideMark/>
          </w:tcPr>
          <w:p w14:paraId="11689FA9" w14:textId="77777777" w:rsidR="007425A1" w:rsidRPr="00524435" w:rsidRDefault="007425A1" w:rsidP="008B7C11">
            <w:pPr>
              <w:jc w:val="center"/>
              <w:rPr>
                <w:rFonts w:ascii="Cambria" w:hAnsi="Cambria" w:cs="Calibri"/>
                <w:color w:val="000000"/>
                <w:sz w:val="20"/>
                <w:szCs w:val="20"/>
              </w:rPr>
            </w:pPr>
            <w:r w:rsidRPr="003F238D">
              <w:rPr>
                <w:rFonts w:ascii="Cambria" w:hAnsi="Cambria" w:cs="Calibri"/>
                <w:color w:val="000000"/>
                <w:sz w:val="20"/>
                <w:szCs w:val="20"/>
                <w:lang w:val="es-US"/>
              </w:rPr>
              <w:br/>
            </w:r>
            <w:r w:rsidRPr="00524435">
              <w:rPr>
                <w:rFonts w:ascii="Cambria" w:hAnsi="Cambria" w:cs="Calibri"/>
                <w:i/>
                <w:iCs/>
                <w:color w:val="000000"/>
                <w:sz w:val="20"/>
                <w:szCs w:val="20"/>
              </w:rPr>
              <w:t>Merit</w:t>
            </w:r>
          </w:p>
        </w:tc>
      </w:tr>
      <w:tr w:rsidR="007425A1" w:rsidRPr="00524435" w14:paraId="753838B0"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08B19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lastRenderedPageBreak/>
              <w:t>159</w:t>
            </w:r>
          </w:p>
        </w:tc>
        <w:tc>
          <w:tcPr>
            <w:tcW w:w="0" w:type="auto"/>
            <w:tcBorders>
              <w:top w:val="nil"/>
              <w:left w:val="nil"/>
              <w:bottom w:val="single" w:sz="4" w:space="0" w:color="auto"/>
              <w:right w:val="single" w:sz="4" w:space="0" w:color="auto"/>
            </w:tcBorders>
            <w:shd w:val="clear" w:color="auto" w:fill="auto"/>
            <w:vAlign w:val="center"/>
            <w:hideMark/>
          </w:tcPr>
          <w:p w14:paraId="5991CF7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49D1BBE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P-403-08</w:t>
            </w:r>
          </w:p>
        </w:tc>
        <w:tc>
          <w:tcPr>
            <w:tcW w:w="0" w:type="auto"/>
            <w:tcBorders>
              <w:top w:val="nil"/>
              <w:left w:val="nil"/>
              <w:bottom w:val="single" w:sz="4" w:space="0" w:color="auto"/>
              <w:right w:val="single" w:sz="4" w:space="0" w:color="auto"/>
            </w:tcBorders>
            <w:shd w:val="clear" w:color="auto" w:fill="auto"/>
            <w:vAlign w:val="center"/>
            <w:hideMark/>
          </w:tcPr>
          <w:p w14:paraId="0E21C64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13.798</w:t>
            </w:r>
          </w:p>
        </w:tc>
        <w:tc>
          <w:tcPr>
            <w:tcW w:w="0" w:type="auto"/>
            <w:tcBorders>
              <w:top w:val="nil"/>
              <w:left w:val="nil"/>
              <w:bottom w:val="single" w:sz="4" w:space="0" w:color="auto"/>
              <w:right w:val="single" w:sz="4" w:space="0" w:color="auto"/>
            </w:tcBorders>
            <w:shd w:val="clear" w:color="auto" w:fill="auto"/>
            <w:vAlign w:val="center"/>
            <w:hideMark/>
          </w:tcPr>
          <w:p w14:paraId="40BFC72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18487365"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Juan Carlos </w:t>
            </w:r>
            <w:proofErr w:type="spellStart"/>
            <w:r w:rsidRPr="00524435">
              <w:rPr>
                <w:rFonts w:ascii="Cambria" w:hAnsi="Cambria" w:cs="Calibri"/>
                <w:color w:val="000000"/>
                <w:sz w:val="20"/>
                <w:szCs w:val="20"/>
              </w:rPr>
              <w:t>Tafur</w:t>
            </w:r>
            <w:proofErr w:type="spellEnd"/>
            <w:r w:rsidRPr="00524435">
              <w:rPr>
                <w:rFonts w:ascii="Cambria" w:hAnsi="Cambria" w:cs="Calibri"/>
                <w:color w:val="000000"/>
                <w:sz w:val="20"/>
                <w:szCs w:val="20"/>
              </w:rPr>
              <w:t xml:space="preserve"> Rivera.</w:t>
            </w:r>
          </w:p>
        </w:tc>
        <w:tc>
          <w:tcPr>
            <w:tcW w:w="0" w:type="auto"/>
            <w:tcBorders>
              <w:top w:val="nil"/>
              <w:left w:val="nil"/>
              <w:bottom w:val="single" w:sz="4" w:space="0" w:color="auto"/>
              <w:right w:val="single" w:sz="4" w:space="0" w:color="auto"/>
            </w:tcBorders>
            <w:shd w:val="clear" w:color="auto" w:fill="auto"/>
            <w:vAlign w:val="center"/>
            <w:hideMark/>
          </w:tcPr>
          <w:p w14:paraId="2E7FBB1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3F6C4C5D" w14:textId="77777777" w:rsidTr="008B7C11">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8E3BD0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160</w:t>
            </w:r>
          </w:p>
        </w:tc>
        <w:tc>
          <w:tcPr>
            <w:tcW w:w="0" w:type="auto"/>
            <w:tcBorders>
              <w:top w:val="nil"/>
              <w:left w:val="nil"/>
              <w:bottom w:val="single" w:sz="4" w:space="0" w:color="auto"/>
              <w:right w:val="single" w:sz="4" w:space="0" w:color="auto"/>
            </w:tcBorders>
            <w:shd w:val="clear" w:color="auto" w:fill="auto"/>
            <w:vAlign w:val="center"/>
            <w:hideMark/>
          </w:tcPr>
          <w:p w14:paraId="23D6E65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064F980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P-627-08</w:t>
            </w:r>
          </w:p>
        </w:tc>
        <w:tc>
          <w:tcPr>
            <w:tcW w:w="0" w:type="auto"/>
            <w:tcBorders>
              <w:top w:val="nil"/>
              <w:left w:val="nil"/>
              <w:bottom w:val="single" w:sz="4" w:space="0" w:color="auto"/>
              <w:right w:val="single" w:sz="4" w:space="0" w:color="auto"/>
            </w:tcBorders>
            <w:shd w:val="clear" w:color="auto" w:fill="auto"/>
            <w:vAlign w:val="center"/>
            <w:hideMark/>
          </w:tcPr>
          <w:p w14:paraId="3688517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13.418</w:t>
            </w:r>
          </w:p>
        </w:tc>
        <w:tc>
          <w:tcPr>
            <w:tcW w:w="0" w:type="auto"/>
            <w:tcBorders>
              <w:top w:val="nil"/>
              <w:left w:val="nil"/>
              <w:bottom w:val="single" w:sz="4" w:space="0" w:color="auto"/>
              <w:right w:val="single" w:sz="4" w:space="0" w:color="auto"/>
            </w:tcBorders>
            <w:shd w:val="clear" w:color="auto" w:fill="auto"/>
            <w:vAlign w:val="center"/>
            <w:hideMark/>
          </w:tcPr>
          <w:p w14:paraId="26AACF1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01D6DB41" w14:textId="77777777" w:rsidR="007425A1" w:rsidRPr="003F238D" w:rsidRDefault="007425A1" w:rsidP="008B7C11">
            <w:pPr>
              <w:rPr>
                <w:rFonts w:ascii="Cambria" w:hAnsi="Cambria" w:cs="Calibri"/>
                <w:color w:val="000000"/>
                <w:sz w:val="20"/>
                <w:szCs w:val="20"/>
                <w:lang w:val="es-US"/>
              </w:rPr>
            </w:pPr>
            <w:r w:rsidRPr="003F238D">
              <w:rPr>
                <w:rFonts w:ascii="Cambria" w:hAnsi="Cambria" w:cs="Calibri"/>
                <w:color w:val="000000"/>
                <w:sz w:val="20"/>
                <w:szCs w:val="20"/>
                <w:lang w:val="es-US"/>
              </w:rPr>
              <w:t>María del Pilar Sulca Berrocal.</w:t>
            </w:r>
          </w:p>
        </w:tc>
        <w:tc>
          <w:tcPr>
            <w:tcW w:w="0" w:type="auto"/>
            <w:tcBorders>
              <w:top w:val="nil"/>
              <w:left w:val="nil"/>
              <w:bottom w:val="single" w:sz="4" w:space="0" w:color="auto"/>
              <w:right w:val="single" w:sz="4" w:space="0" w:color="auto"/>
            </w:tcBorders>
            <w:shd w:val="clear" w:color="auto" w:fill="auto"/>
            <w:vAlign w:val="center"/>
            <w:hideMark/>
          </w:tcPr>
          <w:p w14:paraId="2AA60DCD" w14:textId="77777777" w:rsidR="007425A1" w:rsidRPr="00524435" w:rsidRDefault="007425A1" w:rsidP="008B7C11">
            <w:pPr>
              <w:jc w:val="center"/>
              <w:rPr>
                <w:rFonts w:ascii="Cambria" w:hAnsi="Cambria" w:cs="Calibri"/>
                <w:color w:val="000000"/>
                <w:sz w:val="20"/>
                <w:szCs w:val="20"/>
              </w:rPr>
            </w:pPr>
            <w:r w:rsidRPr="003F238D">
              <w:rPr>
                <w:rFonts w:ascii="Cambria" w:hAnsi="Cambria" w:cs="Calibri"/>
                <w:color w:val="000000"/>
                <w:sz w:val="20"/>
                <w:szCs w:val="20"/>
                <w:lang w:val="es-US"/>
              </w:rPr>
              <w:br/>
            </w:r>
            <w:r w:rsidRPr="00524435">
              <w:rPr>
                <w:rFonts w:ascii="Cambria" w:hAnsi="Cambria" w:cs="Calibri"/>
                <w:i/>
                <w:iCs/>
                <w:color w:val="000000"/>
                <w:sz w:val="20"/>
                <w:szCs w:val="20"/>
              </w:rPr>
              <w:t>Merit</w:t>
            </w:r>
          </w:p>
        </w:tc>
      </w:tr>
      <w:tr w:rsidR="007425A1" w:rsidRPr="00524435" w14:paraId="6862924C"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BA62E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162</w:t>
            </w:r>
          </w:p>
        </w:tc>
        <w:tc>
          <w:tcPr>
            <w:tcW w:w="0" w:type="auto"/>
            <w:tcBorders>
              <w:top w:val="nil"/>
              <w:left w:val="nil"/>
              <w:bottom w:val="single" w:sz="4" w:space="0" w:color="auto"/>
              <w:right w:val="single" w:sz="4" w:space="0" w:color="auto"/>
            </w:tcBorders>
            <w:shd w:val="clear" w:color="auto" w:fill="auto"/>
            <w:vAlign w:val="center"/>
            <w:hideMark/>
          </w:tcPr>
          <w:p w14:paraId="6172017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6DAE936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P-2364-12</w:t>
            </w:r>
          </w:p>
        </w:tc>
        <w:tc>
          <w:tcPr>
            <w:tcW w:w="0" w:type="auto"/>
            <w:tcBorders>
              <w:top w:val="nil"/>
              <w:left w:val="nil"/>
              <w:bottom w:val="single" w:sz="4" w:space="0" w:color="auto"/>
              <w:right w:val="single" w:sz="4" w:space="0" w:color="auto"/>
            </w:tcBorders>
            <w:shd w:val="clear" w:color="auto" w:fill="auto"/>
            <w:vAlign w:val="center"/>
            <w:hideMark/>
          </w:tcPr>
          <w:p w14:paraId="5D5AF06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13.877</w:t>
            </w:r>
          </w:p>
        </w:tc>
        <w:tc>
          <w:tcPr>
            <w:tcW w:w="0" w:type="auto"/>
            <w:tcBorders>
              <w:top w:val="nil"/>
              <w:left w:val="nil"/>
              <w:bottom w:val="single" w:sz="4" w:space="0" w:color="auto"/>
              <w:right w:val="single" w:sz="4" w:space="0" w:color="auto"/>
            </w:tcBorders>
            <w:shd w:val="clear" w:color="auto" w:fill="auto"/>
            <w:vAlign w:val="center"/>
            <w:hideMark/>
          </w:tcPr>
          <w:p w14:paraId="04C65D0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48EC217F"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Yolanda Gallegos Canales.</w:t>
            </w:r>
          </w:p>
        </w:tc>
        <w:tc>
          <w:tcPr>
            <w:tcW w:w="0" w:type="auto"/>
            <w:tcBorders>
              <w:top w:val="nil"/>
              <w:left w:val="nil"/>
              <w:bottom w:val="single" w:sz="4" w:space="0" w:color="auto"/>
              <w:right w:val="single" w:sz="4" w:space="0" w:color="auto"/>
            </w:tcBorders>
            <w:shd w:val="clear" w:color="auto" w:fill="auto"/>
            <w:vAlign w:val="center"/>
            <w:hideMark/>
          </w:tcPr>
          <w:p w14:paraId="25CDEF5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6372CFFF" w14:textId="77777777" w:rsidTr="008B7C11">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8935D5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166</w:t>
            </w:r>
          </w:p>
        </w:tc>
        <w:tc>
          <w:tcPr>
            <w:tcW w:w="0" w:type="auto"/>
            <w:tcBorders>
              <w:top w:val="nil"/>
              <w:left w:val="nil"/>
              <w:bottom w:val="single" w:sz="4" w:space="0" w:color="auto"/>
              <w:right w:val="single" w:sz="4" w:space="0" w:color="auto"/>
            </w:tcBorders>
            <w:shd w:val="clear" w:color="auto" w:fill="auto"/>
            <w:vAlign w:val="center"/>
            <w:hideMark/>
          </w:tcPr>
          <w:p w14:paraId="387032B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4355553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P-320-CA</w:t>
            </w:r>
          </w:p>
        </w:tc>
        <w:tc>
          <w:tcPr>
            <w:tcW w:w="0" w:type="auto"/>
            <w:tcBorders>
              <w:top w:val="nil"/>
              <w:left w:val="nil"/>
              <w:bottom w:val="single" w:sz="4" w:space="0" w:color="auto"/>
              <w:right w:val="single" w:sz="4" w:space="0" w:color="auto"/>
            </w:tcBorders>
            <w:shd w:val="clear" w:color="auto" w:fill="auto"/>
            <w:vAlign w:val="center"/>
            <w:hideMark/>
          </w:tcPr>
          <w:p w14:paraId="3BB3F40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11.789</w:t>
            </w:r>
          </w:p>
        </w:tc>
        <w:tc>
          <w:tcPr>
            <w:tcW w:w="0" w:type="auto"/>
            <w:tcBorders>
              <w:top w:val="nil"/>
              <w:left w:val="nil"/>
              <w:bottom w:val="single" w:sz="4" w:space="0" w:color="auto"/>
              <w:right w:val="single" w:sz="4" w:space="0" w:color="auto"/>
            </w:tcBorders>
            <w:shd w:val="clear" w:color="auto" w:fill="auto"/>
            <w:vAlign w:val="center"/>
            <w:hideMark/>
          </w:tcPr>
          <w:p w14:paraId="01A69056"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CA</w:t>
            </w:r>
          </w:p>
        </w:tc>
        <w:tc>
          <w:tcPr>
            <w:tcW w:w="0" w:type="auto"/>
            <w:tcBorders>
              <w:top w:val="nil"/>
              <w:left w:val="nil"/>
              <w:bottom w:val="single" w:sz="4" w:space="0" w:color="auto"/>
              <w:right w:val="single" w:sz="4" w:space="0" w:color="auto"/>
            </w:tcBorders>
            <w:shd w:val="clear" w:color="auto" w:fill="auto"/>
            <w:vAlign w:val="center"/>
            <w:hideMark/>
          </w:tcPr>
          <w:p w14:paraId="6DFBDF26"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Peter David Cárdenas Schulte.</w:t>
            </w:r>
          </w:p>
        </w:tc>
        <w:tc>
          <w:tcPr>
            <w:tcW w:w="0" w:type="auto"/>
            <w:tcBorders>
              <w:top w:val="nil"/>
              <w:left w:val="nil"/>
              <w:bottom w:val="single" w:sz="4" w:space="0" w:color="auto"/>
              <w:right w:val="single" w:sz="4" w:space="0" w:color="auto"/>
            </w:tcBorders>
            <w:shd w:val="clear" w:color="auto" w:fill="auto"/>
            <w:vAlign w:val="center"/>
            <w:hideMark/>
          </w:tcPr>
          <w:p w14:paraId="72AC9F9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2E424646"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A264B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167</w:t>
            </w:r>
          </w:p>
        </w:tc>
        <w:tc>
          <w:tcPr>
            <w:tcW w:w="0" w:type="auto"/>
            <w:tcBorders>
              <w:top w:val="nil"/>
              <w:left w:val="nil"/>
              <w:bottom w:val="single" w:sz="4" w:space="0" w:color="auto"/>
              <w:right w:val="single" w:sz="4" w:space="0" w:color="auto"/>
            </w:tcBorders>
            <w:shd w:val="clear" w:color="auto" w:fill="auto"/>
            <w:vAlign w:val="center"/>
            <w:hideMark/>
          </w:tcPr>
          <w:p w14:paraId="5EFFB792"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1332411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P-777-CA</w:t>
            </w:r>
          </w:p>
        </w:tc>
        <w:tc>
          <w:tcPr>
            <w:tcW w:w="0" w:type="auto"/>
            <w:tcBorders>
              <w:top w:val="nil"/>
              <w:left w:val="nil"/>
              <w:bottom w:val="single" w:sz="4" w:space="0" w:color="auto"/>
              <w:right w:val="single" w:sz="4" w:space="0" w:color="auto"/>
            </w:tcBorders>
            <w:shd w:val="clear" w:color="auto" w:fill="auto"/>
            <w:vAlign w:val="center"/>
            <w:hideMark/>
          </w:tcPr>
          <w:p w14:paraId="09F8F70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11.167</w:t>
            </w:r>
          </w:p>
        </w:tc>
        <w:tc>
          <w:tcPr>
            <w:tcW w:w="0" w:type="auto"/>
            <w:tcBorders>
              <w:top w:val="nil"/>
              <w:left w:val="nil"/>
              <w:bottom w:val="single" w:sz="4" w:space="0" w:color="auto"/>
              <w:right w:val="single" w:sz="4" w:space="0" w:color="auto"/>
            </w:tcBorders>
            <w:shd w:val="clear" w:color="auto" w:fill="auto"/>
            <w:vAlign w:val="center"/>
            <w:hideMark/>
          </w:tcPr>
          <w:p w14:paraId="2F29032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CA</w:t>
            </w:r>
          </w:p>
        </w:tc>
        <w:tc>
          <w:tcPr>
            <w:tcW w:w="0" w:type="auto"/>
            <w:tcBorders>
              <w:top w:val="nil"/>
              <w:left w:val="nil"/>
              <w:bottom w:val="single" w:sz="4" w:space="0" w:color="auto"/>
              <w:right w:val="single" w:sz="4" w:space="0" w:color="auto"/>
            </w:tcBorders>
            <w:shd w:val="clear" w:color="auto" w:fill="auto"/>
            <w:vAlign w:val="center"/>
            <w:hideMark/>
          </w:tcPr>
          <w:p w14:paraId="536A0F69"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 Francisco Xavier Morales Zapata.</w:t>
            </w:r>
          </w:p>
        </w:tc>
        <w:tc>
          <w:tcPr>
            <w:tcW w:w="0" w:type="auto"/>
            <w:tcBorders>
              <w:top w:val="nil"/>
              <w:left w:val="nil"/>
              <w:bottom w:val="single" w:sz="4" w:space="0" w:color="auto"/>
              <w:right w:val="single" w:sz="4" w:space="0" w:color="auto"/>
            </w:tcBorders>
            <w:shd w:val="clear" w:color="auto" w:fill="auto"/>
            <w:vAlign w:val="center"/>
            <w:hideMark/>
          </w:tcPr>
          <w:p w14:paraId="26DE03B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6B986E71" w14:textId="77777777" w:rsidTr="008B7C1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8EB26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168</w:t>
            </w:r>
          </w:p>
        </w:tc>
        <w:tc>
          <w:tcPr>
            <w:tcW w:w="0" w:type="auto"/>
            <w:tcBorders>
              <w:top w:val="nil"/>
              <w:left w:val="nil"/>
              <w:bottom w:val="single" w:sz="4" w:space="0" w:color="auto"/>
              <w:right w:val="single" w:sz="4" w:space="0" w:color="auto"/>
            </w:tcBorders>
            <w:shd w:val="clear" w:color="auto" w:fill="auto"/>
            <w:vAlign w:val="center"/>
            <w:hideMark/>
          </w:tcPr>
          <w:p w14:paraId="605E5A5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1EBC249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P-782-CA</w:t>
            </w:r>
          </w:p>
        </w:tc>
        <w:tc>
          <w:tcPr>
            <w:tcW w:w="0" w:type="auto"/>
            <w:tcBorders>
              <w:top w:val="nil"/>
              <w:left w:val="nil"/>
              <w:bottom w:val="single" w:sz="4" w:space="0" w:color="auto"/>
              <w:right w:val="single" w:sz="4" w:space="0" w:color="auto"/>
            </w:tcBorders>
            <w:shd w:val="clear" w:color="auto" w:fill="auto"/>
            <w:vAlign w:val="center"/>
            <w:hideMark/>
          </w:tcPr>
          <w:p w14:paraId="32D50AD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11.188</w:t>
            </w:r>
          </w:p>
        </w:tc>
        <w:tc>
          <w:tcPr>
            <w:tcW w:w="0" w:type="auto"/>
            <w:tcBorders>
              <w:top w:val="nil"/>
              <w:left w:val="nil"/>
              <w:bottom w:val="single" w:sz="4" w:space="0" w:color="auto"/>
              <w:right w:val="single" w:sz="4" w:space="0" w:color="auto"/>
            </w:tcBorders>
            <w:shd w:val="clear" w:color="auto" w:fill="auto"/>
            <w:vAlign w:val="center"/>
            <w:hideMark/>
          </w:tcPr>
          <w:p w14:paraId="320E1E0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CA</w:t>
            </w:r>
          </w:p>
        </w:tc>
        <w:tc>
          <w:tcPr>
            <w:tcW w:w="0" w:type="auto"/>
            <w:tcBorders>
              <w:top w:val="nil"/>
              <w:left w:val="nil"/>
              <w:bottom w:val="single" w:sz="4" w:space="0" w:color="auto"/>
              <w:right w:val="single" w:sz="4" w:space="0" w:color="auto"/>
            </w:tcBorders>
            <w:shd w:val="clear" w:color="auto" w:fill="auto"/>
            <w:vAlign w:val="center"/>
            <w:hideMark/>
          </w:tcPr>
          <w:p w14:paraId="62A36575" w14:textId="5631DF58" w:rsidR="007425A1" w:rsidRPr="003F238D" w:rsidRDefault="007425A1" w:rsidP="008B7C11">
            <w:pPr>
              <w:rPr>
                <w:rFonts w:ascii="Cambria" w:hAnsi="Cambria" w:cs="Calibri"/>
                <w:color w:val="000000"/>
                <w:sz w:val="20"/>
                <w:szCs w:val="20"/>
                <w:lang w:val="es-US"/>
              </w:rPr>
            </w:pPr>
            <w:r w:rsidRPr="003F238D">
              <w:rPr>
                <w:rFonts w:ascii="Cambria" w:hAnsi="Cambria" w:cs="Calibri"/>
                <w:color w:val="000000"/>
                <w:sz w:val="20"/>
                <w:szCs w:val="20"/>
                <w:lang w:val="es-US"/>
              </w:rPr>
              <w:t xml:space="preserve"> Juan Jesus Pecho Arias </w:t>
            </w:r>
            <w:r w:rsidR="0057284E" w:rsidRPr="003F238D">
              <w:rPr>
                <w:rFonts w:ascii="Cambria" w:hAnsi="Cambria" w:cs="Calibri"/>
                <w:color w:val="000000"/>
                <w:sz w:val="20"/>
                <w:szCs w:val="20"/>
                <w:lang w:val="es-US"/>
              </w:rPr>
              <w:t xml:space="preserve">et al. </w:t>
            </w:r>
            <w:r w:rsidRPr="003F238D">
              <w:rPr>
                <w:rFonts w:ascii="Cambria" w:hAnsi="Cambria" w:cs="Calibri"/>
                <w:color w:val="000000"/>
                <w:sz w:val="20"/>
                <w:szCs w:val="20"/>
                <w:lang w:val="es-US"/>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1783510" w14:textId="77777777" w:rsidR="007425A1" w:rsidRPr="00524435" w:rsidRDefault="007425A1" w:rsidP="008B7C11">
            <w:pPr>
              <w:jc w:val="center"/>
              <w:rPr>
                <w:rFonts w:ascii="Cambria" w:hAnsi="Cambria" w:cs="Calibri"/>
                <w:color w:val="000000"/>
                <w:sz w:val="20"/>
                <w:szCs w:val="20"/>
              </w:rPr>
            </w:pPr>
            <w:r w:rsidRPr="003F238D">
              <w:rPr>
                <w:rFonts w:ascii="Cambria" w:hAnsi="Cambria" w:cs="Calibri"/>
                <w:color w:val="000000"/>
                <w:sz w:val="20"/>
                <w:szCs w:val="20"/>
                <w:lang w:val="es-US"/>
              </w:rPr>
              <w:br/>
            </w:r>
            <w:r w:rsidRPr="00524435">
              <w:rPr>
                <w:rFonts w:ascii="Cambria" w:hAnsi="Cambria" w:cs="Calibri"/>
                <w:i/>
                <w:iCs/>
                <w:color w:val="000000"/>
                <w:sz w:val="20"/>
                <w:szCs w:val="20"/>
              </w:rPr>
              <w:t>Merit</w:t>
            </w:r>
          </w:p>
        </w:tc>
      </w:tr>
      <w:tr w:rsidR="007425A1" w:rsidRPr="00524435" w14:paraId="20B7E379" w14:textId="77777777" w:rsidTr="008B7C11">
        <w:trPr>
          <w:trHeight w:val="1106"/>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1D1D7C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169</w:t>
            </w:r>
          </w:p>
        </w:tc>
        <w:tc>
          <w:tcPr>
            <w:tcW w:w="0" w:type="auto"/>
            <w:tcBorders>
              <w:top w:val="nil"/>
              <w:left w:val="nil"/>
              <w:bottom w:val="single" w:sz="4" w:space="0" w:color="auto"/>
              <w:right w:val="single" w:sz="4" w:space="0" w:color="auto"/>
            </w:tcBorders>
            <w:shd w:val="clear" w:color="auto" w:fill="auto"/>
            <w:hideMark/>
          </w:tcPr>
          <w:p w14:paraId="7A4F57A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t>DOMINICAN REPUBLIC</w:t>
            </w:r>
          </w:p>
        </w:tc>
        <w:tc>
          <w:tcPr>
            <w:tcW w:w="0" w:type="auto"/>
            <w:tcBorders>
              <w:top w:val="nil"/>
              <w:left w:val="nil"/>
              <w:bottom w:val="single" w:sz="4" w:space="0" w:color="auto"/>
              <w:right w:val="single" w:sz="4" w:space="0" w:color="auto"/>
            </w:tcBorders>
            <w:shd w:val="clear" w:color="auto" w:fill="auto"/>
            <w:vAlign w:val="center"/>
            <w:hideMark/>
          </w:tcPr>
          <w:p w14:paraId="50E1F576"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P-2211-13</w:t>
            </w:r>
          </w:p>
        </w:tc>
        <w:tc>
          <w:tcPr>
            <w:tcW w:w="0" w:type="auto"/>
            <w:tcBorders>
              <w:top w:val="nil"/>
              <w:left w:val="nil"/>
              <w:bottom w:val="single" w:sz="4" w:space="0" w:color="auto"/>
              <w:right w:val="single" w:sz="4" w:space="0" w:color="auto"/>
            </w:tcBorders>
            <w:shd w:val="clear" w:color="auto" w:fill="auto"/>
            <w:vAlign w:val="center"/>
            <w:hideMark/>
          </w:tcPr>
          <w:p w14:paraId="0792836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13.657</w:t>
            </w:r>
          </w:p>
        </w:tc>
        <w:tc>
          <w:tcPr>
            <w:tcW w:w="0" w:type="auto"/>
            <w:tcBorders>
              <w:top w:val="nil"/>
              <w:left w:val="nil"/>
              <w:bottom w:val="single" w:sz="4" w:space="0" w:color="auto"/>
              <w:right w:val="single" w:sz="4" w:space="0" w:color="auto"/>
            </w:tcBorders>
            <w:shd w:val="clear" w:color="auto" w:fill="auto"/>
            <w:vAlign w:val="center"/>
            <w:hideMark/>
          </w:tcPr>
          <w:p w14:paraId="1AC8414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0F7D8E2D" w14:textId="77777777" w:rsidR="007425A1" w:rsidRPr="00524435" w:rsidRDefault="007425A1" w:rsidP="008B7C11">
            <w:pPr>
              <w:rPr>
                <w:rFonts w:ascii="Cambria" w:hAnsi="Cambria" w:cs="Calibri"/>
                <w:color w:val="000000"/>
                <w:sz w:val="20"/>
                <w:szCs w:val="20"/>
              </w:rPr>
            </w:pPr>
            <w:proofErr w:type="spellStart"/>
            <w:r w:rsidRPr="00524435">
              <w:rPr>
                <w:rFonts w:ascii="Cambria" w:hAnsi="Cambria" w:cs="Calibri"/>
                <w:color w:val="000000"/>
                <w:sz w:val="20"/>
                <w:szCs w:val="20"/>
              </w:rPr>
              <w:t>Plácida</w:t>
            </w:r>
            <w:proofErr w:type="spellEnd"/>
            <w:r w:rsidRPr="00524435">
              <w:rPr>
                <w:rFonts w:ascii="Cambria" w:hAnsi="Cambria" w:cs="Calibri"/>
                <w:color w:val="000000"/>
                <w:sz w:val="20"/>
                <w:szCs w:val="20"/>
              </w:rPr>
              <w:t xml:space="preserve"> </w:t>
            </w:r>
            <w:proofErr w:type="spellStart"/>
            <w:r w:rsidRPr="00524435">
              <w:rPr>
                <w:rFonts w:ascii="Cambria" w:hAnsi="Cambria" w:cs="Calibri"/>
                <w:color w:val="000000"/>
                <w:sz w:val="20"/>
                <w:szCs w:val="20"/>
              </w:rPr>
              <w:t>Marte</w:t>
            </w:r>
            <w:proofErr w:type="spellEnd"/>
            <w:r w:rsidRPr="00524435">
              <w:rPr>
                <w:rFonts w:ascii="Cambria" w:hAnsi="Cambria" w:cs="Calibri"/>
                <w:color w:val="000000"/>
                <w:sz w:val="20"/>
                <w:szCs w:val="20"/>
              </w:rPr>
              <w:t xml:space="preserve"> Mora.</w:t>
            </w:r>
          </w:p>
        </w:tc>
        <w:tc>
          <w:tcPr>
            <w:tcW w:w="0" w:type="auto"/>
            <w:tcBorders>
              <w:top w:val="nil"/>
              <w:left w:val="nil"/>
              <w:bottom w:val="single" w:sz="4" w:space="0" w:color="auto"/>
              <w:right w:val="single" w:sz="4" w:space="0" w:color="auto"/>
            </w:tcBorders>
            <w:shd w:val="clear" w:color="auto" w:fill="auto"/>
            <w:vAlign w:val="center"/>
            <w:hideMark/>
          </w:tcPr>
          <w:p w14:paraId="5EC4031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34B51CC1" w14:textId="77777777" w:rsidTr="008B7C11">
        <w:trPr>
          <w:trHeight w:val="11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9E696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170</w:t>
            </w:r>
          </w:p>
        </w:tc>
        <w:tc>
          <w:tcPr>
            <w:tcW w:w="0" w:type="auto"/>
            <w:tcBorders>
              <w:top w:val="nil"/>
              <w:left w:val="nil"/>
              <w:bottom w:val="single" w:sz="4" w:space="0" w:color="auto"/>
              <w:right w:val="single" w:sz="4" w:space="0" w:color="auto"/>
            </w:tcBorders>
            <w:shd w:val="clear" w:color="auto" w:fill="auto"/>
            <w:vAlign w:val="center"/>
            <w:hideMark/>
          </w:tcPr>
          <w:p w14:paraId="5D3F7DF2"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SURINAME</w:t>
            </w:r>
          </w:p>
        </w:tc>
        <w:tc>
          <w:tcPr>
            <w:tcW w:w="0" w:type="auto"/>
            <w:tcBorders>
              <w:top w:val="nil"/>
              <w:left w:val="nil"/>
              <w:bottom w:val="single" w:sz="4" w:space="0" w:color="auto"/>
              <w:right w:val="single" w:sz="4" w:space="0" w:color="auto"/>
            </w:tcBorders>
            <w:shd w:val="clear" w:color="auto" w:fill="auto"/>
            <w:vAlign w:val="center"/>
            <w:hideMark/>
          </w:tcPr>
          <w:p w14:paraId="67CF96B6"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P-490-06</w:t>
            </w:r>
          </w:p>
        </w:tc>
        <w:tc>
          <w:tcPr>
            <w:tcW w:w="0" w:type="auto"/>
            <w:tcBorders>
              <w:top w:val="nil"/>
              <w:left w:val="nil"/>
              <w:bottom w:val="single" w:sz="4" w:space="0" w:color="auto"/>
              <w:right w:val="single" w:sz="4" w:space="0" w:color="auto"/>
            </w:tcBorders>
            <w:shd w:val="clear" w:color="auto" w:fill="auto"/>
            <w:vAlign w:val="center"/>
            <w:hideMark/>
          </w:tcPr>
          <w:p w14:paraId="21D5B03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13.306</w:t>
            </w:r>
          </w:p>
        </w:tc>
        <w:tc>
          <w:tcPr>
            <w:tcW w:w="0" w:type="auto"/>
            <w:tcBorders>
              <w:top w:val="nil"/>
              <w:left w:val="nil"/>
              <w:bottom w:val="single" w:sz="4" w:space="0" w:color="auto"/>
              <w:right w:val="single" w:sz="4" w:space="0" w:color="auto"/>
            </w:tcBorders>
            <w:shd w:val="clear" w:color="auto" w:fill="auto"/>
            <w:vAlign w:val="center"/>
            <w:hideMark/>
          </w:tcPr>
          <w:p w14:paraId="1DD6F21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5A13608F" w14:textId="77777777" w:rsidR="007425A1" w:rsidRPr="00DF0CD0" w:rsidRDefault="007425A1" w:rsidP="008B7C11">
            <w:pPr>
              <w:rPr>
                <w:rFonts w:ascii="Cambria" w:hAnsi="Cambria" w:cs="Calibri"/>
                <w:color w:val="000000"/>
                <w:sz w:val="20"/>
                <w:szCs w:val="20"/>
                <w:lang w:val="fr-CA"/>
              </w:rPr>
            </w:pPr>
            <w:proofErr w:type="spellStart"/>
            <w:r w:rsidRPr="00DF0CD0">
              <w:rPr>
                <w:rFonts w:ascii="Cambria" w:hAnsi="Cambria" w:cs="Calibri"/>
                <w:color w:val="000000"/>
                <w:sz w:val="20"/>
                <w:szCs w:val="20"/>
                <w:lang w:val="fr-CA"/>
              </w:rPr>
              <w:t>Celeste</w:t>
            </w:r>
            <w:proofErr w:type="spellEnd"/>
            <w:r w:rsidRPr="00DF0CD0">
              <w:rPr>
                <w:rFonts w:ascii="Cambria" w:hAnsi="Cambria" w:cs="Calibri"/>
                <w:color w:val="000000"/>
                <w:sz w:val="20"/>
                <w:szCs w:val="20"/>
                <w:lang w:val="fr-CA"/>
              </w:rPr>
              <w:t xml:space="preserve"> Florine </w:t>
            </w:r>
            <w:proofErr w:type="spellStart"/>
            <w:r w:rsidRPr="00DF0CD0">
              <w:rPr>
                <w:rFonts w:ascii="Cambria" w:hAnsi="Cambria" w:cs="Calibri"/>
                <w:color w:val="000000"/>
                <w:sz w:val="20"/>
                <w:szCs w:val="20"/>
                <w:lang w:val="fr-CA"/>
              </w:rPr>
              <w:t>Samuels</w:t>
            </w:r>
            <w:proofErr w:type="spellEnd"/>
            <w:r w:rsidRPr="00DF0CD0">
              <w:rPr>
                <w:rFonts w:ascii="Cambria" w:hAnsi="Cambria" w:cs="Calibri"/>
                <w:color w:val="000000"/>
                <w:sz w:val="20"/>
                <w:szCs w:val="20"/>
                <w:lang w:val="fr-CA"/>
              </w:rPr>
              <w:t xml:space="preserve">, Denny Ronald </w:t>
            </w:r>
            <w:proofErr w:type="spellStart"/>
            <w:r w:rsidRPr="00DF0CD0">
              <w:rPr>
                <w:rFonts w:ascii="Cambria" w:hAnsi="Cambria" w:cs="Calibri"/>
                <w:color w:val="000000"/>
                <w:sz w:val="20"/>
                <w:szCs w:val="20"/>
                <w:lang w:val="fr-CA"/>
              </w:rPr>
              <w:t>Pajé</w:t>
            </w:r>
            <w:proofErr w:type="spellEnd"/>
            <w:r w:rsidRPr="00DF0CD0">
              <w:rPr>
                <w:rFonts w:ascii="Cambria" w:hAnsi="Cambria" w:cs="Calibri"/>
                <w:color w:val="000000"/>
                <w:sz w:val="20"/>
                <w:szCs w:val="20"/>
                <w:lang w:val="fr-CA"/>
              </w:rPr>
              <w:t xml:space="preserve"> Jr., </w:t>
            </w:r>
            <w:proofErr w:type="spellStart"/>
            <w:r w:rsidRPr="00DF0CD0">
              <w:rPr>
                <w:rFonts w:ascii="Cambria" w:hAnsi="Cambria" w:cs="Calibri"/>
                <w:color w:val="000000"/>
                <w:sz w:val="20"/>
                <w:szCs w:val="20"/>
                <w:lang w:val="fr-CA"/>
              </w:rPr>
              <w:t>Gracielle</w:t>
            </w:r>
            <w:proofErr w:type="spellEnd"/>
            <w:r w:rsidRPr="00DF0CD0">
              <w:rPr>
                <w:rFonts w:ascii="Cambria" w:hAnsi="Cambria" w:cs="Calibri"/>
                <w:color w:val="000000"/>
                <w:sz w:val="20"/>
                <w:szCs w:val="20"/>
                <w:lang w:val="fr-CA"/>
              </w:rPr>
              <w:t xml:space="preserve"> Dulcine </w:t>
            </w:r>
            <w:proofErr w:type="spellStart"/>
            <w:r w:rsidRPr="00DF0CD0">
              <w:rPr>
                <w:rFonts w:ascii="Cambria" w:hAnsi="Cambria" w:cs="Calibri"/>
                <w:color w:val="000000"/>
                <w:sz w:val="20"/>
                <w:szCs w:val="20"/>
                <w:lang w:val="fr-CA"/>
              </w:rPr>
              <w:t>Pajé</w:t>
            </w:r>
            <w:proofErr w:type="spellEnd"/>
            <w:r w:rsidRPr="00DF0CD0">
              <w:rPr>
                <w:rFonts w:ascii="Cambria" w:hAnsi="Cambria" w:cs="Calibri"/>
                <w:color w:val="000000"/>
                <w:sz w:val="20"/>
                <w:szCs w:val="20"/>
                <w:lang w:val="fr-CA"/>
              </w:rPr>
              <w:t xml:space="preserve">, Renzo </w:t>
            </w:r>
            <w:proofErr w:type="spellStart"/>
            <w:r w:rsidRPr="00DF0CD0">
              <w:rPr>
                <w:rFonts w:ascii="Cambria" w:hAnsi="Cambria" w:cs="Calibri"/>
                <w:color w:val="000000"/>
                <w:sz w:val="20"/>
                <w:szCs w:val="20"/>
                <w:lang w:val="fr-CA"/>
              </w:rPr>
              <w:t>Cario</w:t>
            </w:r>
            <w:proofErr w:type="spellEnd"/>
            <w:r w:rsidRPr="00DF0CD0">
              <w:rPr>
                <w:rFonts w:ascii="Cambria" w:hAnsi="Cambria" w:cs="Calibri"/>
                <w:color w:val="000000"/>
                <w:sz w:val="20"/>
                <w:szCs w:val="20"/>
                <w:lang w:val="fr-CA"/>
              </w:rPr>
              <w:t xml:space="preserve"> </w:t>
            </w:r>
            <w:proofErr w:type="spellStart"/>
            <w:r w:rsidRPr="00DF0CD0">
              <w:rPr>
                <w:rFonts w:ascii="Cambria" w:hAnsi="Cambria" w:cs="Calibri"/>
                <w:color w:val="000000"/>
                <w:sz w:val="20"/>
                <w:szCs w:val="20"/>
                <w:lang w:val="fr-CA"/>
              </w:rPr>
              <w:t>Samuels</w:t>
            </w:r>
            <w:proofErr w:type="spellEnd"/>
            <w:r w:rsidRPr="00DF0CD0">
              <w:rPr>
                <w:rFonts w:ascii="Cambria" w:hAnsi="Cambria" w:cs="Calibri"/>
                <w:color w:val="000000"/>
                <w:sz w:val="20"/>
                <w:szCs w:val="20"/>
                <w:lang w:val="fr-CA"/>
              </w:rPr>
              <w:t>.</w:t>
            </w:r>
          </w:p>
        </w:tc>
        <w:tc>
          <w:tcPr>
            <w:tcW w:w="0" w:type="auto"/>
            <w:tcBorders>
              <w:top w:val="nil"/>
              <w:left w:val="nil"/>
              <w:bottom w:val="single" w:sz="4" w:space="0" w:color="auto"/>
              <w:right w:val="single" w:sz="4" w:space="0" w:color="auto"/>
            </w:tcBorders>
            <w:shd w:val="clear" w:color="auto" w:fill="auto"/>
            <w:vAlign w:val="center"/>
            <w:hideMark/>
          </w:tcPr>
          <w:p w14:paraId="346C2ADD" w14:textId="77777777" w:rsidR="007425A1" w:rsidRPr="00524435" w:rsidRDefault="007425A1" w:rsidP="008B7C11">
            <w:pPr>
              <w:jc w:val="center"/>
              <w:rPr>
                <w:rFonts w:ascii="Cambria" w:hAnsi="Cambria" w:cs="Calibri"/>
                <w:color w:val="000000"/>
                <w:sz w:val="20"/>
                <w:szCs w:val="20"/>
              </w:rPr>
            </w:pPr>
            <w:r w:rsidRPr="00DF0CD0">
              <w:rPr>
                <w:rFonts w:ascii="Cambria" w:hAnsi="Cambria" w:cs="Calibri"/>
                <w:color w:val="000000"/>
                <w:sz w:val="20"/>
                <w:szCs w:val="20"/>
                <w:lang w:val="fr-CA"/>
              </w:rPr>
              <w:br/>
            </w:r>
            <w:r w:rsidRPr="00524435">
              <w:rPr>
                <w:rFonts w:ascii="Cambria" w:hAnsi="Cambria" w:cs="Calibri"/>
                <w:i/>
                <w:iCs/>
                <w:color w:val="000000"/>
                <w:sz w:val="20"/>
                <w:szCs w:val="20"/>
              </w:rPr>
              <w:t>Merit</w:t>
            </w:r>
          </w:p>
        </w:tc>
      </w:tr>
      <w:tr w:rsidR="007425A1" w:rsidRPr="00524435" w14:paraId="43EF71CD"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1CE1F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171</w:t>
            </w:r>
          </w:p>
        </w:tc>
        <w:tc>
          <w:tcPr>
            <w:tcW w:w="0" w:type="auto"/>
            <w:tcBorders>
              <w:top w:val="nil"/>
              <w:left w:val="nil"/>
              <w:bottom w:val="single" w:sz="4" w:space="0" w:color="auto"/>
              <w:right w:val="single" w:sz="4" w:space="0" w:color="auto"/>
            </w:tcBorders>
            <w:shd w:val="clear" w:color="auto" w:fill="auto"/>
            <w:vAlign w:val="center"/>
            <w:hideMark/>
          </w:tcPr>
          <w:p w14:paraId="2616AAD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SURINAME</w:t>
            </w:r>
          </w:p>
        </w:tc>
        <w:tc>
          <w:tcPr>
            <w:tcW w:w="0" w:type="auto"/>
            <w:tcBorders>
              <w:top w:val="nil"/>
              <w:left w:val="nil"/>
              <w:bottom w:val="single" w:sz="4" w:space="0" w:color="auto"/>
              <w:right w:val="single" w:sz="4" w:space="0" w:color="auto"/>
            </w:tcBorders>
            <w:shd w:val="clear" w:color="auto" w:fill="auto"/>
            <w:vAlign w:val="center"/>
            <w:hideMark/>
          </w:tcPr>
          <w:p w14:paraId="4EA58EB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P-214-08</w:t>
            </w:r>
          </w:p>
        </w:tc>
        <w:tc>
          <w:tcPr>
            <w:tcW w:w="0" w:type="auto"/>
            <w:tcBorders>
              <w:top w:val="nil"/>
              <w:left w:val="nil"/>
              <w:bottom w:val="single" w:sz="4" w:space="0" w:color="auto"/>
              <w:right w:val="single" w:sz="4" w:space="0" w:color="auto"/>
            </w:tcBorders>
            <w:shd w:val="clear" w:color="auto" w:fill="auto"/>
            <w:vAlign w:val="center"/>
            <w:hideMark/>
          </w:tcPr>
          <w:p w14:paraId="4061DA2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12.748</w:t>
            </w:r>
          </w:p>
        </w:tc>
        <w:tc>
          <w:tcPr>
            <w:tcW w:w="0" w:type="auto"/>
            <w:tcBorders>
              <w:top w:val="nil"/>
              <w:left w:val="nil"/>
              <w:bottom w:val="single" w:sz="4" w:space="0" w:color="auto"/>
              <w:right w:val="single" w:sz="4" w:space="0" w:color="auto"/>
            </w:tcBorders>
            <w:shd w:val="clear" w:color="auto" w:fill="auto"/>
            <w:vAlign w:val="center"/>
            <w:hideMark/>
          </w:tcPr>
          <w:p w14:paraId="04FBD14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4B9978D3" w14:textId="77777777" w:rsidR="007425A1" w:rsidRPr="00524435" w:rsidRDefault="007425A1" w:rsidP="008B7C11">
            <w:pPr>
              <w:rPr>
                <w:rFonts w:ascii="Cambria" w:hAnsi="Cambria" w:cs="Calibri"/>
                <w:color w:val="000000"/>
                <w:sz w:val="20"/>
                <w:szCs w:val="20"/>
              </w:rPr>
            </w:pPr>
            <w:proofErr w:type="spellStart"/>
            <w:r w:rsidRPr="00524435">
              <w:rPr>
                <w:rFonts w:ascii="Cambria" w:hAnsi="Cambria" w:cs="Calibri"/>
                <w:color w:val="000000"/>
                <w:sz w:val="20"/>
                <w:szCs w:val="20"/>
              </w:rPr>
              <w:t>Koempai</w:t>
            </w:r>
            <w:proofErr w:type="spellEnd"/>
            <w:r w:rsidRPr="00524435">
              <w:rPr>
                <w:rFonts w:ascii="Cambria" w:hAnsi="Cambria" w:cs="Calibri"/>
                <w:color w:val="000000"/>
                <w:sz w:val="20"/>
                <w:szCs w:val="20"/>
              </w:rPr>
              <w:t xml:space="preserve"> et al..</w:t>
            </w:r>
          </w:p>
        </w:tc>
        <w:tc>
          <w:tcPr>
            <w:tcW w:w="0" w:type="auto"/>
            <w:tcBorders>
              <w:top w:val="nil"/>
              <w:left w:val="nil"/>
              <w:bottom w:val="single" w:sz="4" w:space="0" w:color="auto"/>
              <w:right w:val="single" w:sz="4" w:space="0" w:color="auto"/>
            </w:tcBorders>
            <w:shd w:val="clear" w:color="auto" w:fill="auto"/>
            <w:vAlign w:val="center"/>
            <w:hideMark/>
          </w:tcPr>
          <w:p w14:paraId="59BD082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56D6896D" w14:textId="77777777" w:rsidTr="008B7C11">
        <w:trPr>
          <w:trHeight w:val="1088"/>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3ED9BF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172</w:t>
            </w:r>
          </w:p>
        </w:tc>
        <w:tc>
          <w:tcPr>
            <w:tcW w:w="0" w:type="auto"/>
            <w:tcBorders>
              <w:top w:val="nil"/>
              <w:left w:val="nil"/>
              <w:bottom w:val="single" w:sz="4" w:space="0" w:color="auto"/>
              <w:right w:val="single" w:sz="4" w:space="0" w:color="auto"/>
            </w:tcBorders>
            <w:shd w:val="clear" w:color="auto" w:fill="auto"/>
            <w:vAlign w:val="center"/>
            <w:hideMark/>
          </w:tcPr>
          <w:p w14:paraId="5D84378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TRINIDAD AND TOBAGO</w:t>
            </w:r>
          </w:p>
        </w:tc>
        <w:tc>
          <w:tcPr>
            <w:tcW w:w="0" w:type="auto"/>
            <w:tcBorders>
              <w:top w:val="nil"/>
              <w:left w:val="nil"/>
              <w:bottom w:val="single" w:sz="4" w:space="0" w:color="auto"/>
              <w:right w:val="single" w:sz="4" w:space="0" w:color="auto"/>
            </w:tcBorders>
            <w:shd w:val="clear" w:color="auto" w:fill="auto"/>
            <w:vAlign w:val="center"/>
            <w:hideMark/>
          </w:tcPr>
          <w:p w14:paraId="3454159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P-43-05</w:t>
            </w:r>
          </w:p>
        </w:tc>
        <w:tc>
          <w:tcPr>
            <w:tcW w:w="0" w:type="auto"/>
            <w:tcBorders>
              <w:top w:val="nil"/>
              <w:left w:val="nil"/>
              <w:bottom w:val="single" w:sz="4" w:space="0" w:color="auto"/>
              <w:right w:val="single" w:sz="4" w:space="0" w:color="auto"/>
            </w:tcBorders>
            <w:shd w:val="clear" w:color="auto" w:fill="auto"/>
            <w:vAlign w:val="center"/>
            <w:hideMark/>
          </w:tcPr>
          <w:p w14:paraId="18CDBF0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12.796</w:t>
            </w:r>
          </w:p>
        </w:tc>
        <w:tc>
          <w:tcPr>
            <w:tcW w:w="0" w:type="auto"/>
            <w:tcBorders>
              <w:top w:val="nil"/>
              <w:left w:val="nil"/>
              <w:bottom w:val="single" w:sz="4" w:space="0" w:color="auto"/>
              <w:right w:val="single" w:sz="4" w:space="0" w:color="auto"/>
            </w:tcBorders>
            <w:shd w:val="clear" w:color="auto" w:fill="auto"/>
            <w:vAlign w:val="center"/>
            <w:hideMark/>
          </w:tcPr>
          <w:p w14:paraId="2826B36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6FBD6F46"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Haroon Khan.</w:t>
            </w:r>
          </w:p>
        </w:tc>
        <w:tc>
          <w:tcPr>
            <w:tcW w:w="0" w:type="auto"/>
            <w:tcBorders>
              <w:top w:val="nil"/>
              <w:left w:val="nil"/>
              <w:bottom w:val="single" w:sz="4" w:space="0" w:color="auto"/>
              <w:right w:val="single" w:sz="4" w:space="0" w:color="auto"/>
            </w:tcBorders>
            <w:shd w:val="clear" w:color="000000" w:fill="FFFFFF"/>
            <w:vAlign w:val="center"/>
            <w:hideMark/>
          </w:tcPr>
          <w:p w14:paraId="5162D01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671DCF18" w14:textId="77777777" w:rsidTr="008B7C11">
        <w:trPr>
          <w:trHeight w:val="9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6310D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173</w:t>
            </w:r>
          </w:p>
        </w:tc>
        <w:tc>
          <w:tcPr>
            <w:tcW w:w="0" w:type="auto"/>
            <w:tcBorders>
              <w:top w:val="nil"/>
              <w:left w:val="nil"/>
              <w:bottom w:val="single" w:sz="4" w:space="0" w:color="auto"/>
              <w:right w:val="single" w:sz="4" w:space="0" w:color="auto"/>
            </w:tcBorders>
            <w:shd w:val="clear" w:color="auto" w:fill="auto"/>
            <w:vAlign w:val="center"/>
            <w:hideMark/>
          </w:tcPr>
          <w:p w14:paraId="1689AD5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TRINIDAD AND TOBAGO</w:t>
            </w:r>
          </w:p>
        </w:tc>
        <w:tc>
          <w:tcPr>
            <w:tcW w:w="0" w:type="auto"/>
            <w:tcBorders>
              <w:top w:val="nil"/>
              <w:left w:val="nil"/>
              <w:bottom w:val="single" w:sz="4" w:space="0" w:color="auto"/>
              <w:right w:val="single" w:sz="4" w:space="0" w:color="auto"/>
            </w:tcBorders>
            <w:shd w:val="clear" w:color="000000" w:fill="FFFFFF"/>
            <w:vAlign w:val="center"/>
            <w:hideMark/>
          </w:tcPr>
          <w:p w14:paraId="3ACBED7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P-364-09</w:t>
            </w:r>
          </w:p>
        </w:tc>
        <w:tc>
          <w:tcPr>
            <w:tcW w:w="0" w:type="auto"/>
            <w:tcBorders>
              <w:top w:val="nil"/>
              <w:left w:val="nil"/>
              <w:bottom w:val="single" w:sz="4" w:space="0" w:color="auto"/>
              <w:right w:val="single" w:sz="4" w:space="0" w:color="auto"/>
            </w:tcBorders>
            <w:shd w:val="clear" w:color="000000" w:fill="FFFFFF"/>
            <w:vAlign w:val="center"/>
            <w:hideMark/>
          </w:tcPr>
          <w:p w14:paraId="3C611E82"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13.115</w:t>
            </w:r>
          </w:p>
        </w:tc>
        <w:tc>
          <w:tcPr>
            <w:tcW w:w="0" w:type="auto"/>
            <w:tcBorders>
              <w:top w:val="nil"/>
              <w:left w:val="nil"/>
              <w:bottom w:val="single" w:sz="4" w:space="0" w:color="auto"/>
              <w:right w:val="single" w:sz="4" w:space="0" w:color="auto"/>
            </w:tcBorders>
            <w:shd w:val="clear" w:color="000000" w:fill="FFFFFF"/>
            <w:vAlign w:val="center"/>
            <w:hideMark/>
          </w:tcPr>
          <w:p w14:paraId="74DC30D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9</w:t>
            </w:r>
          </w:p>
        </w:tc>
        <w:tc>
          <w:tcPr>
            <w:tcW w:w="0" w:type="auto"/>
            <w:tcBorders>
              <w:top w:val="nil"/>
              <w:left w:val="nil"/>
              <w:bottom w:val="single" w:sz="4" w:space="0" w:color="auto"/>
              <w:right w:val="single" w:sz="4" w:space="0" w:color="auto"/>
            </w:tcBorders>
            <w:shd w:val="clear" w:color="000000" w:fill="FFFFFF"/>
            <w:vAlign w:val="center"/>
            <w:hideMark/>
          </w:tcPr>
          <w:p w14:paraId="3E4BDE70"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Ronald John.</w:t>
            </w:r>
          </w:p>
        </w:tc>
        <w:tc>
          <w:tcPr>
            <w:tcW w:w="0" w:type="auto"/>
            <w:tcBorders>
              <w:top w:val="nil"/>
              <w:left w:val="nil"/>
              <w:bottom w:val="single" w:sz="4" w:space="0" w:color="auto"/>
              <w:right w:val="single" w:sz="4" w:space="0" w:color="auto"/>
            </w:tcBorders>
            <w:shd w:val="clear" w:color="000000" w:fill="FFFFFF"/>
            <w:vAlign w:val="center"/>
            <w:hideMark/>
          </w:tcPr>
          <w:p w14:paraId="7FA1393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68C0D544" w14:textId="77777777" w:rsidTr="008B7C11">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D9EC852"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175</w:t>
            </w:r>
          </w:p>
        </w:tc>
        <w:tc>
          <w:tcPr>
            <w:tcW w:w="0" w:type="auto"/>
            <w:tcBorders>
              <w:top w:val="nil"/>
              <w:left w:val="nil"/>
              <w:bottom w:val="single" w:sz="4" w:space="0" w:color="auto"/>
              <w:right w:val="single" w:sz="4" w:space="0" w:color="auto"/>
            </w:tcBorders>
            <w:shd w:val="clear" w:color="auto" w:fill="auto"/>
            <w:vAlign w:val="center"/>
            <w:hideMark/>
          </w:tcPr>
          <w:p w14:paraId="4F77F49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VENEZUELA</w:t>
            </w:r>
          </w:p>
        </w:tc>
        <w:tc>
          <w:tcPr>
            <w:tcW w:w="0" w:type="auto"/>
            <w:tcBorders>
              <w:top w:val="nil"/>
              <w:left w:val="nil"/>
              <w:bottom w:val="single" w:sz="4" w:space="0" w:color="auto"/>
              <w:right w:val="single" w:sz="4" w:space="0" w:color="auto"/>
            </w:tcBorders>
            <w:shd w:val="clear" w:color="auto" w:fill="auto"/>
            <w:vAlign w:val="center"/>
            <w:hideMark/>
          </w:tcPr>
          <w:p w14:paraId="47F00A92"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P-2609-02</w:t>
            </w:r>
          </w:p>
        </w:tc>
        <w:tc>
          <w:tcPr>
            <w:tcW w:w="0" w:type="auto"/>
            <w:tcBorders>
              <w:top w:val="nil"/>
              <w:left w:val="nil"/>
              <w:bottom w:val="single" w:sz="4" w:space="0" w:color="auto"/>
              <w:right w:val="single" w:sz="4" w:space="0" w:color="auto"/>
            </w:tcBorders>
            <w:shd w:val="clear" w:color="auto" w:fill="auto"/>
            <w:vAlign w:val="center"/>
            <w:hideMark/>
          </w:tcPr>
          <w:p w14:paraId="5ED24D3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12.987</w:t>
            </w:r>
          </w:p>
        </w:tc>
        <w:tc>
          <w:tcPr>
            <w:tcW w:w="0" w:type="auto"/>
            <w:tcBorders>
              <w:top w:val="nil"/>
              <w:left w:val="nil"/>
              <w:bottom w:val="single" w:sz="4" w:space="0" w:color="auto"/>
              <w:right w:val="single" w:sz="4" w:space="0" w:color="auto"/>
            </w:tcBorders>
            <w:shd w:val="clear" w:color="auto" w:fill="auto"/>
            <w:vAlign w:val="center"/>
            <w:hideMark/>
          </w:tcPr>
          <w:p w14:paraId="44E93070"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40F42363" w14:textId="77777777" w:rsidR="007425A1" w:rsidRPr="00524435" w:rsidRDefault="007425A1" w:rsidP="008B7C11">
            <w:pPr>
              <w:rPr>
                <w:rFonts w:ascii="Cambria" w:hAnsi="Cambria" w:cs="Calibri"/>
                <w:color w:val="000000"/>
                <w:sz w:val="20"/>
                <w:szCs w:val="20"/>
              </w:rPr>
            </w:pPr>
            <w:proofErr w:type="spellStart"/>
            <w:r w:rsidRPr="00524435">
              <w:rPr>
                <w:rFonts w:ascii="Cambria" w:hAnsi="Cambria" w:cs="Calibri"/>
                <w:color w:val="000000"/>
                <w:sz w:val="20"/>
                <w:szCs w:val="20"/>
              </w:rPr>
              <w:t>Chacín</w:t>
            </w:r>
            <w:proofErr w:type="spellEnd"/>
            <w:r w:rsidRPr="00524435">
              <w:rPr>
                <w:rFonts w:ascii="Cambria" w:hAnsi="Cambria" w:cs="Calibri"/>
                <w:color w:val="000000"/>
                <w:sz w:val="20"/>
                <w:szCs w:val="20"/>
              </w:rPr>
              <w:t xml:space="preserve"> Richardt Family</w:t>
            </w:r>
          </w:p>
        </w:tc>
        <w:tc>
          <w:tcPr>
            <w:tcW w:w="0" w:type="auto"/>
            <w:tcBorders>
              <w:top w:val="nil"/>
              <w:left w:val="nil"/>
              <w:bottom w:val="single" w:sz="4" w:space="0" w:color="auto"/>
              <w:right w:val="single" w:sz="4" w:space="0" w:color="auto"/>
            </w:tcBorders>
            <w:shd w:val="clear" w:color="auto" w:fill="auto"/>
            <w:vAlign w:val="center"/>
            <w:hideMark/>
          </w:tcPr>
          <w:p w14:paraId="70FE599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405E74CE"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C28E02"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176</w:t>
            </w:r>
          </w:p>
        </w:tc>
        <w:tc>
          <w:tcPr>
            <w:tcW w:w="0" w:type="auto"/>
            <w:tcBorders>
              <w:top w:val="nil"/>
              <w:left w:val="nil"/>
              <w:bottom w:val="single" w:sz="4" w:space="0" w:color="auto"/>
              <w:right w:val="single" w:sz="4" w:space="0" w:color="auto"/>
            </w:tcBorders>
            <w:shd w:val="clear" w:color="auto" w:fill="auto"/>
            <w:vAlign w:val="center"/>
            <w:hideMark/>
          </w:tcPr>
          <w:p w14:paraId="6ACEC9A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VENEZUELA</w:t>
            </w:r>
          </w:p>
        </w:tc>
        <w:tc>
          <w:tcPr>
            <w:tcW w:w="0" w:type="auto"/>
            <w:tcBorders>
              <w:top w:val="nil"/>
              <w:left w:val="nil"/>
              <w:bottom w:val="single" w:sz="4" w:space="0" w:color="auto"/>
              <w:right w:val="single" w:sz="4" w:space="0" w:color="auto"/>
            </w:tcBorders>
            <w:shd w:val="clear" w:color="auto" w:fill="auto"/>
            <w:vAlign w:val="center"/>
            <w:hideMark/>
          </w:tcPr>
          <w:p w14:paraId="1A1BE1B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P-2611-02</w:t>
            </w:r>
          </w:p>
        </w:tc>
        <w:tc>
          <w:tcPr>
            <w:tcW w:w="0" w:type="auto"/>
            <w:tcBorders>
              <w:top w:val="nil"/>
              <w:left w:val="nil"/>
              <w:bottom w:val="single" w:sz="4" w:space="0" w:color="auto"/>
              <w:right w:val="single" w:sz="4" w:space="0" w:color="auto"/>
            </w:tcBorders>
            <w:shd w:val="clear" w:color="auto" w:fill="auto"/>
            <w:vAlign w:val="center"/>
            <w:hideMark/>
          </w:tcPr>
          <w:p w14:paraId="3AAF0AA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12.583</w:t>
            </w:r>
          </w:p>
        </w:tc>
        <w:tc>
          <w:tcPr>
            <w:tcW w:w="0" w:type="auto"/>
            <w:tcBorders>
              <w:top w:val="nil"/>
              <w:left w:val="nil"/>
              <w:bottom w:val="single" w:sz="4" w:space="0" w:color="auto"/>
              <w:right w:val="single" w:sz="4" w:space="0" w:color="auto"/>
            </w:tcBorders>
            <w:shd w:val="clear" w:color="auto" w:fill="auto"/>
            <w:vAlign w:val="center"/>
            <w:hideMark/>
          </w:tcPr>
          <w:p w14:paraId="6838E5C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69D43B8A"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Gerson </w:t>
            </w:r>
            <w:proofErr w:type="spellStart"/>
            <w:r w:rsidRPr="00524435">
              <w:rPr>
                <w:rFonts w:ascii="Cambria" w:hAnsi="Cambria" w:cs="Calibri"/>
                <w:color w:val="000000"/>
                <w:sz w:val="20"/>
                <w:szCs w:val="20"/>
              </w:rPr>
              <w:t>Revanales</w:t>
            </w:r>
            <w:proofErr w:type="spellEnd"/>
            <w:r w:rsidRPr="00524435">
              <w:rPr>
                <w:rFonts w:ascii="Cambria" w:hAnsi="Cambria" w:cs="Calibr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DFD101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5D3C9DCD"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B3DCC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177</w:t>
            </w:r>
          </w:p>
        </w:tc>
        <w:tc>
          <w:tcPr>
            <w:tcW w:w="0" w:type="auto"/>
            <w:tcBorders>
              <w:top w:val="nil"/>
              <w:left w:val="nil"/>
              <w:bottom w:val="single" w:sz="4" w:space="0" w:color="auto"/>
              <w:right w:val="single" w:sz="4" w:space="0" w:color="auto"/>
            </w:tcBorders>
            <w:shd w:val="clear" w:color="auto" w:fill="auto"/>
            <w:vAlign w:val="center"/>
            <w:hideMark/>
          </w:tcPr>
          <w:p w14:paraId="49288A6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VENEZUELA</w:t>
            </w:r>
          </w:p>
        </w:tc>
        <w:tc>
          <w:tcPr>
            <w:tcW w:w="0" w:type="auto"/>
            <w:tcBorders>
              <w:top w:val="nil"/>
              <w:left w:val="nil"/>
              <w:bottom w:val="single" w:sz="4" w:space="0" w:color="auto"/>
              <w:right w:val="single" w:sz="4" w:space="0" w:color="auto"/>
            </w:tcBorders>
            <w:shd w:val="clear" w:color="auto" w:fill="auto"/>
            <w:vAlign w:val="center"/>
            <w:hideMark/>
          </w:tcPr>
          <w:p w14:paraId="3351F39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P-70-08</w:t>
            </w:r>
          </w:p>
        </w:tc>
        <w:tc>
          <w:tcPr>
            <w:tcW w:w="0" w:type="auto"/>
            <w:tcBorders>
              <w:top w:val="nil"/>
              <w:left w:val="nil"/>
              <w:bottom w:val="single" w:sz="4" w:space="0" w:color="auto"/>
              <w:right w:val="single" w:sz="4" w:space="0" w:color="auto"/>
            </w:tcBorders>
            <w:shd w:val="clear" w:color="auto" w:fill="auto"/>
            <w:vAlign w:val="center"/>
            <w:hideMark/>
          </w:tcPr>
          <w:p w14:paraId="69FB1A2F"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12.898</w:t>
            </w:r>
          </w:p>
        </w:tc>
        <w:tc>
          <w:tcPr>
            <w:tcW w:w="0" w:type="auto"/>
            <w:tcBorders>
              <w:top w:val="nil"/>
              <w:left w:val="nil"/>
              <w:bottom w:val="single" w:sz="4" w:space="0" w:color="auto"/>
              <w:right w:val="single" w:sz="4" w:space="0" w:color="auto"/>
            </w:tcBorders>
            <w:shd w:val="clear" w:color="auto" w:fill="auto"/>
            <w:vAlign w:val="center"/>
            <w:hideMark/>
          </w:tcPr>
          <w:p w14:paraId="6128629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655B8C81"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Pedro César </w:t>
            </w:r>
            <w:proofErr w:type="spellStart"/>
            <w:r w:rsidRPr="00524435">
              <w:rPr>
                <w:rFonts w:ascii="Cambria" w:hAnsi="Cambria" w:cs="Calibri"/>
                <w:color w:val="000000"/>
                <w:sz w:val="20"/>
                <w:szCs w:val="20"/>
              </w:rPr>
              <w:t>Marcano</w:t>
            </w:r>
            <w:proofErr w:type="spellEnd"/>
            <w:r w:rsidRPr="00524435">
              <w:rPr>
                <w:rFonts w:ascii="Cambria" w:hAnsi="Cambria" w:cs="Calibri"/>
                <w:color w:val="000000"/>
                <w:sz w:val="20"/>
                <w:szCs w:val="20"/>
              </w:rPr>
              <w:t xml:space="preserve"> </w:t>
            </w:r>
            <w:proofErr w:type="spellStart"/>
            <w:r w:rsidRPr="00524435">
              <w:rPr>
                <w:rFonts w:ascii="Cambria" w:hAnsi="Cambria" w:cs="Calibri"/>
                <w:color w:val="000000"/>
                <w:sz w:val="20"/>
                <w:szCs w:val="20"/>
              </w:rPr>
              <w:t>Urriola</w:t>
            </w:r>
            <w:proofErr w:type="spellEnd"/>
            <w:r w:rsidRPr="00524435">
              <w:rPr>
                <w:rFonts w:ascii="Cambria" w:hAnsi="Cambria" w:cs="Calibr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42A138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441F9E5E" w14:textId="77777777" w:rsidTr="008B7C11">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97EA74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178</w:t>
            </w:r>
          </w:p>
        </w:tc>
        <w:tc>
          <w:tcPr>
            <w:tcW w:w="0" w:type="auto"/>
            <w:tcBorders>
              <w:top w:val="nil"/>
              <w:left w:val="nil"/>
              <w:bottom w:val="single" w:sz="4" w:space="0" w:color="auto"/>
              <w:right w:val="single" w:sz="4" w:space="0" w:color="auto"/>
            </w:tcBorders>
            <w:shd w:val="clear" w:color="auto" w:fill="auto"/>
            <w:vAlign w:val="center"/>
            <w:hideMark/>
          </w:tcPr>
          <w:p w14:paraId="0AE5090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VENEZUELA</w:t>
            </w:r>
          </w:p>
        </w:tc>
        <w:tc>
          <w:tcPr>
            <w:tcW w:w="0" w:type="auto"/>
            <w:tcBorders>
              <w:top w:val="nil"/>
              <w:left w:val="nil"/>
              <w:bottom w:val="single" w:sz="4" w:space="0" w:color="auto"/>
              <w:right w:val="single" w:sz="4" w:space="0" w:color="auto"/>
            </w:tcBorders>
            <w:shd w:val="clear" w:color="auto" w:fill="auto"/>
            <w:vAlign w:val="center"/>
            <w:hideMark/>
          </w:tcPr>
          <w:p w14:paraId="0F98BD5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P-1607-09</w:t>
            </w:r>
          </w:p>
        </w:tc>
        <w:tc>
          <w:tcPr>
            <w:tcW w:w="0" w:type="auto"/>
            <w:tcBorders>
              <w:top w:val="nil"/>
              <w:left w:val="nil"/>
              <w:bottom w:val="single" w:sz="4" w:space="0" w:color="auto"/>
              <w:right w:val="single" w:sz="4" w:space="0" w:color="auto"/>
            </w:tcBorders>
            <w:shd w:val="clear" w:color="auto" w:fill="auto"/>
            <w:vAlign w:val="center"/>
            <w:hideMark/>
          </w:tcPr>
          <w:p w14:paraId="71A4A45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13.690</w:t>
            </w:r>
          </w:p>
        </w:tc>
        <w:tc>
          <w:tcPr>
            <w:tcW w:w="0" w:type="auto"/>
            <w:tcBorders>
              <w:top w:val="nil"/>
              <w:left w:val="nil"/>
              <w:bottom w:val="single" w:sz="4" w:space="0" w:color="auto"/>
              <w:right w:val="single" w:sz="4" w:space="0" w:color="auto"/>
            </w:tcBorders>
            <w:shd w:val="clear" w:color="auto" w:fill="auto"/>
            <w:vAlign w:val="center"/>
            <w:hideMark/>
          </w:tcPr>
          <w:p w14:paraId="5441B9D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14:paraId="7882EF93" w14:textId="77777777" w:rsidR="007425A1" w:rsidRPr="003F238D" w:rsidRDefault="007425A1" w:rsidP="008B7C11">
            <w:pPr>
              <w:rPr>
                <w:rFonts w:ascii="Cambria" w:hAnsi="Cambria" w:cs="Calibri"/>
                <w:color w:val="000000"/>
                <w:sz w:val="20"/>
                <w:szCs w:val="20"/>
                <w:lang w:val="es-US"/>
              </w:rPr>
            </w:pPr>
            <w:r w:rsidRPr="003F238D">
              <w:rPr>
                <w:rFonts w:ascii="Cambria" w:hAnsi="Cambria" w:cs="Calibri"/>
                <w:color w:val="000000"/>
                <w:sz w:val="20"/>
                <w:szCs w:val="20"/>
                <w:lang w:val="es-US"/>
              </w:rPr>
              <w:t xml:space="preserve">Alicia Margarita Torres-Rivero </w:t>
            </w:r>
            <w:proofErr w:type="spellStart"/>
            <w:r w:rsidRPr="003F238D">
              <w:rPr>
                <w:rFonts w:ascii="Cambria" w:hAnsi="Cambria" w:cs="Calibri"/>
                <w:color w:val="000000"/>
                <w:sz w:val="20"/>
                <w:szCs w:val="20"/>
                <w:lang w:val="es-US"/>
              </w:rPr>
              <w:t>Valenotti</w:t>
            </w:r>
            <w:proofErr w:type="spellEnd"/>
            <w:r w:rsidRPr="003F238D">
              <w:rPr>
                <w:rFonts w:ascii="Cambria" w:hAnsi="Cambria" w:cs="Calibri"/>
                <w:color w:val="000000"/>
                <w:sz w:val="20"/>
                <w:szCs w:val="20"/>
                <w:lang w:val="es-US"/>
              </w:rPr>
              <w:t>.</w:t>
            </w:r>
          </w:p>
        </w:tc>
        <w:tc>
          <w:tcPr>
            <w:tcW w:w="0" w:type="auto"/>
            <w:tcBorders>
              <w:top w:val="nil"/>
              <w:left w:val="nil"/>
              <w:bottom w:val="single" w:sz="4" w:space="0" w:color="auto"/>
              <w:right w:val="single" w:sz="4" w:space="0" w:color="auto"/>
            </w:tcBorders>
            <w:shd w:val="clear" w:color="auto" w:fill="auto"/>
            <w:vAlign w:val="center"/>
            <w:hideMark/>
          </w:tcPr>
          <w:p w14:paraId="522DDA61" w14:textId="77777777" w:rsidR="007425A1" w:rsidRPr="00524435" w:rsidRDefault="007425A1" w:rsidP="008B7C11">
            <w:pPr>
              <w:jc w:val="center"/>
              <w:rPr>
                <w:rFonts w:ascii="Cambria" w:hAnsi="Cambria" w:cs="Calibri"/>
                <w:color w:val="000000"/>
                <w:sz w:val="20"/>
                <w:szCs w:val="20"/>
              </w:rPr>
            </w:pPr>
            <w:r w:rsidRPr="003F238D">
              <w:rPr>
                <w:rFonts w:ascii="Cambria" w:hAnsi="Cambria" w:cs="Calibri"/>
                <w:color w:val="000000"/>
                <w:sz w:val="20"/>
                <w:szCs w:val="20"/>
                <w:lang w:val="es-US"/>
              </w:rPr>
              <w:br/>
            </w:r>
            <w:r w:rsidRPr="00524435">
              <w:rPr>
                <w:rFonts w:ascii="Cambria" w:hAnsi="Cambria" w:cs="Calibri"/>
                <w:i/>
                <w:iCs/>
                <w:color w:val="000000"/>
                <w:sz w:val="20"/>
                <w:szCs w:val="20"/>
              </w:rPr>
              <w:t>Merit</w:t>
            </w:r>
          </w:p>
        </w:tc>
      </w:tr>
      <w:tr w:rsidR="007425A1" w:rsidRPr="00524435" w14:paraId="78A3B4EE"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0B61E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lastRenderedPageBreak/>
              <w:t>179</w:t>
            </w:r>
          </w:p>
        </w:tc>
        <w:tc>
          <w:tcPr>
            <w:tcW w:w="0" w:type="auto"/>
            <w:tcBorders>
              <w:top w:val="nil"/>
              <w:left w:val="nil"/>
              <w:bottom w:val="single" w:sz="4" w:space="0" w:color="auto"/>
              <w:right w:val="single" w:sz="4" w:space="0" w:color="auto"/>
            </w:tcBorders>
            <w:shd w:val="clear" w:color="auto" w:fill="auto"/>
            <w:vAlign w:val="center"/>
            <w:hideMark/>
          </w:tcPr>
          <w:p w14:paraId="2BB7A80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VENEZUELA</w:t>
            </w:r>
          </w:p>
        </w:tc>
        <w:tc>
          <w:tcPr>
            <w:tcW w:w="0" w:type="auto"/>
            <w:tcBorders>
              <w:top w:val="nil"/>
              <w:left w:val="nil"/>
              <w:bottom w:val="single" w:sz="4" w:space="0" w:color="auto"/>
              <w:right w:val="single" w:sz="4" w:space="0" w:color="auto"/>
            </w:tcBorders>
            <w:shd w:val="clear" w:color="auto" w:fill="auto"/>
            <w:vAlign w:val="center"/>
            <w:hideMark/>
          </w:tcPr>
          <w:p w14:paraId="3FB59E22"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P-824-12</w:t>
            </w:r>
          </w:p>
        </w:tc>
        <w:tc>
          <w:tcPr>
            <w:tcW w:w="0" w:type="auto"/>
            <w:tcBorders>
              <w:top w:val="nil"/>
              <w:left w:val="nil"/>
              <w:bottom w:val="single" w:sz="4" w:space="0" w:color="auto"/>
              <w:right w:val="single" w:sz="4" w:space="0" w:color="auto"/>
            </w:tcBorders>
            <w:shd w:val="clear" w:color="auto" w:fill="auto"/>
            <w:vAlign w:val="center"/>
            <w:hideMark/>
          </w:tcPr>
          <w:p w14:paraId="358061C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13.053</w:t>
            </w:r>
          </w:p>
        </w:tc>
        <w:tc>
          <w:tcPr>
            <w:tcW w:w="0" w:type="auto"/>
            <w:tcBorders>
              <w:top w:val="nil"/>
              <w:left w:val="nil"/>
              <w:bottom w:val="single" w:sz="4" w:space="0" w:color="auto"/>
              <w:right w:val="single" w:sz="4" w:space="0" w:color="auto"/>
            </w:tcBorders>
            <w:shd w:val="clear" w:color="auto" w:fill="auto"/>
            <w:vAlign w:val="center"/>
            <w:hideMark/>
          </w:tcPr>
          <w:p w14:paraId="193410E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7D79EA59"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Tamara Mariana Adrián Hernández.</w:t>
            </w:r>
          </w:p>
        </w:tc>
        <w:tc>
          <w:tcPr>
            <w:tcW w:w="0" w:type="auto"/>
            <w:tcBorders>
              <w:top w:val="nil"/>
              <w:left w:val="nil"/>
              <w:bottom w:val="single" w:sz="4" w:space="0" w:color="auto"/>
              <w:right w:val="single" w:sz="4" w:space="0" w:color="auto"/>
            </w:tcBorders>
            <w:shd w:val="clear" w:color="auto" w:fill="auto"/>
            <w:vAlign w:val="center"/>
            <w:hideMark/>
          </w:tcPr>
          <w:p w14:paraId="4920568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7CD0A341"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610A65"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180</w:t>
            </w:r>
          </w:p>
        </w:tc>
        <w:tc>
          <w:tcPr>
            <w:tcW w:w="0" w:type="auto"/>
            <w:tcBorders>
              <w:top w:val="nil"/>
              <w:left w:val="nil"/>
              <w:bottom w:val="single" w:sz="4" w:space="0" w:color="auto"/>
              <w:right w:val="single" w:sz="4" w:space="0" w:color="auto"/>
            </w:tcBorders>
            <w:shd w:val="clear" w:color="auto" w:fill="auto"/>
            <w:vAlign w:val="center"/>
            <w:hideMark/>
          </w:tcPr>
          <w:p w14:paraId="14D888F4"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VENEZUELA</w:t>
            </w:r>
          </w:p>
        </w:tc>
        <w:tc>
          <w:tcPr>
            <w:tcW w:w="0" w:type="auto"/>
            <w:tcBorders>
              <w:top w:val="nil"/>
              <w:left w:val="nil"/>
              <w:bottom w:val="single" w:sz="4" w:space="0" w:color="auto"/>
              <w:right w:val="single" w:sz="4" w:space="0" w:color="auto"/>
            </w:tcBorders>
            <w:shd w:val="clear" w:color="auto" w:fill="auto"/>
            <w:vAlign w:val="center"/>
            <w:hideMark/>
          </w:tcPr>
          <w:p w14:paraId="520ABE5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P-789-17</w:t>
            </w:r>
          </w:p>
        </w:tc>
        <w:tc>
          <w:tcPr>
            <w:tcW w:w="0" w:type="auto"/>
            <w:tcBorders>
              <w:top w:val="nil"/>
              <w:left w:val="nil"/>
              <w:bottom w:val="single" w:sz="4" w:space="0" w:color="auto"/>
              <w:right w:val="single" w:sz="4" w:space="0" w:color="auto"/>
            </w:tcBorders>
            <w:shd w:val="clear" w:color="auto" w:fill="auto"/>
            <w:vAlign w:val="center"/>
            <w:hideMark/>
          </w:tcPr>
          <w:p w14:paraId="01344D26"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13.823</w:t>
            </w:r>
          </w:p>
        </w:tc>
        <w:tc>
          <w:tcPr>
            <w:tcW w:w="0" w:type="auto"/>
            <w:tcBorders>
              <w:top w:val="nil"/>
              <w:left w:val="nil"/>
              <w:bottom w:val="single" w:sz="4" w:space="0" w:color="auto"/>
              <w:right w:val="single" w:sz="4" w:space="0" w:color="auto"/>
            </w:tcBorders>
            <w:shd w:val="clear" w:color="auto" w:fill="auto"/>
            <w:vAlign w:val="center"/>
            <w:hideMark/>
          </w:tcPr>
          <w:p w14:paraId="4E8059DC"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14:paraId="2D042976" w14:textId="77777777" w:rsidR="007425A1" w:rsidRPr="00524435" w:rsidRDefault="007425A1" w:rsidP="008B7C11">
            <w:pPr>
              <w:rPr>
                <w:rFonts w:ascii="Cambria" w:hAnsi="Cambria" w:cs="Calibri"/>
                <w:color w:val="000000"/>
                <w:sz w:val="20"/>
                <w:szCs w:val="20"/>
              </w:rPr>
            </w:pPr>
            <w:proofErr w:type="spellStart"/>
            <w:r w:rsidRPr="00524435">
              <w:rPr>
                <w:rFonts w:ascii="Cambria" w:hAnsi="Cambria" w:cs="Calibri"/>
                <w:color w:val="000000"/>
                <w:sz w:val="20"/>
                <w:szCs w:val="20"/>
              </w:rPr>
              <w:t>Johonnys</w:t>
            </w:r>
            <w:proofErr w:type="spellEnd"/>
            <w:r w:rsidRPr="00524435">
              <w:rPr>
                <w:rFonts w:ascii="Cambria" w:hAnsi="Cambria" w:cs="Calibri"/>
                <w:color w:val="000000"/>
                <w:sz w:val="20"/>
                <w:szCs w:val="20"/>
              </w:rPr>
              <w:t xml:space="preserve"> Armando Hernández.</w:t>
            </w:r>
          </w:p>
        </w:tc>
        <w:tc>
          <w:tcPr>
            <w:tcW w:w="0" w:type="auto"/>
            <w:tcBorders>
              <w:top w:val="nil"/>
              <w:left w:val="nil"/>
              <w:bottom w:val="single" w:sz="4" w:space="0" w:color="auto"/>
              <w:right w:val="single" w:sz="4" w:space="0" w:color="auto"/>
            </w:tcBorders>
            <w:shd w:val="clear" w:color="auto" w:fill="auto"/>
            <w:vAlign w:val="center"/>
            <w:hideMark/>
          </w:tcPr>
          <w:p w14:paraId="13B75F5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689EBD13" w14:textId="77777777" w:rsidTr="008B7C11">
        <w:trPr>
          <w:trHeight w:val="6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B13E5F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181</w:t>
            </w:r>
          </w:p>
        </w:tc>
        <w:tc>
          <w:tcPr>
            <w:tcW w:w="0" w:type="auto"/>
            <w:tcBorders>
              <w:top w:val="nil"/>
              <w:left w:val="nil"/>
              <w:bottom w:val="single" w:sz="4" w:space="0" w:color="auto"/>
              <w:right w:val="single" w:sz="4" w:space="0" w:color="auto"/>
            </w:tcBorders>
            <w:shd w:val="clear" w:color="auto" w:fill="auto"/>
            <w:vAlign w:val="center"/>
            <w:hideMark/>
          </w:tcPr>
          <w:p w14:paraId="756AA14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VENEZUELA</w:t>
            </w:r>
          </w:p>
        </w:tc>
        <w:tc>
          <w:tcPr>
            <w:tcW w:w="0" w:type="auto"/>
            <w:tcBorders>
              <w:top w:val="nil"/>
              <w:left w:val="nil"/>
              <w:bottom w:val="single" w:sz="4" w:space="0" w:color="auto"/>
              <w:right w:val="single" w:sz="4" w:space="0" w:color="auto"/>
            </w:tcBorders>
            <w:shd w:val="clear" w:color="auto" w:fill="auto"/>
            <w:vAlign w:val="center"/>
            <w:hideMark/>
          </w:tcPr>
          <w:p w14:paraId="16BA0B92"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P-2345-18</w:t>
            </w:r>
          </w:p>
        </w:tc>
        <w:tc>
          <w:tcPr>
            <w:tcW w:w="0" w:type="auto"/>
            <w:tcBorders>
              <w:top w:val="nil"/>
              <w:left w:val="nil"/>
              <w:bottom w:val="single" w:sz="4" w:space="0" w:color="auto"/>
              <w:right w:val="single" w:sz="4" w:space="0" w:color="auto"/>
            </w:tcBorders>
            <w:shd w:val="clear" w:color="auto" w:fill="auto"/>
            <w:vAlign w:val="center"/>
            <w:hideMark/>
          </w:tcPr>
          <w:p w14:paraId="7A5A8D5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14.448</w:t>
            </w:r>
          </w:p>
        </w:tc>
        <w:tc>
          <w:tcPr>
            <w:tcW w:w="0" w:type="auto"/>
            <w:tcBorders>
              <w:top w:val="nil"/>
              <w:left w:val="nil"/>
              <w:bottom w:val="single" w:sz="4" w:space="0" w:color="auto"/>
              <w:right w:val="single" w:sz="4" w:space="0" w:color="auto"/>
            </w:tcBorders>
            <w:shd w:val="clear" w:color="auto" w:fill="auto"/>
            <w:vAlign w:val="center"/>
            <w:hideMark/>
          </w:tcPr>
          <w:p w14:paraId="7EEE4B3A"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14:paraId="16C8E87C"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Larissa </w:t>
            </w:r>
            <w:proofErr w:type="spellStart"/>
            <w:r w:rsidRPr="00524435">
              <w:rPr>
                <w:rFonts w:ascii="Cambria" w:hAnsi="Cambria" w:cs="Calibri"/>
                <w:color w:val="000000"/>
                <w:sz w:val="20"/>
                <w:szCs w:val="20"/>
              </w:rPr>
              <w:t>Ortigoza</w:t>
            </w:r>
            <w:proofErr w:type="spellEnd"/>
            <w:r w:rsidRPr="00524435">
              <w:rPr>
                <w:rFonts w:ascii="Cambria" w:hAnsi="Cambria" w:cs="Calibri"/>
                <w:color w:val="000000"/>
                <w:sz w:val="20"/>
                <w:szCs w:val="20"/>
              </w:rPr>
              <w:t xml:space="preserve"> Monsalve</w:t>
            </w:r>
          </w:p>
        </w:tc>
        <w:tc>
          <w:tcPr>
            <w:tcW w:w="0" w:type="auto"/>
            <w:tcBorders>
              <w:top w:val="nil"/>
              <w:left w:val="nil"/>
              <w:bottom w:val="single" w:sz="4" w:space="0" w:color="auto"/>
              <w:right w:val="single" w:sz="4" w:space="0" w:color="auto"/>
            </w:tcBorders>
            <w:shd w:val="clear" w:color="auto" w:fill="auto"/>
            <w:vAlign w:val="center"/>
            <w:hideMark/>
          </w:tcPr>
          <w:p w14:paraId="348B8CA1"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r w:rsidR="007425A1" w:rsidRPr="00524435" w14:paraId="5BAFED62" w14:textId="77777777" w:rsidTr="008B7C1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C871C6"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182</w:t>
            </w:r>
          </w:p>
        </w:tc>
        <w:tc>
          <w:tcPr>
            <w:tcW w:w="0" w:type="auto"/>
            <w:tcBorders>
              <w:top w:val="nil"/>
              <w:left w:val="nil"/>
              <w:bottom w:val="single" w:sz="4" w:space="0" w:color="auto"/>
              <w:right w:val="single" w:sz="4" w:space="0" w:color="auto"/>
            </w:tcBorders>
            <w:shd w:val="clear" w:color="auto" w:fill="auto"/>
            <w:vAlign w:val="center"/>
            <w:hideMark/>
          </w:tcPr>
          <w:p w14:paraId="20C173AD"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VENEZUELA</w:t>
            </w:r>
          </w:p>
        </w:tc>
        <w:tc>
          <w:tcPr>
            <w:tcW w:w="0" w:type="auto"/>
            <w:tcBorders>
              <w:top w:val="nil"/>
              <w:left w:val="nil"/>
              <w:bottom w:val="single" w:sz="4" w:space="0" w:color="auto"/>
              <w:right w:val="single" w:sz="4" w:space="0" w:color="auto"/>
            </w:tcBorders>
            <w:shd w:val="clear" w:color="auto" w:fill="auto"/>
            <w:vAlign w:val="center"/>
            <w:hideMark/>
          </w:tcPr>
          <w:p w14:paraId="387F76E9"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P-2346-18</w:t>
            </w:r>
          </w:p>
        </w:tc>
        <w:tc>
          <w:tcPr>
            <w:tcW w:w="0" w:type="auto"/>
            <w:tcBorders>
              <w:top w:val="nil"/>
              <w:left w:val="nil"/>
              <w:bottom w:val="single" w:sz="4" w:space="0" w:color="auto"/>
              <w:right w:val="single" w:sz="4" w:space="0" w:color="auto"/>
            </w:tcBorders>
            <w:shd w:val="clear" w:color="auto" w:fill="auto"/>
            <w:vAlign w:val="center"/>
            <w:hideMark/>
          </w:tcPr>
          <w:p w14:paraId="0D0191E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14.449</w:t>
            </w:r>
          </w:p>
        </w:tc>
        <w:tc>
          <w:tcPr>
            <w:tcW w:w="0" w:type="auto"/>
            <w:tcBorders>
              <w:top w:val="nil"/>
              <w:left w:val="nil"/>
              <w:bottom w:val="single" w:sz="4" w:space="0" w:color="auto"/>
              <w:right w:val="single" w:sz="4" w:space="0" w:color="auto"/>
            </w:tcBorders>
            <w:shd w:val="clear" w:color="auto" w:fill="auto"/>
            <w:vAlign w:val="center"/>
            <w:hideMark/>
          </w:tcPr>
          <w:p w14:paraId="1047FD4E"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14:paraId="34CD4266" w14:textId="77777777" w:rsidR="007425A1" w:rsidRPr="003F238D" w:rsidRDefault="007425A1" w:rsidP="008B7C11">
            <w:pPr>
              <w:rPr>
                <w:rFonts w:ascii="Cambria" w:hAnsi="Cambria" w:cs="Calibri"/>
                <w:color w:val="000000"/>
                <w:sz w:val="20"/>
                <w:szCs w:val="20"/>
                <w:lang w:val="es-US"/>
              </w:rPr>
            </w:pPr>
            <w:r w:rsidRPr="003F238D">
              <w:rPr>
                <w:rFonts w:ascii="Cambria" w:hAnsi="Cambria" w:cs="Calibri"/>
                <w:color w:val="000000"/>
                <w:sz w:val="20"/>
                <w:szCs w:val="20"/>
                <w:lang w:val="es-US"/>
              </w:rPr>
              <w:t>María Eugenia Monagas De Paris</w:t>
            </w:r>
          </w:p>
        </w:tc>
        <w:tc>
          <w:tcPr>
            <w:tcW w:w="0" w:type="auto"/>
            <w:tcBorders>
              <w:top w:val="nil"/>
              <w:left w:val="nil"/>
              <w:bottom w:val="single" w:sz="4" w:space="0" w:color="auto"/>
              <w:right w:val="single" w:sz="4" w:space="0" w:color="auto"/>
            </w:tcBorders>
            <w:shd w:val="clear" w:color="auto" w:fill="auto"/>
            <w:vAlign w:val="center"/>
            <w:hideMark/>
          </w:tcPr>
          <w:p w14:paraId="41790B36" w14:textId="77777777" w:rsidR="007425A1" w:rsidRPr="00524435" w:rsidRDefault="007425A1" w:rsidP="008B7C11">
            <w:pPr>
              <w:jc w:val="center"/>
              <w:rPr>
                <w:rFonts w:ascii="Cambria" w:hAnsi="Cambria" w:cs="Calibri"/>
                <w:color w:val="000000"/>
                <w:sz w:val="20"/>
                <w:szCs w:val="20"/>
              </w:rPr>
            </w:pPr>
            <w:r w:rsidRPr="003F238D">
              <w:rPr>
                <w:rFonts w:ascii="Cambria" w:hAnsi="Cambria" w:cs="Calibri"/>
                <w:color w:val="000000"/>
                <w:sz w:val="20"/>
                <w:szCs w:val="20"/>
                <w:lang w:val="es-US"/>
              </w:rPr>
              <w:br/>
            </w:r>
            <w:r w:rsidRPr="00524435">
              <w:rPr>
                <w:rFonts w:ascii="Cambria" w:hAnsi="Cambria" w:cs="Calibri"/>
                <w:i/>
                <w:iCs/>
                <w:color w:val="000000"/>
                <w:sz w:val="20"/>
                <w:szCs w:val="20"/>
              </w:rPr>
              <w:t>Merit</w:t>
            </w:r>
          </w:p>
        </w:tc>
      </w:tr>
      <w:tr w:rsidR="007425A1" w:rsidRPr="00524435" w14:paraId="55A9320E" w14:textId="77777777" w:rsidTr="008B7C1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32AF7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183</w:t>
            </w:r>
          </w:p>
        </w:tc>
        <w:tc>
          <w:tcPr>
            <w:tcW w:w="0" w:type="auto"/>
            <w:tcBorders>
              <w:top w:val="nil"/>
              <w:left w:val="nil"/>
              <w:bottom w:val="single" w:sz="4" w:space="0" w:color="auto"/>
              <w:right w:val="single" w:sz="4" w:space="0" w:color="auto"/>
            </w:tcBorders>
            <w:shd w:val="clear" w:color="auto" w:fill="auto"/>
            <w:vAlign w:val="center"/>
            <w:hideMark/>
          </w:tcPr>
          <w:p w14:paraId="3E82C438"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VENEZUELA</w:t>
            </w:r>
          </w:p>
        </w:tc>
        <w:tc>
          <w:tcPr>
            <w:tcW w:w="0" w:type="auto"/>
            <w:tcBorders>
              <w:top w:val="nil"/>
              <w:left w:val="nil"/>
              <w:bottom w:val="single" w:sz="4" w:space="0" w:color="auto"/>
              <w:right w:val="single" w:sz="4" w:space="0" w:color="auto"/>
            </w:tcBorders>
            <w:shd w:val="clear" w:color="auto" w:fill="auto"/>
            <w:vAlign w:val="center"/>
            <w:hideMark/>
          </w:tcPr>
          <w:p w14:paraId="39AE7D93"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P-2350-18</w:t>
            </w:r>
          </w:p>
        </w:tc>
        <w:tc>
          <w:tcPr>
            <w:tcW w:w="0" w:type="auto"/>
            <w:tcBorders>
              <w:top w:val="nil"/>
              <w:left w:val="nil"/>
              <w:bottom w:val="single" w:sz="4" w:space="0" w:color="auto"/>
              <w:right w:val="single" w:sz="4" w:space="0" w:color="auto"/>
            </w:tcBorders>
            <w:shd w:val="clear" w:color="auto" w:fill="auto"/>
            <w:vAlign w:val="center"/>
            <w:hideMark/>
          </w:tcPr>
          <w:p w14:paraId="76143316"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14.451</w:t>
            </w:r>
          </w:p>
        </w:tc>
        <w:tc>
          <w:tcPr>
            <w:tcW w:w="0" w:type="auto"/>
            <w:tcBorders>
              <w:top w:val="nil"/>
              <w:left w:val="nil"/>
              <w:bottom w:val="single" w:sz="4" w:space="0" w:color="auto"/>
              <w:right w:val="single" w:sz="4" w:space="0" w:color="auto"/>
            </w:tcBorders>
            <w:shd w:val="clear" w:color="auto" w:fill="auto"/>
            <w:vAlign w:val="center"/>
            <w:hideMark/>
          </w:tcPr>
          <w:p w14:paraId="7FF8C627"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14:paraId="05D6CD6B" w14:textId="77777777" w:rsidR="007425A1" w:rsidRPr="00524435" w:rsidRDefault="007425A1" w:rsidP="008B7C11">
            <w:pPr>
              <w:rPr>
                <w:rFonts w:ascii="Cambria" w:hAnsi="Cambria" w:cs="Calibri"/>
                <w:color w:val="000000"/>
                <w:sz w:val="20"/>
                <w:szCs w:val="20"/>
              </w:rPr>
            </w:pPr>
            <w:r w:rsidRPr="00524435">
              <w:rPr>
                <w:rFonts w:ascii="Cambria" w:hAnsi="Cambria" w:cs="Calibri"/>
                <w:color w:val="000000"/>
                <w:sz w:val="20"/>
                <w:szCs w:val="20"/>
              </w:rPr>
              <w:t xml:space="preserve"> </w:t>
            </w:r>
            <w:r w:rsidRPr="00524435">
              <w:rPr>
                <w:rFonts w:ascii="Cambria" w:hAnsi="Cambria" w:cs="Calibri"/>
                <w:color w:val="000000"/>
                <w:sz w:val="20"/>
                <w:szCs w:val="20"/>
              </w:rPr>
              <w:br/>
              <w:t xml:space="preserve"> Gina Vittoria Massimo Alcalde </w:t>
            </w:r>
          </w:p>
        </w:tc>
        <w:tc>
          <w:tcPr>
            <w:tcW w:w="0" w:type="auto"/>
            <w:tcBorders>
              <w:top w:val="nil"/>
              <w:left w:val="nil"/>
              <w:bottom w:val="single" w:sz="4" w:space="0" w:color="auto"/>
              <w:right w:val="single" w:sz="4" w:space="0" w:color="auto"/>
            </w:tcBorders>
            <w:shd w:val="clear" w:color="auto" w:fill="auto"/>
            <w:vAlign w:val="center"/>
            <w:hideMark/>
          </w:tcPr>
          <w:p w14:paraId="1C93301B" w14:textId="77777777" w:rsidR="007425A1" w:rsidRPr="00524435" w:rsidRDefault="007425A1" w:rsidP="008B7C11">
            <w:pPr>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Merit</w:t>
            </w:r>
          </w:p>
        </w:tc>
      </w:tr>
    </w:tbl>
    <w:p w14:paraId="56F23068" w14:textId="77777777" w:rsidR="007425A1" w:rsidRPr="00524435" w:rsidRDefault="007425A1" w:rsidP="007425A1">
      <w:pPr>
        <w:spacing w:before="60" w:after="60"/>
        <w:rPr>
          <w:rFonts w:ascii="Cambria" w:hAnsi="Cambria"/>
          <w:sz w:val="20"/>
          <w:szCs w:val="20"/>
        </w:rPr>
      </w:pPr>
    </w:p>
    <w:p w14:paraId="0E9EC788" w14:textId="471568C1" w:rsidR="007425A1" w:rsidRPr="00524435" w:rsidRDefault="00194947" w:rsidP="0009324C">
      <w:pPr>
        <w:pStyle w:val="ListParagraph"/>
        <w:numPr>
          <w:ilvl w:val="0"/>
          <w:numId w:val="26"/>
        </w:numPr>
        <w:rPr>
          <w:b/>
          <w:bCs/>
        </w:rPr>
      </w:pPr>
      <w:r w:rsidRPr="00524435">
        <w:rPr>
          <w:b/>
          <w:bCs/>
        </w:rPr>
        <w:t xml:space="preserve">Decisions to archive petitions under initial </w:t>
      </w:r>
      <w:r w:rsidR="005A0E7D" w:rsidRPr="00524435">
        <w:rPr>
          <w:b/>
          <w:bCs/>
        </w:rPr>
        <w:t>review stage</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958"/>
        <w:gridCol w:w="1718"/>
        <w:gridCol w:w="2712"/>
        <w:gridCol w:w="1097"/>
        <w:gridCol w:w="2600"/>
      </w:tblGrid>
      <w:tr w:rsidR="007425A1" w:rsidRPr="00524435" w14:paraId="0A4EAF61" w14:textId="77777777" w:rsidTr="008B7C11">
        <w:trPr>
          <w:trHeight w:val="600"/>
        </w:trPr>
        <w:tc>
          <w:tcPr>
            <w:tcW w:w="958" w:type="dxa"/>
            <w:shd w:val="clear" w:color="auto" w:fill="000000" w:themeFill="text1"/>
            <w:noWrap/>
            <w:vAlign w:val="center"/>
          </w:tcPr>
          <w:p w14:paraId="0D1C0321" w14:textId="77777777" w:rsidR="007425A1" w:rsidRPr="00524435" w:rsidRDefault="007425A1" w:rsidP="008B7C11">
            <w:pPr>
              <w:spacing w:before="60" w:after="60"/>
              <w:jc w:val="center"/>
              <w:rPr>
                <w:rFonts w:ascii="Cambria" w:hAnsi="Cambria" w:cs="Calibri"/>
                <w:b/>
                <w:bCs/>
                <w:color w:val="FFFFFF" w:themeColor="background1"/>
                <w:sz w:val="20"/>
                <w:szCs w:val="20"/>
              </w:rPr>
            </w:pPr>
            <w:r w:rsidRPr="00524435">
              <w:rPr>
                <w:rFonts w:ascii="Cambria" w:hAnsi="Cambria" w:cs="Calibri"/>
                <w:b/>
                <w:bCs/>
                <w:color w:val="FFFFFF" w:themeColor="background1"/>
                <w:sz w:val="20"/>
                <w:szCs w:val="20"/>
              </w:rPr>
              <w:t>Nº</w:t>
            </w:r>
          </w:p>
        </w:tc>
        <w:tc>
          <w:tcPr>
            <w:tcW w:w="1718" w:type="dxa"/>
            <w:shd w:val="clear" w:color="auto" w:fill="000000" w:themeFill="text1"/>
            <w:noWrap/>
            <w:vAlign w:val="bottom"/>
          </w:tcPr>
          <w:p w14:paraId="06B0BC2B" w14:textId="77777777" w:rsidR="007425A1" w:rsidRPr="00524435" w:rsidRDefault="007425A1" w:rsidP="008B7C11">
            <w:pPr>
              <w:spacing w:before="60" w:after="60"/>
              <w:jc w:val="center"/>
              <w:rPr>
                <w:rFonts w:ascii="Cambria" w:hAnsi="Cambria" w:cs="Calibri"/>
                <w:b/>
                <w:bCs/>
                <w:color w:val="FFFFFF" w:themeColor="background1"/>
                <w:sz w:val="20"/>
                <w:szCs w:val="20"/>
              </w:rPr>
            </w:pPr>
            <w:r w:rsidRPr="00524435">
              <w:rPr>
                <w:rFonts w:ascii="Cambria" w:hAnsi="Cambria" w:cs="Calibri"/>
                <w:b/>
                <w:bCs/>
                <w:color w:val="FFFFFF" w:themeColor="background1"/>
                <w:sz w:val="20"/>
                <w:szCs w:val="20"/>
              </w:rPr>
              <w:t>State</w:t>
            </w:r>
          </w:p>
        </w:tc>
        <w:tc>
          <w:tcPr>
            <w:tcW w:w="2712" w:type="dxa"/>
            <w:shd w:val="clear" w:color="auto" w:fill="000000" w:themeFill="text1"/>
            <w:noWrap/>
            <w:vAlign w:val="bottom"/>
          </w:tcPr>
          <w:p w14:paraId="452F736B" w14:textId="77777777" w:rsidR="007425A1" w:rsidRPr="00524435" w:rsidRDefault="007425A1" w:rsidP="008B7C11">
            <w:pPr>
              <w:spacing w:before="60" w:after="60"/>
              <w:jc w:val="center"/>
              <w:rPr>
                <w:rFonts w:ascii="Cambria" w:hAnsi="Cambria" w:cs="Calibri"/>
                <w:b/>
                <w:bCs/>
                <w:color w:val="FFFFFF" w:themeColor="background1"/>
                <w:sz w:val="20"/>
                <w:szCs w:val="20"/>
              </w:rPr>
            </w:pPr>
            <w:r w:rsidRPr="00524435">
              <w:rPr>
                <w:rFonts w:ascii="Cambria" w:hAnsi="Cambria" w:cs="Calibri"/>
                <w:b/>
                <w:bCs/>
                <w:color w:val="FFFFFF" w:themeColor="background1"/>
                <w:sz w:val="20"/>
                <w:szCs w:val="20"/>
              </w:rPr>
              <w:t>Petition number</w:t>
            </w:r>
          </w:p>
        </w:tc>
        <w:tc>
          <w:tcPr>
            <w:tcW w:w="1097" w:type="dxa"/>
            <w:shd w:val="clear" w:color="auto" w:fill="000000" w:themeFill="text1"/>
            <w:noWrap/>
            <w:vAlign w:val="bottom"/>
          </w:tcPr>
          <w:p w14:paraId="486BB9BF" w14:textId="77777777" w:rsidR="007425A1" w:rsidRPr="00524435" w:rsidRDefault="007425A1" w:rsidP="008B7C11">
            <w:pPr>
              <w:spacing w:before="60" w:after="60"/>
              <w:jc w:val="center"/>
              <w:rPr>
                <w:rFonts w:ascii="Cambria" w:hAnsi="Cambria" w:cs="Calibri"/>
                <w:b/>
                <w:bCs/>
                <w:color w:val="FFFFFF" w:themeColor="background1"/>
                <w:sz w:val="20"/>
                <w:szCs w:val="20"/>
              </w:rPr>
            </w:pPr>
            <w:r w:rsidRPr="00524435">
              <w:rPr>
                <w:rFonts w:ascii="Cambria" w:hAnsi="Cambria" w:cs="Calibri"/>
                <w:b/>
                <w:bCs/>
                <w:color w:val="FFFFFF" w:themeColor="background1"/>
                <w:sz w:val="20"/>
                <w:szCs w:val="20"/>
              </w:rPr>
              <w:t>Year</w:t>
            </w:r>
          </w:p>
        </w:tc>
        <w:tc>
          <w:tcPr>
            <w:tcW w:w="2600" w:type="dxa"/>
            <w:shd w:val="clear" w:color="auto" w:fill="000000" w:themeFill="text1"/>
            <w:vAlign w:val="center"/>
          </w:tcPr>
          <w:p w14:paraId="67C1A11C" w14:textId="77777777" w:rsidR="007425A1" w:rsidRPr="00524435" w:rsidRDefault="007425A1" w:rsidP="008B7C11">
            <w:pPr>
              <w:spacing w:before="60" w:after="60"/>
              <w:jc w:val="center"/>
              <w:rPr>
                <w:rFonts w:ascii="Cambria" w:hAnsi="Cambria" w:cs="Calibri"/>
                <w:b/>
                <w:bCs/>
                <w:color w:val="FFFFFF" w:themeColor="background1"/>
                <w:sz w:val="20"/>
                <w:szCs w:val="20"/>
              </w:rPr>
            </w:pPr>
            <w:r w:rsidRPr="00524435">
              <w:rPr>
                <w:rFonts w:ascii="Cambria" w:hAnsi="Cambria" w:cs="Calibri"/>
                <w:b/>
                <w:bCs/>
                <w:color w:val="FFFFFF" w:themeColor="background1"/>
                <w:sz w:val="20"/>
                <w:szCs w:val="20"/>
              </w:rPr>
              <w:t>Procedural stage</w:t>
            </w:r>
          </w:p>
        </w:tc>
      </w:tr>
      <w:tr w:rsidR="007425A1" w:rsidRPr="00524435" w14:paraId="38E0289F" w14:textId="77777777" w:rsidTr="008B7C11">
        <w:trPr>
          <w:trHeight w:val="600"/>
        </w:trPr>
        <w:tc>
          <w:tcPr>
            <w:tcW w:w="958" w:type="dxa"/>
            <w:noWrap/>
            <w:vAlign w:val="center"/>
            <w:hideMark/>
          </w:tcPr>
          <w:p w14:paraId="07AAC78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w:t>
            </w:r>
          </w:p>
        </w:tc>
        <w:tc>
          <w:tcPr>
            <w:tcW w:w="1718" w:type="dxa"/>
            <w:noWrap/>
            <w:vAlign w:val="bottom"/>
            <w:hideMark/>
          </w:tcPr>
          <w:p w14:paraId="3DB61F4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0ED9A87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P-1060-14</w:t>
            </w:r>
          </w:p>
        </w:tc>
        <w:tc>
          <w:tcPr>
            <w:tcW w:w="1097" w:type="dxa"/>
            <w:noWrap/>
            <w:vAlign w:val="bottom"/>
            <w:hideMark/>
          </w:tcPr>
          <w:p w14:paraId="4F211C1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443ED0E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8811E37" w14:textId="77777777" w:rsidTr="008B7C11">
        <w:trPr>
          <w:trHeight w:val="600"/>
        </w:trPr>
        <w:tc>
          <w:tcPr>
            <w:tcW w:w="958" w:type="dxa"/>
            <w:noWrap/>
            <w:vAlign w:val="center"/>
            <w:hideMark/>
          </w:tcPr>
          <w:p w14:paraId="0A83304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w:t>
            </w:r>
          </w:p>
        </w:tc>
        <w:tc>
          <w:tcPr>
            <w:tcW w:w="1718" w:type="dxa"/>
            <w:noWrap/>
            <w:vAlign w:val="bottom"/>
            <w:hideMark/>
          </w:tcPr>
          <w:p w14:paraId="65E00FC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5FCAF68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P-2241-17</w:t>
            </w:r>
          </w:p>
        </w:tc>
        <w:tc>
          <w:tcPr>
            <w:tcW w:w="1097" w:type="dxa"/>
            <w:noWrap/>
            <w:vAlign w:val="bottom"/>
            <w:hideMark/>
          </w:tcPr>
          <w:p w14:paraId="0861593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19A84C3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DB31314" w14:textId="77777777" w:rsidTr="008B7C11">
        <w:trPr>
          <w:trHeight w:val="600"/>
        </w:trPr>
        <w:tc>
          <w:tcPr>
            <w:tcW w:w="958" w:type="dxa"/>
            <w:noWrap/>
            <w:vAlign w:val="center"/>
            <w:hideMark/>
          </w:tcPr>
          <w:p w14:paraId="3C71195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w:t>
            </w:r>
          </w:p>
        </w:tc>
        <w:tc>
          <w:tcPr>
            <w:tcW w:w="1718" w:type="dxa"/>
            <w:noWrap/>
            <w:vAlign w:val="bottom"/>
            <w:hideMark/>
          </w:tcPr>
          <w:p w14:paraId="59E5237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468FAEA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P-969-17</w:t>
            </w:r>
          </w:p>
        </w:tc>
        <w:tc>
          <w:tcPr>
            <w:tcW w:w="1097" w:type="dxa"/>
            <w:noWrap/>
            <w:vAlign w:val="bottom"/>
            <w:hideMark/>
          </w:tcPr>
          <w:p w14:paraId="112B3B1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4287C59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8704C23" w14:textId="77777777" w:rsidTr="008B7C11">
        <w:trPr>
          <w:trHeight w:val="600"/>
        </w:trPr>
        <w:tc>
          <w:tcPr>
            <w:tcW w:w="958" w:type="dxa"/>
            <w:noWrap/>
            <w:vAlign w:val="center"/>
            <w:hideMark/>
          </w:tcPr>
          <w:p w14:paraId="09EFEA7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w:t>
            </w:r>
          </w:p>
        </w:tc>
        <w:tc>
          <w:tcPr>
            <w:tcW w:w="1718" w:type="dxa"/>
            <w:noWrap/>
            <w:vAlign w:val="bottom"/>
            <w:hideMark/>
          </w:tcPr>
          <w:p w14:paraId="5401B46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6073054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P-957-17</w:t>
            </w:r>
          </w:p>
        </w:tc>
        <w:tc>
          <w:tcPr>
            <w:tcW w:w="1097" w:type="dxa"/>
            <w:noWrap/>
            <w:vAlign w:val="bottom"/>
            <w:hideMark/>
          </w:tcPr>
          <w:p w14:paraId="379F16B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6D36553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08FE36A" w14:textId="77777777" w:rsidTr="008B7C11">
        <w:trPr>
          <w:trHeight w:val="600"/>
        </w:trPr>
        <w:tc>
          <w:tcPr>
            <w:tcW w:w="958" w:type="dxa"/>
            <w:noWrap/>
            <w:vAlign w:val="center"/>
            <w:hideMark/>
          </w:tcPr>
          <w:p w14:paraId="6725D23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w:t>
            </w:r>
          </w:p>
        </w:tc>
        <w:tc>
          <w:tcPr>
            <w:tcW w:w="1718" w:type="dxa"/>
            <w:noWrap/>
            <w:vAlign w:val="bottom"/>
            <w:hideMark/>
          </w:tcPr>
          <w:p w14:paraId="30FECA0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3999F31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P-956-17</w:t>
            </w:r>
          </w:p>
        </w:tc>
        <w:tc>
          <w:tcPr>
            <w:tcW w:w="1097" w:type="dxa"/>
            <w:noWrap/>
            <w:vAlign w:val="bottom"/>
            <w:hideMark/>
          </w:tcPr>
          <w:p w14:paraId="620EC2A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6B4EFEB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F50E554" w14:textId="77777777" w:rsidTr="008B7C11">
        <w:trPr>
          <w:trHeight w:val="600"/>
        </w:trPr>
        <w:tc>
          <w:tcPr>
            <w:tcW w:w="958" w:type="dxa"/>
            <w:noWrap/>
            <w:vAlign w:val="center"/>
            <w:hideMark/>
          </w:tcPr>
          <w:p w14:paraId="3B14476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w:t>
            </w:r>
          </w:p>
        </w:tc>
        <w:tc>
          <w:tcPr>
            <w:tcW w:w="1718" w:type="dxa"/>
            <w:noWrap/>
            <w:vAlign w:val="bottom"/>
            <w:hideMark/>
          </w:tcPr>
          <w:p w14:paraId="14050C5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20B76D7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P-944-17</w:t>
            </w:r>
          </w:p>
        </w:tc>
        <w:tc>
          <w:tcPr>
            <w:tcW w:w="1097" w:type="dxa"/>
            <w:noWrap/>
            <w:vAlign w:val="bottom"/>
            <w:hideMark/>
          </w:tcPr>
          <w:p w14:paraId="37EEBAA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5C7C803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61CD523" w14:textId="77777777" w:rsidTr="008B7C11">
        <w:trPr>
          <w:trHeight w:val="600"/>
        </w:trPr>
        <w:tc>
          <w:tcPr>
            <w:tcW w:w="958" w:type="dxa"/>
            <w:noWrap/>
            <w:vAlign w:val="center"/>
            <w:hideMark/>
          </w:tcPr>
          <w:p w14:paraId="4D7A855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7</w:t>
            </w:r>
          </w:p>
        </w:tc>
        <w:tc>
          <w:tcPr>
            <w:tcW w:w="1718" w:type="dxa"/>
            <w:noWrap/>
            <w:vAlign w:val="bottom"/>
            <w:hideMark/>
          </w:tcPr>
          <w:p w14:paraId="7059E21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4343B93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P-644-17</w:t>
            </w:r>
          </w:p>
        </w:tc>
        <w:tc>
          <w:tcPr>
            <w:tcW w:w="1097" w:type="dxa"/>
            <w:noWrap/>
            <w:vAlign w:val="bottom"/>
            <w:hideMark/>
          </w:tcPr>
          <w:p w14:paraId="18254E9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6A45E2D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55ADF97" w14:textId="77777777" w:rsidTr="008B7C11">
        <w:trPr>
          <w:trHeight w:val="600"/>
        </w:trPr>
        <w:tc>
          <w:tcPr>
            <w:tcW w:w="958" w:type="dxa"/>
            <w:noWrap/>
            <w:vAlign w:val="center"/>
            <w:hideMark/>
          </w:tcPr>
          <w:p w14:paraId="6B29509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8</w:t>
            </w:r>
          </w:p>
        </w:tc>
        <w:tc>
          <w:tcPr>
            <w:tcW w:w="1718" w:type="dxa"/>
            <w:noWrap/>
            <w:vAlign w:val="bottom"/>
            <w:hideMark/>
          </w:tcPr>
          <w:p w14:paraId="2B04B50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6EA0913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P-582-17</w:t>
            </w:r>
          </w:p>
        </w:tc>
        <w:tc>
          <w:tcPr>
            <w:tcW w:w="1097" w:type="dxa"/>
            <w:noWrap/>
            <w:vAlign w:val="bottom"/>
            <w:hideMark/>
          </w:tcPr>
          <w:p w14:paraId="20F10C5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5A72E8D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E2FB4A6" w14:textId="77777777" w:rsidTr="008B7C11">
        <w:trPr>
          <w:trHeight w:val="600"/>
        </w:trPr>
        <w:tc>
          <w:tcPr>
            <w:tcW w:w="958" w:type="dxa"/>
            <w:noWrap/>
            <w:vAlign w:val="center"/>
            <w:hideMark/>
          </w:tcPr>
          <w:p w14:paraId="0A405DC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9</w:t>
            </w:r>
          </w:p>
        </w:tc>
        <w:tc>
          <w:tcPr>
            <w:tcW w:w="1718" w:type="dxa"/>
            <w:noWrap/>
            <w:vAlign w:val="bottom"/>
            <w:hideMark/>
          </w:tcPr>
          <w:p w14:paraId="625A5E6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3FE5723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P-510-15</w:t>
            </w:r>
          </w:p>
        </w:tc>
        <w:tc>
          <w:tcPr>
            <w:tcW w:w="1097" w:type="dxa"/>
            <w:noWrap/>
            <w:vAlign w:val="bottom"/>
            <w:hideMark/>
          </w:tcPr>
          <w:p w14:paraId="605B49B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292727D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5564E6D" w14:textId="77777777" w:rsidTr="008B7C11">
        <w:trPr>
          <w:trHeight w:val="600"/>
        </w:trPr>
        <w:tc>
          <w:tcPr>
            <w:tcW w:w="958" w:type="dxa"/>
            <w:noWrap/>
            <w:vAlign w:val="center"/>
            <w:hideMark/>
          </w:tcPr>
          <w:p w14:paraId="67322CD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10</w:t>
            </w:r>
          </w:p>
        </w:tc>
        <w:tc>
          <w:tcPr>
            <w:tcW w:w="1718" w:type="dxa"/>
            <w:noWrap/>
            <w:vAlign w:val="bottom"/>
            <w:hideMark/>
          </w:tcPr>
          <w:p w14:paraId="0AEEA9C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00F39B8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P-813-16</w:t>
            </w:r>
          </w:p>
        </w:tc>
        <w:tc>
          <w:tcPr>
            <w:tcW w:w="1097" w:type="dxa"/>
            <w:noWrap/>
            <w:vAlign w:val="bottom"/>
            <w:hideMark/>
          </w:tcPr>
          <w:p w14:paraId="1CA1221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6CA4B23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E95390C" w14:textId="77777777" w:rsidTr="008B7C11">
        <w:trPr>
          <w:trHeight w:val="600"/>
        </w:trPr>
        <w:tc>
          <w:tcPr>
            <w:tcW w:w="958" w:type="dxa"/>
            <w:noWrap/>
            <w:vAlign w:val="center"/>
            <w:hideMark/>
          </w:tcPr>
          <w:p w14:paraId="5B0B645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11</w:t>
            </w:r>
          </w:p>
        </w:tc>
        <w:tc>
          <w:tcPr>
            <w:tcW w:w="1718" w:type="dxa"/>
            <w:noWrap/>
            <w:vAlign w:val="bottom"/>
            <w:hideMark/>
          </w:tcPr>
          <w:p w14:paraId="5F14648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2C612E2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P-1586-17</w:t>
            </w:r>
          </w:p>
        </w:tc>
        <w:tc>
          <w:tcPr>
            <w:tcW w:w="1097" w:type="dxa"/>
            <w:noWrap/>
            <w:vAlign w:val="bottom"/>
            <w:hideMark/>
          </w:tcPr>
          <w:p w14:paraId="2733DD2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BB8760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0E7909A" w14:textId="77777777" w:rsidTr="008B7C11">
        <w:trPr>
          <w:trHeight w:val="600"/>
        </w:trPr>
        <w:tc>
          <w:tcPr>
            <w:tcW w:w="958" w:type="dxa"/>
            <w:noWrap/>
            <w:vAlign w:val="center"/>
            <w:hideMark/>
          </w:tcPr>
          <w:p w14:paraId="7DBA4BE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12</w:t>
            </w:r>
          </w:p>
        </w:tc>
        <w:tc>
          <w:tcPr>
            <w:tcW w:w="1718" w:type="dxa"/>
            <w:noWrap/>
            <w:vAlign w:val="bottom"/>
            <w:hideMark/>
          </w:tcPr>
          <w:p w14:paraId="6EFF1F9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4C6B6D5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P-1092-14</w:t>
            </w:r>
          </w:p>
        </w:tc>
        <w:tc>
          <w:tcPr>
            <w:tcW w:w="1097" w:type="dxa"/>
            <w:noWrap/>
            <w:vAlign w:val="bottom"/>
            <w:hideMark/>
          </w:tcPr>
          <w:p w14:paraId="504FB20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1C6E5CB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5792C9E" w14:textId="77777777" w:rsidTr="008B7C11">
        <w:trPr>
          <w:trHeight w:val="600"/>
        </w:trPr>
        <w:tc>
          <w:tcPr>
            <w:tcW w:w="958" w:type="dxa"/>
            <w:noWrap/>
            <w:vAlign w:val="center"/>
            <w:hideMark/>
          </w:tcPr>
          <w:p w14:paraId="5EA33FA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1718" w:type="dxa"/>
            <w:noWrap/>
            <w:vAlign w:val="bottom"/>
            <w:hideMark/>
          </w:tcPr>
          <w:p w14:paraId="37CDF67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7374CBF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P-1450-14</w:t>
            </w:r>
          </w:p>
        </w:tc>
        <w:tc>
          <w:tcPr>
            <w:tcW w:w="1097" w:type="dxa"/>
            <w:noWrap/>
            <w:vAlign w:val="bottom"/>
            <w:hideMark/>
          </w:tcPr>
          <w:p w14:paraId="62C14D9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2CCAA71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5E1D1A1" w14:textId="77777777" w:rsidTr="008B7C11">
        <w:trPr>
          <w:trHeight w:val="600"/>
        </w:trPr>
        <w:tc>
          <w:tcPr>
            <w:tcW w:w="958" w:type="dxa"/>
            <w:noWrap/>
            <w:vAlign w:val="center"/>
            <w:hideMark/>
          </w:tcPr>
          <w:p w14:paraId="44B18EA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1718" w:type="dxa"/>
            <w:noWrap/>
            <w:vAlign w:val="bottom"/>
            <w:hideMark/>
          </w:tcPr>
          <w:p w14:paraId="6AB9793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686D600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P-99-14</w:t>
            </w:r>
          </w:p>
        </w:tc>
        <w:tc>
          <w:tcPr>
            <w:tcW w:w="1097" w:type="dxa"/>
            <w:noWrap/>
            <w:vAlign w:val="bottom"/>
            <w:hideMark/>
          </w:tcPr>
          <w:p w14:paraId="47097C8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51FA2EC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AD82366" w14:textId="77777777" w:rsidTr="008B7C11">
        <w:trPr>
          <w:trHeight w:val="600"/>
        </w:trPr>
        <w:tc>
          <w:tcPr>
            <w:tcW w:w="958" w:type="dxa"/>
            <w:noWrap/>
            <w:vAlign w:val="center"/>
            <w:hideMark/>
          </w:tcPr>
          <w:p w14:paraId="4333C39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1718" w:type="dxa"/>
            <w:noWrap/>
            <w:vAlign w:val="bottom"/>
            <w:hideMark/>
          </w:tcPr>
          <w:p w14:paraId="33E330E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2DD6E3F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P-717-14</w:t>
            </w:r>
          </w:p>
        </w:tc>
        <w:tc>
          <w:tcPr>
            <w:tcW w:w="1097" w:type="dxa"/>
            <w:noWrap/>
            <w:vAlign w:val="bottom"/>
            <w:hideMark/>
          </w:tcPr>
          <w:p w14:paraId="27F4EF8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7A95AB4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1A7BD0F" w14:textId="77777777" w:rsidTr="008B7C11">
        <w:trPr>
          <w:trHeight w:val="600"/>
        </w:trPr>
        <w:tc>
          <w:tcPr>
            <w:tcW w:w="958" w:type="dxa"/>
            <w:noWrap/>
            <w:vAlign w:val="center"/>
            <w:hideMark/>
          </w:tcPr>
          <w:p w14:paraId="30D2D5D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1718" w:type="dxa"/>
            <w:noWrap/>
            <w:vAlign w:val="bottom"/>
            <w:hideMark/>
          </w:tcPr>
          <w:p w14:paraId="2362BED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1E405C9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P-1844-11</w:t>
            </w:r>
          </w:p>
        </w:tc>
        <w:tc>
          <w:tcPr>
            <w:tcW w:w="1097" w:type="dxa"/>
            <w:noWrap/>
            <w:vAlign w:val="bottom"/>
            <w:hideMark/>
          </w:tcPr>
          <w:p w14:paraId="262C7A2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11</w:t>
            </w:r>
          </w:p>
        </w:tc>
        <w:tc>
          <w:tcPr>
            <w:tcW w:w="2600" w:type="dxa"/>
            <w:vAlign w:val="center"/>
            <w:hideMark/>
          </w:tcPr>
          <w:p w14:paraId="1355E7B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597F9CC" w14:textId="77777777" w:rsidTr="008B7C11">
        <w:trPr>
          <w:trHeight w:val="600"/>
        </w:trPr>
        <w:tc>
          <w:tcPr>
            <w:tcW w:w="958" w:type="dxa"/>
            <w:noWrap/>
            <w:vAlign w:val="center"/>
            <w:hideMark/>
          </w:tcPr>
          <w:p w14:paraId="7B0CD74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1718" w:type="dxa"/>
            <w:noWrap/>
            <w:vAlign w:val="bottom"/>
            <w:hideMark/>
          </w:tcPr>
          <w:p w14:paraId="36AB3E5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62838C8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P-1349-14</w:t>
            </w:r>
          </w:p>
        </w:tc>
        <w:tc>
          <w:tcPr>
            <w:tcW w:w="1097" w:type="dxa"/>
            <w:noWrap/>
            <w:vAlign w:val="bottom"/>
            <w:hideMark/>
          </w:tcPr>
          <w:p w14:paraId="6BB24F8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32A3163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3BDE3C5" w14:textId="77777777" w:rsidTr="008B7C11">
        <w:trPr>
          <w:trHeight w:val="600"/>
        </w:trPr>
        <w:tc>
          <w:tcPr>
            <w:tcW w:w="958" w:type="dxa"/>
            <w:noWrap/>
            <w:vAlign w:val="center"/>
            <w:hideMark/>
          </w:tcPr>
          <w:p w14:paraId="2256DB5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18</w:t>
            </w:r>
          </w:p>
        </w:tc>
        <w:tc>
          <w:tcPr>
            <w:tcW w:w="1718" w:type="dxa"/>
            <w:noWrap/>
            <w:vAlign w:val="bottom"/>
            <w:hideMark/>
          </w:tcPr>
          <w:p w14:paraId="792905A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35CA8CD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P-273-16</w:t>
            </w:r>
          </w:p>
        </w:tc>
        <w:tc>
          <w:tcPr>
            <w:tcW w:w="1097" w:type="dxa"/>
            <w:noWrap/>
            <w:vAlign w:val="bottom"/>
            <w:hideMark/>
          </w:tcPr>
          <w:p w14:paraId="368AF94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0C8A612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DFF3C35" w14:textId="77777777" w:rsidTr="008B7C11">
        <w:trPr>
          <w:trHeight w:val="600"/>
        </w:trPr>
        <w:tc>
          <w:tcPr>
            <w:tcW w:w="958" w:type="dxa"/>
            <w:noWrap/>
            <w:vAlign w:val="center"/>
            <w:hideMark/>
          </w:tcPr>
          <w:p w14:paraId="16D7C4C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19</w:t>
            </w:r>
          </w:p>
        </w:tc>
        <w:tc>
          <w:tcPr>
            <w:tcW w:w="1718" w:type="dxa"/>
            <w:noWrap/>
            <w:vAlign w:val="bottom"/>
            <w:hideMark/>
          </w:tcPr>
          <w:p w14:paraId="6EA5A3D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638B783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P-487-17</w:t>
            </w:r>
          </w:p>
        </w:tc>
        <w:tc>
          <w:tcPr>
            <w:tcW w:w="1097" w:type="dxa"/>
            <w:noWrap/>
            <w:vAlign w:val="bottom"/>
            <w:hideMark/>
          </w:tcPr>
          <w:p w14:paraId="78900C2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492E3DA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FFEEEBB" w14:textId="77777777" w:rsidTr="008B7C11">
        <w:trPr>
          <w:trHeight w:val="600"/>
        </w:trPr>
        <w:tc>
          <w:tcPr>
            <w:tcW w:w="958" w:type="dxa"/>
            <w:noWrap/>
            <w:vAlign w:val="center"/>
            <w:hideMark/>
          </w:tcPr>
          <w:p w14:paraId="13B5744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20</w:t>
            </w:r>
          </w:p>
        </w:tc>
        <w:tc>
          <w:tcPr>
            <w:tcW w:w="1718" w:type="dxa"/>
            <w:noWrap/>
            <w:vAlign w:val="bottom"/>
            <w:hideMark/>
          </w:tcPr>
          <w:p w14:paraId="3339A18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44F68F8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P-606-17</w:t>
            </w:r>
          </w:p>
        </w:tc>
        <w:tc>
          <w:tcPr>
            <w:tcW w:w="1097" w:type="dxa"/>
            <w:noWrap/>
            <w:vAlign w:val="bottom"/>
            <w:hideMark/>
          </w:tcPr>
          <w:p w14:paraId="41EE40C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6C381EB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2204032" w14:textId="77777777" w:rsidTr="008B7C11">
        <w:trPr>
          <w:trHeight w:val="600"/>
        </w:trPr>
        <w:tc>
          <w:tcPr>
            <w:tcW w:w="958" w:type="dxa"/>
            <w:noWrap/>
            <w:vAlign w:val="center"/>
            <w:hideMark/>
          </w:tcPr>
          <w:p w14:paraId="321941D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21</w:t>
            </w:r>
          </w:p>
        </w:tc>
        <w:tc>
          <w:tcPr>
            <w:tcW w:w="1718" w:type="dxa"/>
            <w:noWrap/>
            <w:vAlign w:val="bottom"/>
            <w:hideMark/>
          </w:tcPr>
          <w:p w14:paraId="0DFFC10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279C0C6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P-1813-17</w:t>
            </w:r>
          </w:p>
        </w:tc>
        <w:tc>
          <w:tcPr>
            <w:tcW w:w="1097" w:type="dxa"/>
            <w:noWrap/>
            <w:vAlign w:val="bottom"/>
            <w:hideMark/>
          </w:tcPr>
          <w:p w14:paraId="2895428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126373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32CE4A9" w14:textId="77777777" w:rsidTr="008B7C11">
        <w:trPr>
          <w:trHeight w:val="600"/>
        </w:trPr>
        <w:tc>
          <w:tcPr>
            <w:tcW w:w="958" w:type="dxa"/>
            <w:noWrap/>
            <w:vAlign w:val="center"/>
            <w:hideMark/>
          </w:tcPr>
          <w:p w14:paraId="1A4B9F8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22</w:t>
            </w:r>
          </w:p>
        </w:tc>
        <w:tc>
          <w:tcPr>
            <w:tcW w:w="1718" w:type="dxa"/>
            <w:noWrap/>
            <w:vAlign w:val="bottom"/>
            <w:hideMark/>
          </w:tcPr>
          <w:p w14:paraId="6232AE9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4D613BE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P-1223-14</w:t>
            </w:r>
          </w:p>
        </w:tc>
        <w:tc>
          <w:tcPr>
            <w:tcW w:w="1097" w:type="dxa"/>
            <w:noWrap/>
            <w:vAlign w:val="bottom"/>
            <w:hideMark/>
          </w:tcPr>
          <w:p w14:paraId="2642CE2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6BEB767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9E6E391" w14:textId="77777777" w:rsidTr="008B7C11">
        <w:trPr>
          <w:trHeight w:val="600"/>
        </w:trPr>
        <w:tc>
          <w:tcPr>
            <w:tcW w:w="958" w:type="dxa"/>
            <w:noWrap/>
            <w:vAlign w:val="center"/>
            <w:hideMark/>
          </w:tcPr>
          <w:p w14:paraId="2C4D060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23</w:t>
            </w:r>
          </w:p>
        </w:tc>
        <w:tc>
          <w:tcPr>
            <w:tcW w:w="1718" w:type="dxa"/>
            <w:noWrap/>
            <w:vAlign w:val="bottom"/>
            <w:hideMark/>
          </w:tcPr>
          <w:p w14:paraId="21ED243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219249F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P-1611-14</w:t>
            </w:r>
          </w:p>
        </w:tc>
        <w:tc>
          <w:tcPr>
            <w:tcW w:w="1097" w:type="dxa"/>
            <w:noWrap/>
            <w:vAlign w:val="bottom"/>
            <w:hideMark/>
          </w:tcPr>
          <w:p w14:paraId="042D2EC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54674C4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8BC0954" w14:textId="77777777" w:rsidTr="008B7C11">
        <w:trPr>
          <w:trHeight w:val="600"/>
        </w:trPr>
        <w:tc>
          <w:tcPr>
            <w:tcW w:w="958" w:type="dxa"/>
            <w:noWrap/>
            <w:vAlign w:val="center"/>
            <w:hideMark/>
          </w:tcPr>
          <w:p w14:paraId="49B4F0F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24</w:t>
            </w:r>
          </w:p>
        </w:tc>
        <w:tc>
          <w:tcPr>
            <w:tcW w:w="1718" w:type="dxa"/>
            <w:noWrap/>
            <w:vAlign w:val="bottom"/>
            <w:hideMark/>
          </w:tcPr>
          <w:p w14:paraId="3D8E066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0C989E3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P-1658-14</w:t>
            </w:r>
          </w:p>
        </w:tc>
        <w:tc>
          <w:tcPr>
            <w:tcW w:w="1097" w:type="dxa"/>
            <w:noWrap/>
            <w:vAlign w:val="bottom"/>
            <w:hideMark/>
          </w:tcPr>
          <w:p w14:paraId="55FAAD6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0CDB00D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BC5B785" w14:textId="77777777" w:rsidTr="008B7C11">
        <w:trPr>
          <w:trHeight w:val="600"/>
        </w:trPr>
        <w:tc>
          <w:tcPr>
            <w:tcW w:w="958" w:type="dxa"/>
            <w:noWrap/>
            <w:vAlign w:val="center"/>
            <w:hideMark/>
          </w:tcPr>
          <w:p w14:paraId="70BEB17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25</w:t>
            </w:r>
          </w:p>
        </w:tc>
        <w:tc>
          <w:tcPr>
            <w:tcW w:w="1718" w:type="dxa"/>
            <w:noWrap/>
            <w:vAlign w:val="bottom"/>
            <w:hideMark/>
          </w:tcPr>
          <w:p w14:paraId="5EAABC7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570C9E2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P-1993-15</w:t>
            </w:r>
          </w:p>
        </w:tc>
        <w:tc>
          <w:tcPr>
            <w:tcW w:w="1097" w:type="dxa"/>
            <w:noWrap/>
            <w:vAlign w:val="bottom"/>
            <w:hideMark/>
          </w:tcPr>
          <w:p w14:paraId="1A1C539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4BBF0F9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7145687" w14:textId="77777777" w:rsidTr="008B7C11">
        <w:trPr>
          <w:trHeight w:val="600"/>
        </w:trPr>
        <w:tc>
          <w:tcPr>
            <w:tcW w:w="958" w:type="dxa"/>
            <w:noWrap/>
            <w:vAlign w:val="center"/>
            <w:hideMark/>
          </w:tcPr>
          <w:p w14:paraId="6B1E54D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26</w:t>
            </w:r>
          </w:p>
        </w:tc>
        <w:tc>
          <w:tcPr>
            <w:tcW w:w="1718" w:type="dxa"/>
            <w:noWrap/>
            <w:vAlign w:val="bottom"/>
            <w:hideMark/>
          </w:tcPr>
          <w:p w14:paraId="05A988C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53F04D6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P-685-16</w:t>
            </w:r>
          </w:p>
        </w:tc>
        <w:tc>
          <w:tcPr>
            <w:tcW w:w="1097" w:type="dxa"/>
            <w:noWrap/>
            <w:vAlign w:val="bottom"/>
            <w:hideMark/>
          </w:tcPr>
          <w:p w14:paraId="44D704F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07E77F8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D0B8661" w14:textId="77777777" w:rsidTr="008B7C11">
        <w:trPr>
          <w:trHeight w:val="600"/>
        </w:trPr>
        <w:tc>
          <w:tcPr>
            <w:tcW w:w="958" w:type="dxa"/>
            <w:noWrap/>
            <w:vAlign w:val="center"/>
            <w:hideMark/>
          </w:tcPr>
          <w:p w14:paraId="424855E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27</w:t>
            </w:r>
          </w:p>
        </w:tc>
        <w:tc>
          <w:tcPr>
            <w:tcW w:w="1718" w:type="dxa"/>
            <w:noWrap/>
            <w:vAlign w:val="bottom"/>
            <w:hideMark/>
          </w:tcPr>
          <w:p w14:paraId="6C13749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416D05F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P-876-15</w:t>
            </w:r>
          </w:p>
        </w:tc>
        <w:tc>
          <w:tcPr>
            <w:tcW w:w="1097" w:type="dxa"/>
            <w:noWrap/>
            <w:vAlign w:val="bottom"/>
            <w:hideMark/>
          </w:tcPr>
          <w:p w14:paraId="0E89F23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5D1D6DD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5070E81" w14:textId="77777777" w:rsidTr="008B7C11">
        <w:trPr>
          <w:trHeight w:val="600"/>
        </w:trPr>
        <w:tc>
          <w:tcPr>
            <w:tcW w:w="958" w:type="dxa"/>
            <w:noWrap/>
            <w:vAlign w:val="center"/>
            <w:hideMark/>
          </w:tcPr>
          <w:p w14:paraId="4E2F16B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28</w:t>
            </w:r>
          </w:p>
        </w:tc>
        <w:tc>
          <w:tcPr>
            <w:tcW w:w="1718" w:type="dxa"/>
            <w:noWrap/>
            <w:vAlign w:val="bottom"/>
            <w:hideMark/>
          </w:tcPr>
          <w:p w14:paraId="7F86943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68F1BF6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P-27-15</w:t>
            </w:r>
          </w:p>
        </w:tc>
        <w:tc>
          <w:tcPr>
            <w:tcW w:w="1097" w:type="dxa"/>
            <w:noWrap/>
            <w:vAlign w:val="bottom"/>
            <w:hideMark/>
          </w:tcPr>
          <w:p w14:paraId="1D47B03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623F64B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9996A3D" w14:textId="77777777" w:rsidTr="008B7C11">
        <w:trPr>
          <w:trHeight w:val="600"/>
        </w:trPr>
        <w:tc>
          <w:tcPr>
            <w:tcW w:w="958" w:type="dxa"/>
            <w:noWrap/>
            <w:vAlign w:val="center"/>
            <w:hideMark/>
          </w:tcPr>
          <w:p w14:paraId="6AC43EC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29</w:t>
            </w:r>
          </w:p>
        </w:tc>
        <w:tc>
          <w:tcPr>
            <w:tcW w:w="1718" w:type="dxa"/>
            <w:noWrap/>
            <w:vAlign w:val="bottom"/>
            <w:hideMark/>
          </w:tcPr>
          <w:p w14:paraId="05A9694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4F38B4E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P-1565-15</w:t>
            </w:r>
          </w:p>
        </w:tc>
        <w:tc>
          <w:tcPr>
            <w:tcW w:w="1097" w:type="dxa"/>
            <w:noWrap/>
            <w:vAlign w:val="bottom"/>
            <w:hideMark/>
          </w:tcPr>
          <w:p w14:paraId="4D8152F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7558C56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1913BAC" w14:textId="77777777" w:rsidTr="008B7C11">
        <w:trPr>
          <w:trHeight w:val="600"/>
        </w:trPr>
        <w:tc>
          <w:tcPr>
            <w:tcW w:w="958" w:type="dxa"/>
            <w:noWrap/>
            <w:vAlign w:val="center"/>
            <w:hideMark/>
          </w:tcPr>
          <w:p w14:paraId="3D8D88F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30</w:t>
            </w:r>
          </w:p>
        </w:tc>
        <w:tc>
          <w:tcPr>
            <w:tcW w:w="1718" w:type="dxa"/>
            <w:noWrap/>
            <w:vAlign w:val="bottom"/>
            <w:hideMark/>
          </w:tcPr>
          <w:p w14:paraId="79CD422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526FAFC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P-1609-16</w:t>
            </w:r>
          </w:p>
        </w:tc>
        <w:tc>
          <w:tcPr>
            <w:tcW w:w="1097" w:type="dxa"/>
            <w:noWrap/>
            <w:vAlign w:val="bottom"/>
            <w:hideMark/>
          </w:tcPr>
          <w:p w14:paraId="21B6540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6AC1A2D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DA75739" w14:textId="77777777" w:rsidTr="008B7C11">
        <w:trPr>
          <w:trHeight w:val="600"/>
        </w:trPr>
        <w:tc>
          <w:tcPr>
            <w:tcW w:w="958" w:type="dxa"/>
            <w:noWrap/>
            <w:vAlign w:val="center"/>
            <w:hideMark/>
          </w:tcPr>
          <w:p w14:paraId="5BAAEAF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31</w:t>
            </w:r>
          </w:p>
        </w:tc>
        <w:tc>
          <w:tcPr>
            <w:tcW w:w="1718" w:type="dxa"/>
            <w:noWrap/>
            <w:vAlign w:val="bottom"/>
            <w:hideMark/>
          </w:tcPr>
          <w:p w14:paraId="4705938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3BFA3F1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P-175-15</w:t>
            </w:r>
          </w:p>
        </w:tc>
        <w:tc>
          <w:tcPr>
            <w:tcW w:w="1097" w:type="dxa"/>
            <w:noWrap/>
            <w:vAlign w:val="bottom"/>
            <w:hideMark/>
          </w:tcPr>
          <w:p w14:paraId="0A526DE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174E308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A53B47A" w14:textId="77777777" w:rsidTr="008B7C11">
        <w:trPr>
          <w:trHeight w:val="600"/>
        </w:trPr>
        <w:tc>
          <w:tcPr>
            <w:tcW w:w="958" w:type="dxa"/>
            <w:noWrap/>
            <w:vAlign w:val="center"/>
            <w:hideMark/>
          </w:tcPr>
          <w:p w14:paraId="07C9EC7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32</w:t>
            </w:r>
          </w:p>
        </w:tc>
        <w:tc>
          <w:tcPr>
            <w:tcW w:w="1718" w:type="dxa"/>
            <w:noWrap/>
            <w:vAlign w:val="bottom"/>
            <w:hideMark/>
          </w:tcPr>
          <w:p w14:paraId="6880708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226913A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P-1393-15</w:t>
            </w:r>
          </w:p>
        </w:tc>
        <w:tc>
          <w:tcPr>
            <w:tcW w:w="1097" w:type="dxa"/>
            <w:noWrap/>
            <w:vAlign w:val="bottom"/>
            <w:hideMark/>
          </w:tcPr>
          <w:p w14:paraId="3424B5A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7F58BCE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CB5E997" w14:textId="77777777" w:rsidTr="008B7C11">
        <w:trPr>
          <w:trHeight w:val="600"/>
        </w:trPr>
        <w:tc>
          <w:tcPr>
            <w:tcW w:w="958" w:type="dxa"/>
            <w:noWrap/>
            <w:vAlign w:val="center"/>
            <w:hideMark/>
          </w:tcPr>
          <w:p w14:paraId="483F559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33</w:t>
            </w:r>
          </w:p>
        </w:tc>
        <w:tc>
          <w:tcPr>
            <w:tcW w:w="1718" w:type="dxa"/>
            <w:noWrap/>
            <w:vAlign w:val="bottom"/>
            <w:hideMark/>
          </w:tcPr>
          <w:p w14:paraId="40C3F85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391C1EE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P-14-15</w:t>
            </w:r>
          </w:p>
        </w:tc>
        <w:tc>
          <w:tcPr>
            <w:tcW w:w="1097" w:type="dxa"/>
            <w:noWrap/>
            <w:vAlign w:val="bottom"/>
            <w:hideMark/>
          </w:tcPr>
          <w:p w14:paraId="06DADF0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15AA2E1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CE5DCC3" w14:textId="77777777" w:rsidTr="008B7C11">
        <w:trPr>
          <w:trHeight w:val="600"/>
        </w:trPr>
        <w:tc>
          <w:tcPr>
            <w:tcW w:w="958" w:type="dxa"/>
            <w:noWrap/>
            <w:vAlign w:val="center"/>
            <w:hideMark/>
          </w:tcPr>
          <w:p w14:paraId="29CF0E2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34</w:t>
            </w:r>
          </w:p>
        </w:tc>
        <w:tc>
          <w:tcPr>
            <w:tcW w:w="1718" w:type="dxa"/>
            <w:noWrap/>
            <w:vAlign w:val="bottom"/>
            <w:hideMark/>
          </w:tcPr>
          <w:p w14:paraId="075F1F9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674C0F3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P-1211-14</w:t>
            </w:r>
          </w:p>
        </w:tc>
        <w:tc>
          <w:tcPr>
            <w:tcW w:w="1097" w:type="dxa"/>
            <w:noWrap/>
            <w:vAlign w:val="bottom"/>
            <w:hideMark/>
          </w:tcPr>
          <w:p w14:paraId="6BF09AA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0868F0A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61B69FF" w14:textId="77777777" w:rsidTr="008B7C11">
        <w:trPr>
          <w:trHeight w:val="600"/>
        </w:trPr>
        <w:tc>
          <w:tcPr>
            <w:tcW w:w="958" w:type="dxa"/>
            <w:noWrap/>
            <w:vAlign w:val="center"/>
            <w:hideMark/>
          </w:tcPr>
          <w:p w14:paraId="5952FC5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35</w:t>
            </w:r>
          </w:p>
        </w:tc>
        <w:tc>
          <w:tcPr>
            <w:tcW w:w="1718" w:type="dxa"/>
            <w:noWrap/>
            <w:vAlign w:val="bottom"/>
            <w:hideMark/>
          </w:tcPr>
          <w:p w14:paraId="5FA80EE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4D5026E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P-1699-17</w:t>
            </w:r>
          </w:p>
        </w:tc>
        <w:tc>
          <w:tcPr>
            <w:tcW w:w="1097" w:type="dxa"/>
            <w:noWrap/>
            <w:vAlign w:val="bottom"/>
            <w:hideMark/>
          </w:tcPr>
          <w:p w14:paraId="16F06EB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20D4285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B9D13D1" w14:textId="77777777" w:rsidTr="008B7C11">
        <w:trPr>
          <w:trHeight w:val="600"/>
        </w:trPr>
        <w:tc>
          <w:tcPr>
            <w:tcW w:w="958" w:type="dxa"/>
            <w:noWrap/>
            <w:vAlign w:val="center"/>
            <w:hideMark/>
          </w:tcPr>
          <w:p w14:paraId="64BE027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36</w:t>
            </w:r>
          </w:p>
        </w:tc>
        <w:tc>
          <w:tcPr>
            <w:tcW w:w="1718" w:type="dxa"/>
            <w:noWrap/>
            <w:vAlign w:val="bottom"/>
            <w:hideMark/>
          </w:tcPr>
          <w:p w14:paraId="6870D31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4B5DEC1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P-1034-16</w:t>
            </w:r>
          </w:p>
        </w:tc>
        <w:tc>
          <w:tcPr>
            <w:tcW w:w="1097" w:type="dxa"/>
            <w:noWrap/>
            <w:vAlign w:val="bottom"/>
            <w:hideMark/>
          </w:tcPr>
          <w:p w14:paraId="6D383CE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2185230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12EEB3D" w14:textId="77777777" w:rsidTr="008B7C11">
        <w:trPr>
          <w:trHeight w:val="600"/>
        </w:trPr>
        <w:tc>
          <w:tcPr>
            <w:tcW w:w="958" w:type="dxa"/>
            <w:noWrap/>
            <w:vAlign w:val="center"/>
            <w:hideMark/>
          </w:tcPr>
          <w:p w14:paraId="240DF7B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37</w:t>
            </w:r>
          </w:p>
        </w:tc>
        <w:tc>
          <w:tcPr>
            <w:tcW w:w="1718" w:type="dxa"/>
            <w:noWrap/>
            <w:vAlign w:val="bottom"/>
            <w:hideMark/>
          </w:tcPr>
          <w:p w14:paraId="46E5099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5BACAA3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P-755-16</w:t>
            </w:r>
          </w:p>
        </w:tc>
        <w:tc>
          <w:tcPr>
            <w:tcW w:w="1097" w:type="dxa"/>
            <w:noWrap/>
            <w:vAlign w:val="bottom"/>
            <w:hideMark/>
          </w:tcPr>
          <w:p w14:paraId="0A0BA03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7B0EC88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9E26CCB" w14:textId="77777777" w:rsidTr="008B7C11">
        <w:trPr>
          <w:trHeight w:val="600"/>
        </w:trPr>
        <w:tc>
          <w:tcPr>
            <w:tcW w:w="958" w:type="dxa"/>
            <w:noWrap/>
            <w:vAlign w:val="center"/>
            <w:hideMark/>
          </w:tcPr>
          <w:p w14:paraId="000325B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38</w:t>
            </w:r>
          </w:p>
        </w:tc>
        <w:tc>
          <w:tcPr>
            <w:tcW w:w="1718" w:type="dxa"/>
            <w:noWrap/>
            <w:vAlign w:val="bottom"/>
            <w:hideMark/>
          </w:tcPr>
          <w:p w14:paraId="13CA3A1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ARGENTINA</w:t>
            </w:r>
          </w:p>
        </w:tc>
        <w:tc>
          <w:tcPr>
            <w:tcW w:w="2712" w:type="dxa"/>
            <w:noWrap/>
            <w:vAlign w:val="bottom"/>
            <w:hideMark/>
          </w:tcPr>
          <w:p w14:paraId="50245A1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P-1400-14</w:t>
            </w:r>
          </w:p>
        </w:tc>
        <w:tc>
          <w:tcPr>
            <w:tcW w:w="1097" w:type="dxa"/>
            <w:noWrap/>
            <w:vAlign w:val="bottom"/>
            <w:hideMark/>
          </w:tcPr>
          <w:p w14:paraId="1D9FFE7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1DF1374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24FD7AA" w14:textId="77777777" w:rsidTr="008B7C11">
        <w:trPr>
          <w:trHeight w:val="600"/>
        </w:trPr>
        <w:tc>
          <w:tcPr>
            <w:tcW w:w="958" w:type="dxa"/>
            <w:noWrap/>
            <w:vAlign w:val="center"/>
            <w:hideMark/>
          </w:tcPr>
          <w:p w14:paraId="0E7484F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39</w:t>
            </w:r>
          </w:p>
        </w:tc>
        <w:tc>
          <w:tcPr>
            <w:tcW w:w="1718" w:type="dxa"/>
            <w:noWrap/>
            <w:vAlign w:val="bottom"/>
            <w:hideMark/>
          </w:tcPr>
          <w:p w14:paraId="271D835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BAHAMAS</w:t>
            </w:r>
          </w:p>
        </w:tc>
        <w:tc>
          <w:tcPr>
            <w:tcW w:w="2712" w:type="dxa"/>
            <w:noWrap/>
            <w:vAlign w:val="bottom"/>
            <w:hideMark/>
          </w:tcPr>
          <w:p w14:paraId="3244A6B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P-543-14</w:t>
            </w:r>
          </w:p>
        </w:tc>
        <w:tc>
          <w:tcPr>
            <w:tcW w:w="1097" w:type="dxa"/>
            <w:noWrap/>
            <w:vAlign w:val="bottom"/>
            <w:hideMark/>
          </w:tcPr>
          <w:p w14:paraId="0EBD0CA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059B4FC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73CC27B" w14:textId="77777777" w:rsidTr="008B7C11">
        <w:trPr>
          <w:trHeight w:val="600"/>
        </w:trPr>
        <w:tc>
          <w:tcPr>
            <w:tcW w:w="958" w:type="dxa"/>
            <w:noWrap/>
            <w:vAlign w:val="center"/>
            <w:hideMark/>
          </w:tcPr>
          <w:p w14:paraId="3C1156D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40</w:t>
            </w:r>
          </w:p>
        </w:tc>
        <w:tc>
          <w:tcPr>
            <w:tcW w:w="1718" w:type="dxa"/>
            <w:noWrap/>
            <w:vAlign w:val="bottom"/>
            <w:hideMark/>
          </w:tcPr>
          <w:p w14:paraId="003D7E4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BOLIVIA</w:t>
            </w:r>
          </w:p>
        </w:tc>
        <w:tc>
          <w:tcPr>
            <w:tcW w:w="2712" w:type="dxa"/>
            <w:noWrap/>
            <w:vAlign w:val="bottom"/>
            <w:hideMark/>
          </w:tcPr>
          <w:p w14:paraId="522138A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P-169-14</w:t>
            </w:r>
          </w:p>
        </w:tc>
        <w:tc>
          <w:tcPr>
            <w:tcW w:w="1097" w:type="dxa"/>
            <w:noWrap/>
            <w:vAlign w:val="bottom"/>
            <w:hideMark/>
          </w:tcPr>
          <w:p w14:paraId="5F879C5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7084870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2BF06EC" w14:textId="77777777" w:rsidTr="008B7C11">
        <w:trPr>
          <w:trHeight w:val="600"/>
        </w:trPr>
        <w:tc>
          <w:tcPr>
            <w:tcW w:w="958" w:type="dxa"/>
            <w:noWrap/>
            <w:vAlign w:val="center"/>
            <w:hideMark/>
          </w:tcPr>
          <w:p w14:paraId="60FD9F4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41</w:t>
            </w:r>
          </w:p>
        </w:tc>
        <w:tc>
          <w:tcPr>
            <w:tcW w:w="1718" w:type="dxa"/>
            <w:noWrap/>
            <w:vAlign w:val="bottom"/>
            <w:hideMark/>
          </w:tcPr>
          <w:p w14:paraId="7CD55D2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BOLIVIA</w:t>
            </w:r>
          </w:p>
        </w:tc>
        <w:tc>
          <w:tcPr>
            <w:tcW w:w="2712" w:type="dxa"/>
            <w:noWrap/>
            <w:vAlign w:val="bottom"/>
            <w:hideMark/>
          </w:tcPr>
          <w:p w14:paraId="2062CD7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P-1910-14</w:t>
            </w:r>
          </w:p>
        </w:tc>
        <w:tc>
          <w:tcPr>
            <w:tcW w:w="1097" w:type="dxa"/>
            <w:noWrap/>
            <w:vAlign w:val="bottom"/>
            <w:hideMark/>
          </w:tcPr>
          <w:p w14:paraId="097178F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613B808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C327D59" w14:textId="77777777" w:rsidTr="008B7C11">
        <w:trPr>
          <w:trHeight w:val="600"/>
        </w:trPr>
        <w:tc>
          <w:tcPr>
            <w:tcW w:w="958" w:type="dxa"/>
            <w:noWrap/>
            <w:vAlign w:val="center"/>
            <w:hideMark/>
          </w:tcPr>
          <w:p w14:paraId="35796EF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42</w:t>
            </w:r>
          </w:p>
        </w:tc>
        <w:tc>
          <w:tcPr>
            <w:tcW w:w="1718" w:type="dxa"/>
            <w:noWrap/>
            <w:vAlign w:val="bottom"/>
            <w:hideMark/>
          </w:tcPr>
          <w:p w14:paraId="0EA1D9E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BOLIVIA</w:t>
            </w:r>
          </w:p>
        </w:tc>
        <w:tc>
          <w:tcPr>
            <w:tcW w:w="2712" w:type="dxa"/>
            <w:noWrap/>
            <w:vAlign w:val="bottom"/>
            <w:hideMark/>
          </w:tcPr>
          <w:p w14:paraId="7231889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P-1381-15</w:t>
            </w:r>
          </w:p>
        </w:tc>
        <w:tc>
          <w:tcPr>
            <w:tcW w:w="1097" w:type="dxa"/>
            <w:noWrap/>
            <w:vAlign w:val="bottom"/>
            <w:hideMark/>
          </w:tcPr>
          <w:p w14:paraId="715338D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20B789E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A0DEC9B" w14:textId="77777777" w:rsidTr="008B7C11">
        <w:trPr>
          <w:trHeight w:val="600"/>
        </w:trPr>
        <w:tc>
          <w:tcPr>
            <w:tcW w:w="958" w:type="dxa"/>
            <w:noWrap/>
            <w:vAlign w:val="center"/>
            <w:hideMark/>
          </w:tcPr>
          <w:p w14:paraId="77FF80A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43</w:t>
            </w:r>
          </w:p>
        </w:tc>
        <w:tc>
          <w:tcPr>
            <w:tcW w:w="1718" w:type="dxa"/>
            <w:noWrap/>
            <w:vAlign w:val="bottom"/>
            <w:hideMark/>
          </w:tcPr>
          <w:p w14:paraId="1FF808F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BOLIVIA</w:t>
            </w:r>
          </w:p>
        </w:tc>
        <w:tc>
          <w:tcPr>
            <w:tcW w:w="2712" w:type="dxa"/>
            <w:noWrap/>
            <w:vAlign w:val="bottom"/>
            <w:hideMark/>
          </w:tcPr>
          <w:p w14:paraId="097C0A4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P-1596-14</w:t>
            </w:r>
          </w:p>
        </w:tc>
        <w:tc>
          <w:tcPr>
            <w:tcW w:w="1097" w:type="dxa"/>
            <w:noWrap/>
            <w:vAlign w:val="bottom"/>
            <w:hideMark/>
          </w:tcPr>
          <w:p w14:paraId="76A2070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40F45FD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F63AECE" w14:textId="77777777" w:rsidTr="008B7C11">
        <w:trPr>
          <w:trHeight w:val="600"/>
        </w:trPr>
        <w:tc>
          <w:tcPr>
            <w:tcW w:w="958" w:type="dxa"/>
            <w:noWrap/>
            <w:vAlign w:val="center"/>
            <w:hideMark/>
          </w:tcPr>
          <w:p w14:paraId="033B024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44</w:t>
            </w:r>
          </w:p>
        </w:tc>
        <w:tc>
          <w:tcPr>
            <w:tcW w:w="1718" w:type="dxa"/>
            <w:vAlign w:val="bottom"/>
            <w:hideMark/>
          </w:tcPr>
          <w:p w14:paraId="09D31CF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Brazil</w:t>
            </w:r>
          </w:p>
        </w:tc>
        <w:tc>
          <w:tcPr>
            <w:tcW w:w="2712" w:type="dxa"/>
            <w:noWrap/>
            <w:vAlign w:val="bottom"/>
            <w:hideMark/>
          </w:tcPr>
          <w:p w14:paraId="030AC19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P-914-17</w:t>
            </w:r>
          </w:p>
        </w:tc>
        <w:tc>
          <w:tcPr>
            <w:tcW w:w="1097" w:type="dxa"/>
            <w:noWrap/>
            <w:vAlign w:val="bottom"/>
            <w:hideMark/>
          </w:tcPr>
          <w:p w14:paraId="4EB0AAF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6A9C75E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75C250A" w14:textId="77777777" w:rsidTr="008B7C11">
        <w:trPr>
          <w:trHeight w:val="600"/>
        </w:trPr>
        <w:tc>
          <w:tcPr>
            <w:tcW w:w="958" w:type="dxa"/>
            <w:noWrap/>
            <w:vAlign w:val="center"/>
            <w:hideMark/>
          </w:tcPr>
          <w:p w14:paraId="7E35DBC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45</w:t>
            </w:r>
          </w:p>
        </w:tc>
        <w:tc>
          <w:tcPr>
            <w:tcW w:w="1718" w:type="dxa"/>
            <w:vAlign w:val="bottom"/>
            <w:hideMark/>
          </w:tcPr>
          <w:p w14:paraId="733DD51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Brazil</w:t>
            </w:r>
          </w:p>
        </w:tc>
        <w:tc>
          <w:tcPr>
            <w:tcW w:w="2712" w:type="dxa"/>
            <w:noWrap/>
            <w:vAlign w:val="bottom"/>
            <w:hideMark/>
          </w:tcPr>
          <w:p w14:paraId="26256F6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P-290-17</w:t>
            </w:r>
          </w:p>
        </w:tc>
        <w:tc>
          <w:tcPr>
            <w:tcW w:w="1097" w:type="dxa"/>
            <w:noWrap/>
            <w:vAlign w:val="bottom"/>
            <w:hideMark/>
          </w:tcPr>
          <w:p w14:paraId="052FD9B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17BF779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758AC06" w14:textId="77777777" w:rsidTr="008B7C11">
        <w:trPr>
          <w:trHeight w:val="600"/>
        </w:trPr>
        <w:tc>
          <w:tcPr>
            <w:tcW w:w="958" w:type="dxa"/>
            <w:noWrap/>
            <w:vAlign w:val="center"/>
            <w:hideMark/>
          </w:tcPr>
          <w:p w14:paraId="1505BF2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46</w:t>
            </w:r>
          </w:p>
        </w:tc>
        <w:tc>
          <w:tcPr>
            <w:tcW w:w="1718" w:type="dxa"/>
            <w:vAlign w:val="bottom"/>
            <w:hideMark/>
          </w:tcPr>
          <w:p w14:paraId="1883492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Brazil</w:t>
            </w:r>
          </w:p>
        </w:tc>
        <w:tc>
          <w:tcPr>
            <w:tcW w:w="2712" w:type="dxa"/>
            <w:noWrap/>
            <w:vAlign w:val="bottom"/>
            <w:hideMark/>
          </w:tcPr>
          <w:p w14:paraId="7F9A656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P-2337-17</w:t>
            </w:r>
          </w:p>
        </w:tc>
        <w:tc>
          <w:tcPr>
            <w:tcW w:w="1097" w:type="dxa"/>
            <w:noWrap/>
            <w:vAlign w:val="bottom"/>
            <w:hideMark/>
          </w:tcPr>
          <w:p w14:paraId="6130695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194641D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D3177DC" w14:textId="77777777" w:rsidTr="008B7C11">
        <w:trPr>
          <w:trHeight w:val="600"/>
        </w:trPr>
        <w:tc>
          <w:tcPr>
            <w:tcW w:w="958" w:type="dxa"/>
            <w:noWrap/>
            <w:vAlign w:val="center"/>
            <w:hideMark/>
          </w:tcPr>
          <w:p w14:paraId="5FCC30A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47</w:t>
            </w:r>
          </w:p>
        </w:tc>
        <w:tc>
          <w:tcPr>
            <w:tcW w:w="1718" w:type="dxa"/>
            <w:vAlign w:val="bottom"/>
            <w:hideMark/>
          </w:tcPr>
          <w:p w14:paraId="3772712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Brazil</w:t>
            </w:r>
          </w:p>
        </w:tc>
        <w:tc>
          <w:tcPr>
            <w:tcW w:w="2712" w:type="dxa"/>
            <w:noWrap/>
            <w:vAlign w:val="bottom"/>
            <w:hideMark/>
          </w:tcPr>
          <w:p w14:paraId="3C6B7E6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P-2296-13</w:t>
            </w:r>
          </w:p>
        </w:tc>
        <w:tc>
          <w:tcPr>
            <w:tcW w:w="1097" w:type="dxa"/>
            <w:noWrap/>
            <w:vAlign w:val="bottom"/>
            <w:hideMark/>
          </w:tcPr>
          <w:p w14:paraId="02DDB0E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0DD771B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1CE56E9" w14:textId="77777777" w:rsidTr="008B7C11">
        <w:trPr>
          <w:trHeight w:val="600"/>
        </w:trPr>
        <w:tc>
          <w:tcPr>
            <w:tcW w:w="958" w:type="dxa"/>
            <w:noWrap/>
            <w:vAlign w:val="center"/>
            <w:hideMark/>
          </w:tcPr>
          <w:p w14:paraId="0DCFF44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48</w:t>
            </w:r>
          </w:p>
        </w:tc>
        <w:tc>
          <w:tcPr>
            <w:tcW w:w="1718" w:type="dxa"/>
            <w:vAlign w:val="bottom"/>
            <w:hideMark/>
          </w:tcPr>
          <w:p w14:paraId="7DDA70C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Brazil</w:t>
            </w:r>
          </w:p>
        </w:tc>
        <w:tc>
          <w:tcPr>
            <w:tcW w:w="2712" w:type="dxa"/>
            <w:noWrap/>
            <w:vAlign w:val="bottom"/>
            <w:hideMark/>
          </w:tcPr>
          <w:p w14:paraId="402646B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P-2275-13</w:t>
            </w:r>
          </w:p>
        </w:tc>
        <w:tc>
          <w:tcPr>
            <w:tcW w:w="1097" w:type="dxa"/>
            <w:noWrap/>
            <w:vAlign w:val="bottom"/>
            <w:hideMark/>
          </w:tcPr>
          <w:p w14:paraId="1774614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66C3D4F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4C8B985" w14:textId="77777777" w:rsidTr="008B7C11">
        <w:trPr>
          <w:trHeight w:val="600"/>
        </w:trPr>
        <w:tc>
          <w:tcPr>
            <w:tcW w:w="958" w:type="dxa"/>
            <w:noWrap/>
            <w:vAlign w:val="center"/>
            <w:hideMark/>
          </w:tcPr>
          <w:p w14:paraId="63E8E52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49</w:t>
            </w:r>
          </w:p>
        </w:tc>
        <w:tc>
          <w:tcPr>
            <w:tcW w:w="1718" w:type="dxa"/>
            <w:vAlign w:val="bottom"/>
            <w:hideMark/>
          </w:tcPr>
          <w:p w14:paraId="78AD334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Brazil</w:t>
            </w:r>
          </w:p>
        </w:tc>
        <w:tc>
          <w:tcPr>
            <w:tcW w:w="2712" w:type="dxa"/>
            <w:noWrap/>
            <w:vAlign w:val="bottom"/>
            <w:hideMark/>
          </w:tcPr>
          <w:p w14:paraId="279567F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P-867-16</w:t>
            </w:r>
          </w:p>
        </w:tc>
        <w:tc>
          <w:tcPr>
            <w:tcW w:w="1097" w:type="dxa"/>
            <w:noWrap/>
            <w:vAlign w:val="bottom"/>
            <w:hideMark/>
          </w:tcPr>
          <w:p w14:paraId="29C3211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3DDA24F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D365AA8" w14:textId="77777777" w:rsidTr="008B7C11">
        <w:trPr>
          <w:trHeight w:val="600"/>
        </w:trPr>
        <w:tc>
          <w:tcPr>
            <w:tcW w:w="958" w:type="dxa"/>
            <w:noWrap/>
            <w:vAlign w:val="center"/>
            <w:hideMark/>
          </w:tcPr>
          <w:p w14:paraId="5382207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50</w:t>
            </w:r>
          </w:p>
        </w:tc>
        <w:tc>
          <w:tcPr>
            <w:tcW w:w="1718" w:type="dxa"/>
            <w:vAlign w:val="bottom"/>
            <w:hideMark/>
          </w:tcPr>
          <w:p w14:paraId="42239C7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Brazil</w:t>
            </w:r>
          </w:p>
        </w:tc>
        <w:tc>
          <w:tcPr>
            <w:tcW w:w="2712" w:type="dxa"/>
            <w:noWrap/>
            <w:vAlign w:val="bottom"/>
            <w:hideMark/>
          </w:tcPr>
          <w:p w14:paraId="6B356B8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P-1790-17</w:t>
            </w:r>
          </w:p>
        </w:tc>
        <w:tc>
          <w:tcPr>
            <w:tcW w:w="1097" w:type="dxa"/>
            <w:noWrap/>
            <w:vAlign w:val="bottom"/>
            <w:hideMark/>
          </w:tcPr>
          <w:p w14:paraId="7B6AD0A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4BD3F3A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D403D86" w14:textId="77777777" w:rsidTr="008B7C11">
        <w:trPr>
          <w:trHeight w:val="600"/>
        </w:trPr>
        <w:tc>
          <w:tcPr>
            <w:tcW w:w="958" w:type="dxa"/>
            <w:noWrap/>
            <w:vAlign w:val="center"/>
            <w:hideMark/>
          </w:tcPr>
          <w:p w14:paraId="4940997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51</w:t>
            </w:r>
          </w:p>
        </w:tc>
        <w:tc>
          <w:tcPr>
            <w:tcW w:w="1718" w:type="dxa"/>
            <w:vAlign w:val="bottom"/>
            <w:hideMark/>
          </w:tcPr>
          <w:p w14:paraId="4E4CAAD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Brazil</w:t>
            </w:r>
          </w:p>
        </w:tc>
        <w:tc>
          <w:tcPr>
            <w:tcW w:w="2712" w:type="dxa"/>
            <w:noWrap/>
            <w:vAlign w:val="bottom"/>
            <w:hideMark/>
          </w:tcPr>
          <w:p w14:paraId="6E4406C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P-1286-17</w:t>
            </w:r>
          </w:p>
        </w:tc>
        <w:tc>
          <w:tcPr>
            <w:tcW w:w="1097" w:type="dxa"/>
            <w:noWrap/>
            <w:vAlign w:val="bottom"/>
            <w:hideMark/>
          </w:tcPr>
          <w:p w14:paraId="42C4CAF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12AC763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019D4F1" w14:textId="77777777" w:rsidTr="008B7C11">
        <w:trPr>
          <w:trHeight w:val="600"/>
        </w:trPr>
        <w:tc>
          <w:tcPr>
            <w:tcW w:w="958" w:type="dxa"/>
            <w:noWrap/>
            <w:vAlign w:val="center"/>
            <w:hideMark/>
          </w:tcPr>
          <w:p w14:paraId="24852F3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52</w:t>
            </w:r>
          </w:p>
        </w:tc>
        <w:tc>
          <w:tcPr>
            <w:tcW w:w="1718" w:type="dxa"/>
            <w:vAlign w:val="bottom"/>
            <w:hideMark/>
          </w:tcPr>
          <w:p w14:paraId="2470723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Brazil</w:t>
            </w:r>
          </w:p>
        </w:tc>
        <w:tc>
          <w:tcPr>
            <w:tcW w:w="2712" w:type="dxa"/>
            <w:noWrap/>
            <w:vAlign w:val="bottom"/>
            <w:hideMark/>
          </w:tcPr>
          <w:p w14:paraId="08D9CAA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P-2302-17</w:t>
            </w:r>
          </w:p>
        </w:tc>
        <w:tc>
          <w:tcPr>
            <w:tcW w:w="1097" w:type="dxa"/>
            <w:noWrap/>
            <w:vAlign w:val="bottom"/>
            <w:hideMark/>
          </w:tcPr>
          <w:p w14:paraId="263F032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5A692E1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72A81D5" w14:textId="77777777" w:rsidTr="008B7C11">
        <w:trPr>
          <w:trHeight w:val="600"/>
        </w:trPr>
        <w:tc>
          <w:tcPr>
            <w:tcW w:w="958" w:type="dxa"/>
            <w:noWrap/>
            <w:vAlign w:val="center"/>
            <w:hideMark/>
          </w:tcPr>
          <w:p w14:paraId="4A0AD7F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53</w:t>
            </w:r>
          </w:p>
        </w:tc>
        <w:tc>
          <w:tcPr>
            <w:tcW w:w="1718" w:type="dxa"/>
            <w:vAlign w:val="bottom"/>
            <w:hideMark/>
          </w:tcPr>
          <w:p w14:paraId="1D0B5A2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Brazil</w:t>
            </w:r>
          </w:p>
        </w:tc>
        <w:tc>
          <w:tcPr>
            <w:tcW w:w="2712" w:type="dxa"/>
            <w:noWrap/>
            <w:vAlign w:val="bottom"/>
            <w:hideMark/>
          </w:tcPr>
          <w:p w14:paraId="578F1C1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P-1599-17</w:t>
            </w:r>
          </w:p>
        </w:tc>
        <w:tc>
          <w:tcPr>
            <w:tcW w:w="1097" w:type="dxa"/>
            <w:noWrap/>
            <w:vAlign w:val="bottom"/>
            <w:hideMark/>
          </w:tcPr>
          <w:p w14:paraId="283614A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3DC2D9C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229D5BC" w14:textId="77777777" w:rsidTr="008B7C11">
        <w:trPr>
          <w:trHeight w:val="600"/>
        </w:trPr>
        <w:tc>
          <w:tcPr>
            <w:tcW w:w="958" w:type="dxa"/>
            <w:noWrap/>
            <w:vAlign w:val="center"/>
            <w:hideMark/>
          </w:tcPr>
          <w:p w14:paraId="34C3CBF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54</w:t>
            </w:r>
          </w:p>
        </w:tc>
        <w:tc>
          <w:tcPr>
            <w:tcW w:w="1718" w:type="dxa"/>
            <w:vAlign w:val="bottom"/>
            <w:hideMark/>
          </w:tcPr>
          <w:p w14:paraId="567427F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Brazil</w:t>
            </w:r>
          </w:p>
        </w:tc>
        <w:tc>
          <w:tcPr>
            <w:tcW w:w="2712" w:type="dxa"/>
            <w:noWrap/>
            <w:vAlign w:val="bottom"/>
            <w:hideMark/>
          </w:tcPr>
          <w:p w14:paraId="412EA7F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P-1360-17</w:t>
            </w:r>
          </w:p>
        </w:tc>
        <w:tc>
          <w:tcPr>
            <w:tcW w:w="1097" w:type="dxa"/>
            <w:noWrap/>
            <w:vAlign w:val="bottom"/>
            <w:hideMark/>
          </w:tcPr>
          <w:p w14:paraId="35EDA7A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7944DEF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0F2685D" w14:textId="77777777" w:rsidTr="008B7C11">
        <w:trPr>
          <w:trHeight w:val="600"/>
        </w:trPr>
        <w:tc>
          <w:tcPr>
            <w:tcW w:w="958" w:type="dxa"/>
            <w:noWrap/>
            <w:vAlign w:val="center"/>
            <w:hideMark/>
          </w:tcPr>
          <w:p w14:paraId="79F975D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55</w:t>
            </w:r>
          </w:p>
        </w:tc>
        <w:tc>
          <w:tcPr>
            <w:tcW w:w="1718" w:type="dxa"/>
            <w:vAlign w:val="bottom"/>
            <w:hideMark/>
          </w:tcPr>
          <w:p w14:paraId="7229E20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Brazil</w:t>
            </w:r>
          </w:p>
        </w:tc>
        <w:tc>
          <w:tcPr>
            <w:tcW w:w="2712" w:type="dxa"/>
            <w:noWrap/>
            <w:vAlign w:val="bottom"/>
            <w:hideMark/>
          </w:tcPr>
          <w:p w14:paraId="4BD1711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P-1275-17</w:t>
            </w:r>
          </w:p>
        </w:tc>
        <w:tc>
          <w:tcPr>
            <w:tcW w:w="1097" w:type="dxa"/>
            <w:noWrap/>
            <w:vAlign w:val="bottom"/>
            <w:hideMark/>
          </w:tcPr>
          <w:p w14:paraId="3CEBBED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3B052F3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216359F" w14:textId="77777777" w:rsidTr="008B7C11">
        <w:trPr>
          <w:trHeight w:val="600"/>
        </w:trPr>
        <w:tc>
          <w:tcPr>
            <w:tcW w:w="958" w:type="dxa"/>
            <w:noWrap/>
            <w:vAlign w:val="center"/>
            <w:hideMark/>
          </w:tcPr>
          <w:p w14:paraId="7E9AA7E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56</w:t>
            </w:r>
          </w:p>
        </w:tc>
        <w:tc>
          <w:tcPr>
            <w:tcW w:w="1718" w:type="dxa"/>
            <w:vAlign w:val="bottom"/>
            <w:hideMark/>
          </w:tcPr>
          <w:p w14:paraId="0E27326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Brazil</w:t>
            </w:r>
          </w:p>
        </w:tc>
        <w:tc>
          <w:tcPr>
            <w:tcW w:w="2712" w:type="dxa"/>
            <w:noWrap/>
            <w:vAlign w:val="bottom"/>
            <w:hideMark/>
          </w:tcPr>
          <w:p w14:paraId="10C4DD1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P-1783-14</w:t>
            </w:r>
          </w:p>
        </w:tc>
        <w:tc>
          <w:tcPr>
            <w:tcW w:w="1097" w:type="dxa"/>
            <w:noWrap/>
            <w:vAlign w:val="bottom"/>
            <w:hideMark/>
          </w:tcPr>
          <w:p w14:paraId="6B62FFD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4FFCD8C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8C4E355" w14:textId="77777777" w:rsidTr="008B7C11">
        <w:trPr>
          <w:trHeight w:val="600"/>
        </w:trPr>
        <w:tc>
          <w:tcPr>
            <w:tcW w:w="958" w:type="dxa"/>
            <w:noWrap/>
            <w:vAlign w:val="center"/>
            <w:hideMark/>
          </w:tcPr>
          <w:p w14:paraId="1913E5F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57</w:t>
            </w:r>
          </w:p>
        </w:tc>
        <w:tc>
          <w:tcPr>
            <w:tcW w:w="1718" w:type="dxa"/>
            <w:vAlign w:val="bottom"/>
            <w:hideMark/>
          </w:tcPr>
          <w:p w14:paraId="2B6ACA7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Brazil</w:t>
            </w:r>
          </w:p>
        </w:tc>
        <w:tc>
          <w:tcPr>
            <w:tcW w:w="2712" w:type="dxa"/>
            <w:noWrap/>
            <w:vAlign w:val="bottom"/>
            <w:hideMark/>
          </w:tcPr>
          <w:p w14:paraId="3AE7045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P-991-15</w:t>
            </w:r>
          </w:p>
        </w:tc>
        <w:tc>
          <w:tcPr>
            <w:tcW w:w="1097" w:type="dxa"/>
            <w:noWrap/>
            <w:vAlign w:val="bottom"/>
            <w:hideMark/>
          </w:tcPr>
          <w:p w14:paraId="4B9F2D4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349950F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3F584DC" w14:textId="77777777" w:rsidTr="008B7C11">
        <w:trPr>
          <w:trHeight w:val="600"/>
        </w:trPr>
        <w:tc>
          <w:tcPr>
            <w:tcW w:w="958" w:type="dxa"/>
            <w:noWrap/>
            <w:vAlign w:val="center"/>
            <w:hideMark/>
          </w:tcPr>
          <w:p w14:paraId="3452238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58</w:t>
            </w:r>
          </w:p>
        </w:tc>
        <w:tc>
          <w:tcPr>
            <w:tcW w:w="1718" w:type="dxa"/>
            <w:vAlign w:val="bottom"/>
            <w:hideMark/>
          </w:tcPr>
          <w:p w14:paraId="4E29980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Brazil</w:t>
            </w:r>
          </w:p>
        </w:tc>
        <w:tc>
          <w:tcPr>
            <w:tcW w:w="2712" w:type="dxa"/>
            <w:noWrap/>
            <w:vAlign w:val="bottom"/>
            <w:hideMark/>
          </w:tcPr>
          <w:p w14:paraId="2CBA484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P-1641-15</w:t>
            </w:r>
          </w:p>
        </w:tc>
        <w:tc>
          <w:tcPr>
            <w:tcW w:w="1097" w:type="dxa"/>
            <w:noWrap/>
            <w:vAlign w:val="bottom"/>
            <w:hideMark/>
          </w:tcPr>
          <w:p w14:paraId="01733EF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3D43FAB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971AC57" w14:textId="77777777" w:rsidTr="008B7C11">
        <w:trPr>
          <w:trHeight w:val="600"/>
        </w:trPr>
        <w:tc>
          <w:tcPr>
            <w:tcW w:w="958" w:type="dxa"/>
            <w:noWrap/>
            <w:vAlign w:val="center"/>
            <w:hideMark/>
          </w:tcPr>
          <w:p w14:paraId="2CF6DD7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59</w:t>
            </w:r>
          </w:p>
        </w:tc>
        <w:tc>
          <w:tcPr>
            <w:tcW w:w="1718" w:type="dxa"/>
            <w:vAlign w:val="bottom"/>
            <w:hideMark/>
          </w:tcPr>
          <w:p w14:paraId="1599F2B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Brazil</w:t>
            </w:r>
          </w:p>
        </w:tc>
        <w:tc>
          <w:tcPr>
            <w:tcW w:w="2712" w:type="dxa"/>
            <w:noWrap/>
            <w:vAlign w:val="bottom"/>
            <w:hideMark/>
          </w:tcPr>
          <w:p w14:paraId="4E015F4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P-1938-17</w:t>
            </w:r>
          </w:p>
        </w:tc>
        <w:tc>
          <w:tcPr>
            <w:tcW w:w="1097" w:type="dxa"/>
            <w:noWrap/>
            <w:vAlign w:val="bottom"/>
            <w:hideMark/>
          </w:tcPr>
          <w:p w14:paraId="25B1DA6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331360B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FBF6ACC" w14:textId="77777777" w:rsidTr="008B7C11">
        <w:trPr>
          <w:trHeight w:val="600"/>
        </w:trPr>
        <w:tc>
          <w:tcPr>
            <w:tcW w:w="958" w:type="dxa"/>
            <w:noWrap/>
            <w:vAlign w:val="center"/>
            <w:hideMark/>
          </w:tcPr>
          <w:p w14:paraId="68ED3C0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60</w:t>
            </w:r>
          </w:p>
        </w:tc>
        <w:tc>
          <w:tcPr>
            <w:tcW w:w="1718" w:type="dxa"/>
            <w:vAlign w:val="bottom"/>
            <w:hideMark/>
          </w:tcPr>
          <w:p w14:paraId="7023C74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Brazil</w:t>
            </w:r>
          </w:p>
        </w:tc>
        <w:tc>
          <w:tcPr>
            <w:tcW w:w="2712" w:type="dxa"/>
            <w:noWrap/>
            <w:vAlign w:val="bottom"/>
            <w:hideMark/>
          </w:tcPr>
          <w:p w14:paraId="27A0011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P-382-17</w:t>
            </w:r>
          </w:p>
        </w:tc>
        <w:tc>
          <w:tcPr>
            <w:tcW w:w="1097" w:type="dxa"/>
            <w:noWrap/>
            <w:vAlign w:val="bottom"/>
            <w:hideMark/>
          </w:tcPr>
          <w:p w14:paraId="4056F8E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63982B3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783B1E9" w14:textId="77777777" w:rsidTr="008B7C11">
        <w:trPr>
          <w:trHeight w:val="600"/>
        </w:trPr>
        <w:tc>
          <w:tcPr>
            <w:tcW w:w="958" w:type="dxa"/>
            <w:noWrap/>
            <w:vAlign w:val="center"/>
            <w:hideMark/>
          </w:tcPr>
          <w:p w14:paraId="4D70F15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61</w:t>
            </w:r>
          </w:p>
        </w:tc>
        <w:tc>
          <w:tcPr>
            <w:tcW w:w="1718" w:type="dxa"/>
            <w:vAlign w:val="bottom"/>
            <w:hideMark/>
          </w:tcPr>
          <w:p w14:paraId="00E6AF2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Brazil</w:t>
            </w:r>
          </w:p>
        </w:tc>
        <w:tc>
          <w:tcPr>
            <w:tcW w:w="2712" w:type="dxa"/>
            <w:noWrap/>
            <w:vAlign w:val="bottom"/>
            <w:hideMark/>
          </w:tcPr>
          <w:p w14:paraId="2CD964C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P-1733-17</w:t>
            </w:r>
          </w:p>
        </w:tc>
        <w:tc>
          <w:tcPr>
            <w:tcW w:w="1097" w:type="dxa"/>
            <w:noWrap/>
            <w:vAlign w:val="bottom"/>
            <w:hideMark/>
          </w:tcPr>
          <w:p w14:paraId="2AFAD27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73693E3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8730C1D" w14:textId="77777777" w:rsidTr="008B7C11">
        <w:trPr>
          <w:trHeight w:val="600"/>
        </w:trPr>
        <w:tc>
          <w:tcPr>
            <w:tcW w:w="958" w:type="dxa"/>
            <w:noWrap/>
            <w:vAlign w:val="center"/>
            <w:hideMark/>
          </w:tcPr>
          <w:p w14:paraId="024CFA4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62</w:t>
            </w:r>
          </w:p>
        </w:tc>
        <w:tc>
          <w:tcPr>
            <w:tcW w:w="1718" w:type="dxa"/>
            <w:vAlign w:val="bottom"/>
            <w:hideMark/>
          </w:tcPr>
          <w:p w14:paraId="5E297BC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Brazil</w:t>
            </w:r>
          </w:p>
        </w:tc>
        <w:tc>
          <w:tcPr>
            <w:tcW w:w="2712" w:type="dxa"/>
            <w:noWrap/>
            <w:vAlign w:val="bottom"/>
            <w:hideMark/>
          </w:tcPr>
          <w:p w14:paraId="787F992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P-1774-17</w:t>
            </w:r>
          </w:p>
        </w:tc>
        <w:tc>
          <w:tcPr>
            <w:tcW w:w="1097" w:type="dxa"/>
            <w:noWrap/>
            <w:vAlign w:val="bottom"/>
            <w:hideMark/>
          </w:tcPr>
          <w:p w14:paraId="52226B2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D7624E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87A80AB" w14:textId="77777777" w:rsidTr="008B7C11">
        <w:trPr>
          <w:trHeight w:val="600"/>
        </w:trPr>
        <w:tc>
          <w:tcPr>
            <w:tcW w:w="958" w:type="dxa"/>
            <w:noWrap/>
            <w:vAlign w:val="center"/>
            <w:hideMark/>
          </w:tcPr>
          <w:p w14:paraId="40A4659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63</w:t>
            </w:r>
          </w:p>
        </w:tc>
        <w:tc>
          <w:tcPr>
            <w:tcW w:w="1718" w:type="dxa"/>
            <w:vAlign w:val="bottom"/>
            <w:hideMark/>
          </w:tcPr>
          <w:p w14:paraId="7DDB10E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Brazil</w:t>
            </w:r>
          </w:p>
        </w:tc>
        <w:tc>
          <w:tcPr>
            <w:tcW w:w="2712" w:type="dxa"/>
            <w:noWrap/>
            <w:vAlign w:val="bottom"/>
            <w:hideMark/>
          </w:tcPr>
          <w:p w14:paraId="582431B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P-2248-17</w:t>
            </w:r>
          </w:p>
        </w:tc>
        <w:tc>
          <w:tcPr>
            <w:tcW w:w="1097" w:type="dxa"/>
            <w:noWrap/>
            <w:vAlign w:val="bottom"/>
            <w:hideMark/>
          </w:tcPr>
          <w:p w14:paraId="7F94953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22E623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818E6B6" w14:textId="77777777" w:rsidTr="008B7C11">
        <w:trPr>
          <w:trHeight w:val="600"/>
        </w:trPr>
        <w:tc>
          <w:tcPr>
            <w:tcW w:w="958" w:type="dxa"/>
            <w:noWrap/>
            <w:vAlign w:val="center"/>
            <w:hideMark/>
          </w:tcPr>
          <w:p w14:paraId="1EA6EBC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64</w:t>
            </w:r>
          </w:p>
        </w:tc>
        <w:tc>
          <w:tcPr>
            <w:tcW w:w="1718" w:type="dxa"/>
            <w:vAlign w:val="bottom"/>
            <w:hideMark/>
          </w:tcPr>
          <w:p w14:paraId="04B0F37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Brazil</w:t>
            </w:r>
          </w:p>
        </w:tc>
        <w:tc>
          <w:tcPr>
            <w:tcW w:w="2712" w:type="dxa"/>
            <w:noWrap/>
            <w:vAlign w:val="bottom"/>
            <w:hideMark/>
          </w:tcPr>
          <w:p w14:paraId="1379B7F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P-554-14</w:t>
            </w:r>
          </w:p>
        </w:tc>
        <w:tc>
          <w:tcPr>
            <w:tcW w:w="1097" w:type="dxa"/>
            <w:noWrap/>
            <w:vAlign w:val="bottom"/>
            <w:hideMark/>
          </w:tcPr>
          <w:p w14:paraId="3F94138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2EBD880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4DCB3B9" w14:textId="77777777" w:rsidTr="008B7C11">
        <w:trPr>
          <w:trHeight w:val="600"/>
        </w:trPr>
        <w:tc>
          <w:tcPr>
            <w:tcW w:w="958" w:type="dxa"/>
            <w:noWrap/>
            <w:vAlign w:val="center"/>
            <w:hideMark/>
          </w:tcPr>
          <w:p w14:paraId="2E57B05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65</w:t>
            </w:r>
          </w:p>
        </w:tc>
        <w:tc>
          <w:tcPr>
            <w:tcW w:w="1718" w:type="dxa"/>
            <w:vAlign w:val="bottom"/>
            <w:hideMark/>
          </w:tcPr>
          <w:p w14:paraId="75155D8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Brazil</w:t>
            </w:r>
          </w:p>
        </w:tc>
        <w:tc>
          <w:tcPr>
            <w:tcW w:w="2712" w:type="dxa"/>
            <w:noWrap/>
            <w:vAlign w:val="bottom"/>
            <w:hideMark/>
          </w:tcPr>
          <w:p w14:paraId="4FB23FB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P-1047-15</w:t>
            </w:r>
          </w:p>
        </w:tc>
        <w:tc>
          <w:tcPr>
            <w:tcW w:w="1097" w:type="dxa"/>
            <w:noWrap/>
            <w:vAlign w:val="bottom"/>
            <w:hideMark/>
          </w:tcPr>
          <w:p w14:paraId="04440FF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4224B26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2E636EB" w14:textId="77777777" w:rsidTr="008B7C11">
        <w:trPr>
          <w:trHeight w:val="600"/>
        </w:trPr>
        <w:tc>
          <w:tcPr>
            <w:tcW w:w="958" w:type="dxa"/>
            <w:noWrap/>
            <w:vAlign w:val="center"/>
            <w:hideMark/>
          </w:tcPr>
          <w:p w14:paraId="71E76A5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66</w:t>
            </w:r>
          </w:p>
        </w:tc>
        <w:tc>
          <w:tcPr>
            <w:tcW w:w="1718" w:type="dxa"/>
            <w:vAlign w:val="bottom"/>
            <w:hideMark/>
          </w:tcPr>
          <w:p w14:paraId="55E6826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Brazil</w:t>
            </w:r>
          </w:p>
        </w:tc>
        <w:tc>
          <w:tcPr>
            <w:tcW w:w="2712" w:type="dxa"/>
            <w:noWrap/>
            <w:vAlign w:val="bottom"/>
            <w:hideMark/>
          </w:tcPr>
          <w:p w14:paraId="0725E00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P-365-14</w:t>
            </w:r>
          </w:p>
        </w:tc>
        <w:tc>
          <w:tcPr>
            <w:tcW w:w="1097" w:type="dxa"/>
            <w:noWrap/>
            <w:vAlign w:val="bottom"/>
            <w:hideMark/>
          </w:tcPr>
          <w:p w14:paraId="530FEC8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24F26A5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6279EB6" w14:textId="77777777" w:rsidTr="008B7C11">
        <w:trPr>
          <w:trHeight w:val="600"/>
        </w:trPr>
        <w:tc>
          <w:tcPr>
            <w:tcW w:w="958" w:type="dxa"/>
            <w:noWrap/>
            <w:vAlign w:val="center"/>
            <w:hideMark/>
          </w:tcPr>
          <w:p w14:paraId="54D5886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67</w:t>
            </w:r>
          </w:p>
        </w:tc>
        <w:tc>
          <w:tcPr>
            <w:tcW w:w="1718" w:type="dxa"/>
            <w:vAlign w:val="bottom"/>
            <w:hideMark/>
          </w:tcPr>
          <w:p w14:paraId="1EDE7F4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Brazil</w:t>
            </w:r>
          </w:p>
        </w:tc>
        <w:tc>
          <w:tcPr>
            <w:tcW w:w="2712" w:type="dxa"/>
            <w:noWrap/>
            <w:vAlign w:val="bottom"/>
            <w:hideMark/>
          </w:tcPr>
          <w:p w14:paraId="58C5CFE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P-1059-14</w:t>
            </w:r>
          </w:p>
        </w:tc>
        <w:tc>
          <w:tcPr>
            <w:tcW w:w="1097" w:type="dxa"/>
            <w:noWrap/>
            <w:vAlign w:val="bottom"/>
            <w:hideMark/>
          </w:tcPr>
          <w:p w14:paraId="37C606E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4304471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338F3C3" w14:textId="77777777" w:rsidTr="008B7C11">
        <w:trPr>
          <w:trHeight w:val="600"/>
        </w:trPr>
        <w:tc>
          <w:tcPr>
            <w:tcW w:w="958" w:type="dxa"/>
            <w:noWrap/>
            <w:vAlign w:val="center"/>
            <w:hideMark/>
          </w:tcPr>
          <w:p w14:paraId="09007AC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68</w:t>
            </w:r>
          </w:p>
        </w:tc>
        <w:tc>
          <w:tcPr>
            <w:tcW w:w="1718" w:type="dxa"/>
            <w:vAlign w:val="bottom"/>
            <w:hideMark/>
          </w:tcPr>
          <w:p w14:paraId="72738CF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Brazil</w:t>
            </w:r>
          </w:p>
        </w:tc>
        <w:tc>
          <w:tcPr>
            <w:tcW w:w="2712" w:type="dxa"/>
            <w:noWrap/>
            <w:vAlign w:val="bottom"/>
            <w:hideMark/>
          </w:tcPr>
          <w:p w14:paraId="55F2F98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P-1734-14</w:t>
            </w:r>
          </w:p>
        </w:tc>
        <w:tc>
          <w:tcPr>
            <w:tcW w:w="1097" w:type="dxa"/>
            <w:noWrap/>
            <w:vAlign w:val="bottom"/>
            <w:hideMark/>
          </w:tcPr>
          <w:p w14:paraId="655B932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0529E4B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3847A7E" w14:textId="77777777" w:rsidTr="008B7C11">
        <w:trPr>
          <w:trHeight w:val="600"/>
        </w:trPr>
        <w:tc>
          <w:tcPr>
            <w:tcW w:w="958" w:type="dxa"/>
            <w:noWrap/>
            <w:vAlign w:val="center"/>
            <w:hideMark/>
          </w:tcPr>
          <w:p w14:paraId="2AEC562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69</w:t>
            </w:r>
          </w:p>
        </w:tc>
        <w:tc>
          <w:tcPr>
            <w:tcW w:w="1718" w:type="dxa"/>
            <w:noWrap/>
            <w:vAlign w:val="bottom"/>
            <w:hideMark/>
          </w:tcPr>
          <w:p w14:paraId="47B21FF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1780FBA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P-252-15</w:t>
            </w:r>
          </w:p>
        </w:tc>
        <w:tc>
          <w:tcPr>
            <w:tcW w:w="1097" w:type="dxa"/>
            <w:noWrap/>
            <w:vAlign w:val="bottom"/>
            <w:hideMark/>
          </w:tcPr>
          <w:p w14:paraId="4A42327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6896FD6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AFF2597" w14:textId="77777777" w:rsidTr="008B7C11">
        <w:trPr>
          <w:trHeight w:val="600"/>
        </w:trPr>
        <w:tc>
          <w:tcPr>
            <w:tcW w:w="958" w:type="dxa"/>
            <w:noWrap/>
            <w:vAlign w:val="center"/>
            <w:hideMark/>
          </w:tcPr>
          <w:p w14:paraId="0C5BE2F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70</w:t>
            </w:r>
          </w:p>
        </w:tc>
        <w:tc>
          <w:tcPr>
            <w:tcW w:w="1718" w:type="dxa"/>
            <w:noWrap/>
            <w:vAlign w:val="bottom"/>
            <w:hideMark/>
          </w:tcPr>
          <w:p w14:paraId="3C1F7B4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1EC9CA5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P-582-09</w:t>
            </w:r>
          </w:p>
        </w:tc>
        <w:tc>
          <w:tcPr>
            <w:tcW w:w="1097" w:type="dxa"/>
            <w:noWrap/>
            <w:vAlign w:val="bottom"/>
            <w:hideMark/>
          </w:tcPr>
          <w:p w14:paraId="3E64E44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9</w:t>
            </w:r>
          </w:p>
        </w:tc>
        <w:tc>
          <w:tcPr>
            <w:tcW w:w="2600" w:type="dxa"/>
            <w:vAlign w:val="center"/>
            <w:hideMark/>
          </w:tcPr>
          <w:p w14:paraId="3F96E5E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9A68475" w14:textId="77777777" w:rsidTr="008B7C11">
        <w:trPr>
          <w:trHeight w:val="600"/>
        </w:trPr>
        <w:tc>
          <w:tcPr>
            <w:tcW w:w="958" w:type="dxa"/>
            <w:noWrap/>
            <w:vAlign w:val="center"/>
            <w:hideMark/>
          </w:tcPr>
          <w:p w14:paraId="4951D4B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71</w:t>
            </w:r>
          </w:p>
        </w:tc>
        <w:tc>
          <w:tcPr>
            <w:tcW w:w="1718" w:type="dxa"/>
            <w:noWrap/>
            <w:vAlign w:val="bottom"/>
            <w:hideMark/>
          </w:tcPr>
          <w:p w14:paraId="6359650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7786093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P-1011-16</w:t>
            </w:r>
          </w:p>
        </w:tc>
        <w:tc>
          <w:tcPr>
            <w:tcW w:w="1097" w:type="dxa"/>
            <w:noWrap/>
            <w:vAlign w:val="bottom"/>
            <w:hideMark/>
          </w:tcPr>
          <w:p w14:paraId="6C1BB7D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7E6812C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34F3D08" w14:textId="77777777" w:rsidTr="008B7C11">
        <w:trPr>
          <w:trHeight w:val="600"/>
        </w:trPr>
        <w:tc>
          <w:tcPr>
            <w:tcW w:w="958" w:type="dxa"/>
            <w:noWrap/>
            <w:vAlign w:val="center"/>
            <w:hideMark/>
          </w:tcPr>
          <w:p w14:paraId="0434870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72</w:t>
            </w:r>
          </w:p>
        </w:tc>
        <w:tc>
          <w:tcPr>
            <w:tcW w:w="1718" w:type="dxa"/>
            <w:noWrap/>
            <w:vAlign w:val="bottom"/>
            <w:hideMark/>
          </w:tcPr>
          <w:p w14:paraId="6E2DABA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691F0CC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P-2413-12</w:t>
            </w:r>
          </w:p>
        </w:tc>
        <w:tc>
          <w:tcPr>
            <w:tcW w:w="1097" w:type="dxa"/>
            <w:noWrap/>
            <w:vAlign w:val="bottom"/>
            <w:hideMark/>
          </w:tcPr>
          <w:p w14:paraId="6739B90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2C7B5A9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304A74D" w14:textId="77777777" w:rsidTr="008B7C11">
        <w:trPr>
          <w:trHeight w:val="600"/>
        </w:trPr>
        <w:tc>
          <w:tcPr>
            <w:tcW w:w="958" w:type="dxa"/>
            <w:noWrap/>
            <w:vAlign w:val="center"/>
            <w:hideMark/>
          </w:tcPr>
          <w:p w14:paraId="61E51E2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73</w:t>
            </w:r>
          </w:p>
        </w:tc>
        <w:tc>
          <w:tcPr>
            <w:tcW w:w="1718" w:type="dxa"/>
            <w:noWrap/>
            <w:vAlign w:val="bottom"/>
            <w:hideMark/>
          </w:tcPr>
          <w:p w14:paraId="2DC23AC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0F56774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P-2450-12</w:t>
            </w:r>
          </w:p>
        </w:tc>
        <w:tc>
          <w:tcPr>
            <w:tcW w:w="1097" w:type="dxa"/>
            <w:noWrap/>
            <w:vAlign w:val="bottom"/>
            <w:hideMark/>
          </w:tcPr>
          <w:p w14:paraId="032AD07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1C8C076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C110209" w14:textId="77777777" w:rsidTr="008B7C11">
        <w:trPr>
          <w:trHeight w:val="600"/>
        </w:trPr>
        <w:tc>
          <w:tcPr>
            <w:tcW w:w="958" w:type="dxa"/>
            <w:noWrap/>
            <w:vAlign w:val="center"/>
            <w:hideMark/>
          </w:tcPr>
          <w:p w14:paraId="24931E4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74</w:t>
            </w:r>
          </w:p>
        </w:tc>
        <w:tc>
          <w:tcPr>
            <w:tcW w:w="1718" w:type="dxa"/>
            <w:noWrap/>
            <w:vAlign w:val="bottom"/>
            <w:hideMark/>
          </w:tcPr>
          <w:p w14:paraId="3AFC389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7913F3A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P-2242-13</w:t>
            </w:r>
          </w:p>
        </w:tc>
        <w:tc>
          <w:tcPr>
            <w:tcW w:w="1097" w:type="dxa"/>
            <w:noWrap/>
            <w:vAlign w:val="bottom"/>
            <w:hideMark/>
          </w:tcPr>
          <w:p w14:paraId="0D778F7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3EC664A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EF2BC14" w14:textId="77777777" w:rsidTr="008B7C11">
        <w:trPr>
          <w:trHeight w:val="600"/>
        </w:trPr>
        <w:tc>
          <w:tcPr>
            <w:tcW w:w="958" w:type="dxa"/>
            <w:noWrap/>
            <w:vAlign w:val="center"/>
            <w:hideMark/>
          </w:tcPr>
          <w:p w14:paraId="1387EE2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75</w:t>
            </w:r>
          </w:p>
        </w:tc>
        <w:tc>
          <w:tcPr>
            <w:tcW w:w="1718" w:type="dxa"/>
            <w:noWrap/>
            <w:vAlign w:val="bottom"/>
            <w:hideMark/>
          </w:tcPr>
          <w:p w14:paraId="60C85B0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01592E5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P-2481-12</w:t>
            </w:r>
          </w:p>
        </w:tc>
        <w:tc>
          <w:tcPr>
            <w:tcW w:w="1097" w:type="dxa"/>
            <w:noWrap/>
            <w:vAlign w:val="bottom"/>
            <w:hideMark/>
          </w:tcPr>
          <w:p w14:paraId="55531FF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70FEEDB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1EE309E" w14:textId="77777777" w:rsidTr="008B7C11">
        <w:trPr>
          <w:trHeight w:val="600"/>
        </w:trPr>
        <w:tc>
          <w:tcPr>
            <w:tcW w:w="958" w:type="dxa"/>
            <w:noWrap/>
            <w:vAlign w:val="center"/>
            <w:hideMark/>
          </w:tcPr>
          <w:p w14:paraId="41263E6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76</w:t>
            </w:r>
          </w:p>
        </w:tc>
        <w:tc>
          <w:tcPr>
            <w:tcW w:w="1718" w:type="dxa"/>
            <w:noWrap/>
            <w:vAlign w:val="bottom"/>
            <w:hideMark/>
          </w:tcPr>
          <w:p w14:paraId="7335E2D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754C4CF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P-2470-12</w:t>
            </w:r>
          </w:p>
        </w:tc>
        <w:tc>
          <w:tcPr>
            <w:tcW w:w="1097" w:type="dxa"/>
            <w:noWrap/>
            <w:vAlign w:val="bottom"/>
            <w:hideMark/>
          </w:tcPr>
          <w:p w14:paraId="0B325B8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25EF21B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846CE4F" w14:textId="77777777" w:rsidTr="008B7C11">
        <w:trPr>
          <w:trHeight w:val="600"/>
        </w:trPr>
        <w:tc>
          <w:tcPr>
            <w:tcW w:w="958" w:type="dxa"/>
            <w:noWrap/>
            <w:vAlign w:val="center"/>
            <w:hideMark/>
          </w:tcPr>
          <w:p w14:paraId="09CBF8E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77</w:t>
            </w:r>
          </w:p>
        </w:tc>
        <w:tc>
          <w:tcPr>
            <w:tcW w:w="1718" w:type="dxa"/>
            <w:noWrap/>
            <w:vAlign w:val="bottom"/>
            <w:hideMark/>
          </w:tcPr>
          <w:p w14:paraId="7117EDF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3E11CE5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P-1514-17</w:t>
            </w:r>
          </w:p>
        </w:tc>
        <w:tc>
          <w:tcPr>
            <w:tcW w:w="1097" w:type="dxa"/>
            <w:noWrap/>
            <w:vAlign w:val="bottom"/>
            <w:hideMark/>
          </w:tcPr>
          <w:p w14:paraId="4C269C5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048147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1E0EA0A" w14:textId="77777777" w:rsidTr="008B7C11">
        <w:trPr>
          <w:trHeight w:val="600"/>
        </w:trPr>
        <w:tc>
          <w:tcPr>
            <w:tcW w:w="958" w:type="dxa"/>
            <w:noWrap/>
            <w:vAlign w:val="center"/>
            <w:hideMark/>
          </w:tcPr>
          <w:p w14:paraId="7F6590C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78</w:t>
            </w:r>
          </w:p>
        </w:tc>
        <w:tc>
          <w:tcPr>
            <w:tcW w:w="1718" w:type="dxa"/>
            <w:noWrap/>
            <w:vAlign w:val="bottom"/>
            <w:hideMark/>
          </w:tcPr>
          <w:p w14:paraId="76710A7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69ABA37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P-1441-17</w:t>
            </w:r>
          </w:p>
        </w:tc>
        <w:tc>
          <w:tcPr>
            <w:tcW w:w="1097" w:type="dxa"/>
            <w:noWrap/>
            <w:vAlign w:val="bottom"/>
            <w:hideMark/>
          </w:tcPr>
          <w:p w14:paraId="78ABE30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75315D9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A110CAE" w14:textId="77777777" w:rsidTr="008B7C11">
        <w:trPr>
          <w:trHeight w:val="600"/>
        </w:trPr>
        <w:tc>
          <w:tcPr>
            <w:tcW w:w="958" w:type="dxa"/>
            <w:noWrap/>
            <w:vAlign w:val="center"/>
            <w:hideMark/>
          </w:tcPr>
          <w:p w14:paraId="2C7F364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79</w:t>
            </w:r>
          </w:p>
        </w:tc>
        <w:tc>
          <w:tcPr>
            <w:tcW w:w="1718" w:type="dxa"/>
            <w:noWrap/>
            <w:vAlign w:val="bottom"/>
            <w:hideMark/>
          </w:tcPr>
          <w:p w14:paraId="275342C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4035A11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P-108-17</w:t>
            </w:r>
          </w:p>
        </w:tc>
        <w:tc>
          <w:tcPr>
            <w:tcW w:w="1097" w:type="dxa"/>
            <w:noWrap/>
            <w:vAlign w:val="bottom"/>
            <w:hideMark/>
          </w:tcPr>
          <w:p w14:paraId="6472A0B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1C8B60E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2B06FA0" w14:textId="77777777" w:rsidTr="008B7C11">
        <w:trPr>
          <w:trHeight w:val="600"/>
        </w:trPr>
        <w:tc>
          <w:tcPr>
            <w:tcW w:w="958" w:type="dxa"/>
            <w:noWrap/>
            <w:vAlign w:val="center"/>
            <w:hideMark/>
          </w:tcPr>
          <w:p w14:paraId="6B2040B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80</w:t>
            </w:r>
          </w:p>
        </w:tc>
        <w:tc>
          <w:tcPr>
            <w:tcW w:w="1718" w:type="dxa"/>
            <w:noWrap/>
            <w:vAlign w:val="bottom"/>
            <w:hideMark/>
          </w:tcPr>
          <w:p w14:paraId="4F6037C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3947974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P-2447-12</w:t>
            </w:r>
          </w:p>
        </w:tc>
        <w:tc>
          <w:tcPr>
            <w:tcW w:w="1097" w:type="dxa"/>
            <w:noWrap/>
            <w:vAlign w:val="bottom"/>
            <w:hideMark/>
          </w:tcPr>
          <w:p w14:paraId="0A83EA3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01BD353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7B979B8" w14:textId="77777777" w:rsidTr="008B7C11">
        <w:trPr>
          <w:trHeight w:val="600"/>
        </w:trPr>
        <w:tc>
          <w:tcPr>
            <w:tcW w:w="958" w:type="dxa"/>
            <w:noWrap/>
            <w:vAlign w:val="center"/>
            <w:hideMark/>
          </w:tcPr>
          <w:p w14:paraId="55B740B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81</w:t>
            </w:r>
          </w:p>
        </w:tc>
        <w:tc>
          <w:tcPr>
            <w:tcW w:w="1718" w:type="dxa"/>
            <w:noWrap/>
            <w:vAlign w:val="bottom"/>
            <w:hideMark/>
          </w:tcPr>
          <w:p w14:paraId="723B8DE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71C0427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P-2455-12</w:t>
            </w:r>
          </w:p>
        </w:tc>
        <w:tc>
          <w:tcPr>
            <w:tcW w:w="1097" w:type="dxa"/>
            <w:noWrap/>
            <w:vAlign w:val="bottom"/>
            <w:hideMark/>
          </w:tcPr>
          <w:p w14:paraId="77C3B89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2A8E149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C99C928" w14:textId="77777777" w:rsidTr="008B7C11">
        <w:trPr>
          <w:trHeight w:val="600"/>
        </w:trPr>
        <w:tc>
          <w:tcPr>
            <w:tcW w:w="958" w:type="dxa"/>
            <w:noWrap/>
            <w:vAlign w:val="center"/>
            <w:hideMark/>
          </w:tcPr>
          <w:p w14:paraId="117F418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82</w:t>
            </w:r>
          </w:p>
        </w:tc>
        <w:tc>
          <w:tcPr>
            <w:tcW w:w="1718" w:type="dxa"/>
            <w:noWrap/>
            <w:vAlign w:val="bottom"/>
            <w:hideMark/>
          </w:tcPr>
          <w:p w14:paraId="5A021FB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1E87FF2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P-2412-12</w:t>
            </w:r>
          </w:p>
        </w:tc>
        <w:tc>
          <w:tcPr>
            <w:tcW w:w="1097" w:type="dxa"/>
            <w:noWrap/>
            <w:vAlign w:val="bottom"/>
            <w:hideMark/>
          </w:tcPr>
          <w:p w14:paraId="6255750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03778E4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B6A798A" w14:textId="77777777" w:rsidTr="008B7C11">
        <w:trPr>
          <w:trHeight w:val="600"/>
        </w:trPr>
        <w:tc>
          <w:tcPr>
            <w:tcW w:w="958" w:type="dxa"/>
            <w:noWrap/>
            <w:vAlign w:val="center"/>
            <w:hideMark/>
          </w:tcPr>
          <w:p w14:paraId="52C6C01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83</w:t>
            </w:r>
          </w:p>
        </w:tc>
        <w:tc>
          <w:tcPr>
            <w:tcW w:w="1718" w:type="dxa"/>
            <w:noWrap/>
            <w:vAlign w:val="bottom"/>
            <w:hideMark/>
          </w:tcPr>
          <w:p w14:paraId="2DC369C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3CBCC43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P-2239-13</w:t>
            </w:r>
          </w:p>
        </w:tc>
        <w:tc>
          <w:tcPr>
            <w:tcW w:w="1097" w:type="dxa"/>
            <w:noWrap/>
            <w:vAlign w:val="bottom"/>
            <w:hideMark/>
          </w:tcPr>
          <w:p w14:paraId="30C0472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5B7750F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A75FC08" w14:textId="77777777" w:rsidTr="008B7C11">
        <w:trPr>
          <w:trHeight w:val="600"/>
        </w:trPr>
        <w:tc>
          <w:tcPr>
            <w:tcW w:w="958" w:type="dxa"/>
            <w:noWrap/>
            <w:vAlign w:val="center"/>
            <w:hideMark/>
          </w:tcPr>
          <w:p w14:paraId="0EC55A2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84</w:t>
            </w:r>
          </w:p>
        </w:tc>
        <w:tc>
          <w:tcPr>
            <w:tcW w:w="1718" w:type="dxa"/>
            <w:noWrap/>
            <w:vAlign w:val="bottom"/>
            <w:hideMark/>
          </w:tcPr>
          <w:p w14:paraId="441F8A4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09082A3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P-2238-13</w:t>
            </w:r>
          </w:p>
        </w:tc>
        <w:tc>
          <w:tcPr>
            <w:tcW w:w="1097" w:type="dxa"/>
            <w:noWrap/>
            <w:vAlign w:val="bottom"/>
            <w:hideMark/>
          </w:tcPr>
          <w:p w14:paraId="1948862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0E50526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F29D9CF" w14:textId="77777777" w:rsidTr="008B7C11">
        <w:trPr>
          <w:trHeight w:val="600"/>
        </w:trPr>
        <w:tc>
          <w:tcPr>
            <w:tcW w:w="958" w:type="dxa"/>
            <w:noWrap/>
            <w:vAlign w:val="center"/>
            <w:hideMark/>
          </w:tcPr>
          <w:p w14:paraId="5B5284B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85</w:t>
            </w:r>
          </w:p>
        </w:tc>
        <w:tc>
          <w:tcPr>
            <w:tcW w:w="1718" w:type="dxa"/>
            <w:noWrap/>
            <w:vAlign w:val="bottom"/>
            <w:hideMark/>
          </w:tcPr>
          <w:p w14:paraId="07BB2B9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32840D0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P-2240-13</w:t>
            </w:r>
          </w:p>
        </w:tc>
        <w:tc>
          <w:tcPr>
            <w:tcW w:w="1097" w:type="dxa"/>
            <w:noWrap/>
            <w:vAlign w:val="bottom"/>
            <w:hideMark/>
          </w:tcPr>
          <w:p w14:paraId="0EF4C93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5FD73C1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15F0C8B" w14:textId="77777777" w:rsidTr="008B7C11">
        <w:trPr>
          <w:trHeight w:val="600"/>
        </w:trPr>
        <w:tc>
          <w:tcPr>
            <w:tcW w:w="958" w:type="dxa"/>
            <w:noWrap/>
            <w:vAlign w:val="center"/>
            <w:hideMark/>
          </w:tcPr>
          <w:p w14:paraId="6395B9A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86</w:t>
            </w:r>
          </w:p>
        </w:tc>
        <w:tc>
          <w:tcPr>
            <w:tcW w:w="1718" w:type="dxa"/>
            <w:noWrap/>
            <w:vAlign w:val="bottom"/>
            <w:hideMark/>
          </w:tcPr>
          <w:p w14:paraId="02004B9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6061508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P-2434-12</w:t>
            </w:r>
          </w:p>
        </w:tc>
        <w:tc>
          <w:tcPr>
            <w:tcW w:w="1097" w:type="dxa"/>
            <w:noWrap/>
            <w:vAlign w:val="bottom"/>
            <w:hideMark/>
          </w:tcPr>
          <w:p w14:paraId="105B0F0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105B808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8E3E8FD" w14:textId="77777777" w:rsidTr="008B7C11">
        <w:trPr>
          <w:trHeight w:val="600"/>
        </w:trPr>
        <w:tc>
          <w:tcPr>
            <w:tcW w:w="958" w:type="dxa"/>
            <w:noWrap/>
            <w:vAlign w:val="center"/>
            <w:hideMark/>
          </w:tcPr>
          <w:p w14:paraId="5671053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87</w:t>
            </w:r>
          </w:p>
        </w:tc>
        <w:tc>
          <w:tcPr>
            <w:tcW w:w="1718" w:type="dxa"/>
            <w:noWrap/>
            <w:vAlign w:val="bottom"/>
            <w:hideMark/>
          </w:tcPr>
          <w:p w14:paraId="48E2DFB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42AD07D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P-2436-12</w:t>
            </w:r>
          </w:p>
        </w:tc>
        <w:tc>
          <w:tcPr>
            <w:tcW w:w="1097" w:type="dxa"/>
            <w:noWrap/>
            <w:vAlign w:val="bottom"/>
            <w:hideMark/>
          </w:tcPr>
          <w:p w14:paraId="0312517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70CD23D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4EA3964" w14:textId="77777777" w:rsidTr="008B7C11">
        <w:trPr>
          <w:trHeight w:val="600"/>
        </w:trPr>
        <w:tc>
          <w:tcPr>
            <w:tcW w:w="958" w:type="dxa"/>
            <w:noWrap/>
            <w:vAlign w:val="center"/>
            <w:hideMark/>
          </w:tcPr>
          <w:p w14:paraId="2A6DF73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88</w:t>
            </w:r>
          </w:p>
        </w:tc>
        <w:tc>
          <w:tcPr>
            <w:tcW w:w="1718" w:type="dxa"/>
            <w:noWrap/>
            <w:vAlign w:val="bottom"/>
            <w:hideMark/>
          </w:tcPr>
          <w:p w14:paraId="57B1F9D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61CB309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P-2484-12</w:t>
            </w:r>
          </w:p>
        </w:tc>
        <w:tc>
          <w:tcPr>
            <w:tcW w:w="1097" w:type="dxa"/>
            <w:noWrap/>
            <w:vAlign w:val="bottom"/>
            <w:hideMark/>
          </w:tcPr>
          <w:p w14:paraId="4B139EC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4ABFA35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1E03D3F" w14:textId="77777777" w:rsidTr="008B7C11">
        <w:trPr>
          <w:trHeight w:val="600"/>
        </w:trPr>
        <w:tc>
          <w:tcPr>
            <w:tcW w:w="958" w:type="dxa"/>
            <w:noWrap/>
            <w:vAlign w:val="center"/>
            <w:hideMark/>
          </w:tcPr>
          <w:p w14:paraId="18A883A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89</w:t>
            </w:r>
          </w:p>
        </w:tc>
        <w:tc>
          <w:tcPr>
            <w:tcW w:w="1718" w:type="dxa"/>
            <w:noWrap/>
            <w:vAlign w:val="bottom"/>
            <w:hideMark/>
          </w:tcPr>
          <w:p w14:paraId="13D04F3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397C339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P-2432-12</w:t>
            </w:r>
          </w:p>
        </w:tc>
        <w:tc>
          <w:tcPr>
            <w:tcW w:w="1097" w:type="dxa"/>
            <w:noWrap/>
            <w:vAlign w:val="bottom"/>
            <w:hideMark/>
          </w:tcPr>
          <w:p w14:paraId="6CD3372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7DF818E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ABDAD56" w14:textId="77777777" w:rsidTr="008B7C11">
        <w:trPr>
          <w:trHeight w:val="600"/>
        </w:trPr>
        <w:tc>
          <w:tcPr>
            <w:tcW w:w="958" w:type="dxa"/>
            <w:noWrap/>
            <w:vAlign w:val="center"/>
            <w:hideMark/>
          </w:tcPr>
          <w:p w14:paraId="029A5FF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90</w:t>
            </w:r>
          </w:p>
        </w:tc>
        <w:tc>
          <w:tcPr>
            <w:tcW w:w="1718" w:type="dxa"/>
            <w:noWrap/>
            <w:vAlign w:val="bottom"/>
            <w:hideMark/>
          </w:tcPr>
          <w:p w14:paraId="775F9A6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29B288C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P-2428-12</w:t>
            </w:r>
          </w:p>
        </w:tc>
        <w:tc>
          <w:tcPr>
            <w:tcW w:w="1097" w:type="dxa"/>
            <w:noWrap/>
            <w:vAlign w:val="bottom"/>
            <w:hideMark/>
          </w:tcPr>
          <w:p w14:paraId="41362FB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56D0FE6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1F34758" w14:textId="77777777" w:rsidTr="008B7C11">
        <w:trPr>
          <w:trHeight w:val="600"/>
        </w:trPr>
        <w:tc>
          <w:tcPr>
            <w:tcW w:w="958" w:type="dxa"/>
            <w:noWrap/>
            <w:vAlign w:val="center"/>
            <w:hideMark/>
          </w:tcPr>
          <w:p w14:paraId="49AF7AE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91</w:t>
            </w:r>
          </w:p>
        </w:tc>
        <w:tc>
          <w:tcPr>
            <w:tcW w:w="1718" w:type="dxa"/>
            <w:noWrap/>
            <w:vAlign w:val="bottom"/>
            <w:hideMark/>
          </w:tcPr>
          <w:p w14:paraId="6C0A043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5751BE0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P-2423-12</w:t>
            </w:r>
          </w:p>
        </w:tc>
        <w:tc>
          <w:tcPr>
            <w:tcW w:w="1097" w:type="dxa"/>
            <w:noWrap/>
            <w:vAlign w:val="bottom"/>
            <w:hideMark/>
          </w:tcPr>
          <w:p w14:paraId="75F4D88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4D24A5A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5EE011F" w14:textId="77777777" w:rsidTr="008B7C11">
        <w:trPr>
          <w:trHeight w:val="600"/>
        </w:trPr>
        <w:tc>
          <w:tcPr>
            <w:tcW w:w="958" w:type="dxa"/>
            <w:noWrap/>
            <w:vAlign w:val="center"/>
            <w:hideMark/>
          </w:tcPr>
          <w:p w14:paraId="3D04A86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92</w:t>
            </w:r>
          </w:p>
        </w:tc>
        <w:tc>
          <w:tcPr>
            <w:tcW w:w="1718" w:type="dxa"/>
            <w:noWrap/>
            <w:vAlign w:val="bottom"/>
            <w:hideMark/>
          </w:tcPr>
          <w:p w14:paraId="76BC478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30122D3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P-2419-12</w:t>
            </w:r>
          </w:p>
        </w:tc>
        <w:tc>
          <w:tcPr>
            <w:tcW w:w="1097" w:type="dxa"/>
            <w:noWrap/>
            <w:vAlign w:val="bottom"/>
            <w:hideMark/>
          </w:tcPr>
          <w:p w14:paraId="445E536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71B272E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CC867C6" w14:textId="77777777" w:rsidTr="008B7C11">
        <w:trPr>
          <w:trHeight w:val="600"/>
        </w:trPr>
        <w:tc>
          <w:tcPr>
            <w:tcW w:w="958" w:type="dxa"/>
            <w:noWrap/>
            <w:vAlign w:val="center"/>
            <w:hideMark/>
          </w:tcPr>
          <w:p w14:paraId="76ADE4F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93</w:t>
            </w:r>
          </w:p>
        </w:tc>
        <w:tc>
          <w:tcPr>
            <w:tcW w:w="1718" w:type="dxa"/>
            <w:noWrap/>
            <w:vAlign w:val="bottom"/>
            <w:hideMark/>
          </w:tcPr>
          <w:p w14:paraId="0834D3D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6DB05E6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P-2417-12</w:t>
            </w:r>
          </w:p>
        </w:tc>
        <w:tc>
          <w:tcPr>
            <w:tcW w:w="1097" w:type="dxa"/>
            <w:noWrap/>
            <w:vAlign w:val="bottom"/>
            <w:hideMark/>
          </w:tcPr>
          <w:p w14:paraId="2221D00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0636BB9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1251DC4" w14:textId="77777777" w:rsidTr="008B7C11">
        <w:trPr>
          <w:trHeight w:val="600"/>
        </w:trPr>
        <w:tc>
          <w:tcPr>
            <w:tcW w:w="958" w:type="dxa"/>
            <w:noWrap/>
            <w:vAlign w:val="center"/>
            <w:hideMark/>
          </w:tcPr>
          <w:p w14:paraId="2F420CC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94</w:t>
            </w:r>
          </w:p>
        </w:tc>
        <w:tc>
          <w:tcPr>
            <w:tcW w:w="1718" w:type="dxa"/>
            <w:noWrap/>
            <w:vAlign w:val="bottom"/>
            <w:hideMark/>
          </w:tcPr>
          <w:p w14:paraId="13F196F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36389B8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P-2415-12</w:t>
            </w:r>
          </w:p>
        </w:tc>
        <w:tc>
          <w:tcPr>
            <w:tcW w:w="1097" w:type="dxa"/>
            <w:noWrap/>
            <w:vAlign w:val="bottom"/>
            <w:hideMark/>
          </w:tcPr>
          <w:p w14:paraId="34B36D2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627016B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DF81B8D" w14:textId="77777777" w:rsidTr="008B7C11">
        <w:trPr>
          <w:trHeight w:val="600"/>
        </w:trPr>
        <w:tc>
          <w:tcPr>
            <w:tcW w:w="958" w:type="dxa"/>
            <w:noWrap/>
            <w:vAlign w:val="center"/>
            <w:hideMark/>
          </w:tcPr>
          <w:p w14:paraId="07F3982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95</w:t>
            </w:r>
          </w:p>
        </w:tc>
        <w:tc>
          <w:tcPr>
            <w:tcW w:w="1718" w:type="dxa"/>
            <w:noWrap/>
            <w:vAlign w:val="bottom"/>
            <w:hideMark/>
          </w:tcPr>
          <w:p w14:paraId="272119F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3BEDD92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P-1443-18</w:t>
            </w:r>
          </w:p>
        </w:tc>
        <w:tc>
          <w:tcPr>
            <w:tcW w:w="1097" w:type="dxa"/>
            <w:noWrap/>
            <w:vAlign w:val="bottom"/>
            <w:hideMark/>
          </w:tcPr>
          <w:p w14:paraId="2EAFB89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18</w:t>
            </w:r>
          </w:p>
        </w:tc>
        <w:tc>
          <w:tcPr>
            <w:tcW w:w="2600" w:type="dxa"/>
            <w:vAlign w:val="center"/>
            <w:hideMark/>
          </w:tcPr>
          <w:p w14:paraId="264A5DA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B15B475" w14:textId="77777777" w:rsidTr="008B7C11">
        <w:trPr>
          <w:trHeight w:val="600"/>
        </w:trPr>
        <w:tc>
          <w:tcPr>
            <w:tcW w:w="958" w:type="dxa"/>
            <w:noWrap/>
            <w:vAlign w:val="center"/>
            <w:hideMark/>
          </w:tcPr>
          <w:p w14:paraId="0245AD1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96</w:t>
            </w:r>
          </w:p>
        </w:tc>
        <w:tc>
          <w:tcPr>
            <w:tcW w:w="1718" w:type="dxa"/>
            <w:noWrap/>
            <w:vAlign w:val="bottom"/>
            <w:hideMark/>
          </w:tcPr>
          <w:p w14:paraId="460D2B8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024BEFC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P-2452-12</w:t>
            </w:r>
          </w:p>
        </w:tc>
        <w:tc>
          <w:tcPr>
            <w:tcW w:w="1097" w:type="dxa"/>
            <w:noWrap/>
            <w:vAlign w:val="bottom"/>
            <w:hideMark/>
          </w:tcPr>
          <w:p w14:paraId="3639867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57E79A4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2668D3B" w14:textId="77777777" w:rsidTr="008B7C11">
        <w:trPr>
          <w:trHeight w:val="600"/>
        </w:trPr>
        <w:tc>
          <w:tcPr>
            <w:tcW w:w="958" w:type="dxa"/>
            <w:noWrap/>
            <w:vAlign w:val="center"/>
            <w:hideMark/>
          </w:tcPr>
          <w:p w14:paraId="3AB8EE9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97</w:t>
            </w:r>
          </w:p>
        </w:tc>
        <w:tc>
          <w:tcPr>
            <w:tcW w:w="1718" w:type="dxa"/>
            <w:noWrap/>
            <w:vAlign w:val="bottom"/>
            <w:hideMark/>
          </w:tcPr>
          <w:p w14:paraId="63A58A3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60B35F4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P-2451-12</w:t>
            </w:r>
          </w:p>
        </w:tc>
        <w:tc>
          <w:tcPr>
            <w:tcW w:w="1097" w:type="dxa"/>
            <w:noWrap/>
            <w:vAlign w:val="bottom"/>
            <w:hideMark/>
          </w:tcPr>
          <w:p w14:paraId="5C5A183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075F69B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9BCE80C" w14:textId="77777777" w:rsidTr="008B7C11">
        <w:trPr>
          <w:trHeight w:val="600"/>
        </w:trPr>
        <w:tc>
          <w:tcPr>
            <w:tcW w:w="958" w:type="dxa"/>
            <w:noWrap/>
            <w:vAlign w:val="center"/>
            <w:hideMark/>
          </w:tcPr>
          <w:p w14:paraId="6344F9C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98</w:t>
            </w:r>
          </w:p>
        </w:tc>
        <w:tc>
          <w:tcPr>
            <w:tcW w:w="1718" w:type="dxa"/>
            <w:noWrap/>
            <w:vAlign w:val="bottom"/>
            <w:hideMark/>
          </w:tcPr>
          <w:p w14:paraId="682F567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7B158AF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P-2480-12</w:t>
            </w:r>
          </w:p>
        </w:tc>
        <w:tc>
          <w:tcPr>
            <w:tcW w:w="1097" w:type="dxa"/>
            <w:noWrap/>
            <w:vAlign w:val="bottom"/>
            <w:hideMark/>
          </w:tcPr>
          <w:p w14:paraId="04802CB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444081B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71B3873" w14:textId="77777777" w:rsidTr="008B7C11">
        <w:trPr>
          <w:trHeight w:val="600"/>
        </w:trPr>
        <w:tc>
          <w:tcPr>
            <w:tcW w:w="958" w:type="dxa"/>
            <w:noWrap/>
            <w:vAlign w:val="center"/>
            <w:hideMark/>
          </w:tcPr>
          <w:p w14:paraId="5F1F18C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99</w:t>
            </w:r>
          </w:p>
        </w:tc>
        <w:tc>
          <w:tcPr>
            <w:tcW w:w="1718" w:type="dxa"/>
            <w:noWrap/>
            <w:vAlign w:val="bottom"/>
            <w:hideMark/>
          </w:tcPr>
          <w:p w14:paraId="4705A2D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3E440BA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P-2446-12</w:t>
            </w:r>
          </w:p>
        </w:tc>
        <w:tc>
          <w:tcPr>
            <w:tcW w:w="1097" w:type="dxa"/>
            <w:noWrap/>
            <w:vAlign w:val="bottom"/>
            <w:hideMark/>
          </w:tcPr>
          <w:p w14:paraId="538117A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1A75752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0019EF0" w14:textId="77777777" w:rsidTr="008B7C11">
        <w:trPr>
          <w:trHeight w:val="600"/>
        </w:trPr>
        <w:tc>
          <w:tcPr>
            <w:tcW w:w="958" w:type="dxa"/>
            <w:noWrap/>
            <w:vAlign w:val="center"/>
            <w:hideMark/>
          </w:tcPr>
          <w:p w14:paraId="5A5155D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100</w:t>
            </w:r>
          </w:p>
        </w:tc>
        <w:tc>
          <w:tcPr>
            <w:tcW w:w="1718" w:type="dxa"/>
            <w:noWrap/>
            <w:vAlign w:val="bottom"/>
            <w:hideMark/>
          </w:tcPr>
          <w:p w14:paraId="7D57E11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2F62249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P-2422-12</w:t>
            </w:r>
          </w:p>
        </w:tc>
        <w:tc>
          <w:tcPr>
            <w:tcW w:w="1097" w:type="dxa"/>
            <w:noWrap/>
            <w:vAlign w:val="bottom"/>
            <w:hideMark/>
          </w:tcPr>
          <w:p w14:paraId="63227F6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3D7EAEB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F07AA9E" w14:textId="77777777" w:rsidTr="008B7C11">
        <w:trPr>
          <w:trHeight w:val="600"/>
        </w:trPr>
        <w:tc>
          <w:tcPr>
            <w:tcW w:w="958" w:type="dxa"/>
            <w:noWrap/>
            <w:vAlign w:val="center"/>
            <w:hideMark/>
          </w:tcPr>
          <w:p w14:paraId="193B2BB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101</w:t>
            </w:r>
          </w:p>
        </w:tc>
        <w:tc>
          <w:tcPr>
            <w:tcW w:w="1718" w:type="dxa"/>
            <w:noWrap/>
            <w:vAlign w:val="bottom"/>
            <w:hideMark/>
          </w:tcPr>
          <w:p w14:paraId="0E08CCB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02A376E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P-1196-15</w:t>
            </w:r>
          </w:p>
        </w:tc>
        <w:tc>
          <w:tcPr>
            <w:tcW w:w="1097" w:type="dxa"/>
            <w:noWrap/>
            <w:vAlign w:val="bottom"/>
            <w:hideMark/>
          </w:tcPr>
          <w:p w14:paraId="5414781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305103B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6BE94E0" w14:textId="77777777" w:rsidTr="008B7C11">
        <w:trPr>
          <w:trHeight w:val="600"/>
        </w:trPr>
        <w:tc>
          <w:tcPr>
            <w:tcW w:w="958" w:type="dxa"/>
            <w:noWrap/>
            <w:vAlign w:val="center"/>
            <w:hideMark/>
          </w:tcPr>
          <w:p w14:paraId="542938E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102</w:t>
            </w:r>
          </w:p>
        </w:tc>
        <w:tc>
          <w:tcPr>
            <w:tcW w:w="1718" w:type="dxa"/>
            <w:noWrap/>
            <w:vAlign w:val="bottom"/>
            <w:hideMark/>
          </w:tcPr>
          <w:p w14:paraId="4C78D70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52DDEA9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P-2414-12</w:t>
            </w:r>
          </w:p>
        </w:tc>
        <w:tc>
          <w:tcPr>
            <w:tcW w:w="1097" w:type="dxa"/>
            <w:noWrap/>
            <w:vAlign w:val="bottom"/>
            <w:hideMark/>
          </w:tcPr>
          <w:p w14:paraId="267E059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4BA93E0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950CAE5" w14:textId="77777777" w:rsidTr="008B7C11">
        <w:trPr>
          <w:trHeight w:val="600"/>
        </w:trPr>
        <w:tc>
          <w:tcPr>
            <w:tcW w:w="958" w:type="dxa"/>
            <w:noWrap/>
            <w:vAlign w:val="center"/>
            <w:hideMark/>
          </w:tcPr>
          <w:p w14:paraId="48621D8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103</w:t>
            </w:r>
          </w:p>
        </w:tc>
        <w:tc>
          <w:tcPr>
            <w:tcW w:w="1718" w:type="dxa"/>
            <w:noWrap/>
            <w:vAlign w:val="bottom"/>
            <w:hideMark/>
          </w:tcPr>
          <w:p w14:paraId="7713C12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4BE69BD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P-2463-12</w:t>
            </w:r>
          </w:p>
        </w:tc>
        <w:tc>
          <w:tcPr>
            <w:tcW w:w="1097" w:type="dxa"/>
            <w:noWrap/>
            <w:vAlign w:val="bottom"/>
            <w:hideMark/>
          </w:tcPr>
          <w:p w14:paraId="68F62FE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4798506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9DE8A80" w14:textId="77777777" w:rsidTr="008B7C11">
        <w:trPr>
          <w:trHeight w:val="600"/>
        </w:trPr>
        <w:tc>
          <w:tcPr>
            <w:tcW w:w="958" w:type="dxa"/>
            <w:noWrap/>
            <w:vAlign w:val="center"/>
            <w:hideMark/>
          </w:tcPr>
          <w:p w14:paraId="6B84805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104</w:t>
            </w:r>
          </w:p>
        </w:tc>
        <w:tc>
          <w:tcPr>
            <w:tcW w:w="1718" w:type="dxa"/>
            <w:noWrap/>
            <w:vAlign w:val="bottom"/>
            <w:hideMark/>
          </w:tcPr>
          <w:p w14:paraId="553D736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318248B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P-2460-12</w:t>
            </w:r>
          </w:p>
        </w:tc>
        <w:tc>
          <w:tcPr>
            <w:tcW w:w="1097" w:type="dxa"/>
            <w:noWrap/>
            <w:vAlign w:val="bottom"/>
            <w:hideMark/>
          </w:tcPr>
          <w:p w14:paraId="6E2C2A5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2F61E6C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785EB85" w14:textId="77777777" w:rsidTr="008B7C11">
        <w:trPr>
          <w:trHeight w:val="600"/>
        </w:trPr>
        <w:tc>
          <w:tcPr>
            <w:tcW w:w="958" w:type="dxa"/>
            <w:noWrap/>
            <w:vAlign w:val="center"/>
            <w:hideMark/>
          </w:tcPr>
          <w:p w14:paraId="49742B2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105</w:t>
            </w:r>
          </w:p>
        </w:tc>
        <w:tc>
          <w:tcPr>
            <w:tcW w:w="1718" w:type="dxa"/>
            <w:noWrap/>
            <w:vAlign w:val="bottom"/>
            <w:hideMark/>
          </w:tcPr>
          <w:p w14:paraId="08A8BBD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4C3B92F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P-2465-12</w:t>
            </w:r>
          </w:p>
        </w:tc>
        <w:tc>
          <w:tcPr>
            <w:tcW w:w="1097" w:type="dxa"/>
            <w:noWrap/>
            <w:vAlign w:val="bottom"/>
            <w:hideMark/>
          </w:tcPr>
          <w:p w14:paraId="2482798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3C7D21C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1CA154A" w14:textId="77777777" w:rsidTr="008B7C11">
        <w:trPr>
          <w:trHeight w:val="600"/>
        </w:trPr>
        <w:tc>
          <w:tcPr>
            <w:tcW w:w="958" w:type="dxa"/>
            <w:noWrap/>
            <w:vAlign w:val="center"/>
            <w:hideMark/>
          </w:tcPr>
          <w:p w14:paraId="57A91C7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106</w:t>
            </w:r>
          </w:p>
        </w:tc>
        <w:tc>
          <w:tcPr>
            <w:tcW w:w="1718" w:type="dxa"/>
            <w:noWrap/>
            <w:vAlign w:val="bottom"/>
            <w:hideMark/>
          </w:tcPr>
          <w:p w14:paraId="0DB4EDB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710FACE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P-2472-12</w:t>
            </w:r>
          </w:p>
        </w:tc>
        <w:tc>
          <w:tcPr>
            <w:tcW w:w="1097" w:type="dxa"/>
            <w:noWrap/>
            <w:vAlign w:val="bottom"/>
            <w:hideMark/>
          </w:tcPr>
          <w:p w14:paraId="0169726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455610A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09C7160" w14:textId="77777777" w:rsidTr="008B7C11">
        <w:trPr>
          <w:trHeight w:val="600"/>
        </w:trPr>
        <w:tc>
          <w:tcPr>
            <w:tcW w:w="958" w:type="dxa"/>
            <w:noWrap/>
            <w:vAlign w:val="center"/>
            <w:hideMark/>
          </w:tcPr>
          <w:p w14:paraId="109F7A6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107</w:t>
            </w:r>
          </w:p>
        </w:tc>
        <w:tc>
          <w:tcPr>
            <w:tcW w:w="1718" w:type="dxa"/>
            <w:noWrap/>
            <w:vAlign w:val="bottom"/>
            <w:hideMark/>
          </w:tcPr>
          <w:p w14:paraId="5128401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102FE82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P-2416-12</w:t>
            </w:r>
          </w:p>
        </w:tc>
        <w:tc>
          <w:tcPr>
            <w:tcW w:w="1097" w:type="dxa"/>
            <w:noWrap/>
            <w:vAlign w:val="bottom"/>
            <w:hideMark/>
          </w:tcPr>
          <w:p w14:paraId="18E92D2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447611F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FDB2656" w14:textId="77777777" w:rsidTr="008B7C11">
        <w:trPr>
          <w:trHeight w:val="600"/>
        </w:trPr>
        <w:tc>
          <w:tcPr>
            <w:tcW w:w="958" w:type="dxa"/>
            <w:noWrap/>
            <w:vAlign w:val="center"/>
            <w:hideMark/>
          </w:tcPr>
          <w:p w14:paraId="0CB6234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108</w:t>
            </w:r>
          </w:p>
        </w:tc>
        <w:tc>
          <w:tcPr>
            <w:tcW w:w="1718" w:type="dxa"/>
            <w:noWrap/>
            <w:vAlign w:val="bottom"/>
            <w:hideMark/>
          </w:tcPr>
          <w:p w14:paraId="4274257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7CCF622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P-2485-12</w:t>
            </w:r>
          </w:p>
        </w:tc>
        <w:tc>
          <w:tcPr>
            <w:tcW w:w="1097" w:type="dxa"/>
            <w:noWrap/>
            <w:vAlign w:val="bottom"/>
            <w:hideMark/>
          </w:tcPr>
          <w:p w14:paraId="3AF5284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6A16983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CCB457B" w14:textId="77777777" w:rsidTr="008B7C11">
        <w:trPr>
          <w:trHeight w:val="600"/>
        </w:trPr>
        <w:tc>
          <w:tcPr>
            <w:tcW w:w="958" w:type="dxa"/>
            <w:noWrap/>
            <w:vAlign w:val="center"/>
            <w:hideMark/>
          </w:tcPr>
          <w:p w14:paraId="155AAAB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109</w:t>
            </w:r>
          </w:p>
        </w:tc>
        <w:tc>
          <w:tcPr>
            <w:tcW w:w="1718" w:type="dxa"/>
            <w:noWrap/>
            <w:vAlign w:val="bottom"/>
            <w:hideMark/>
          </w:tcPr>
          <w:p w14:paraId="52537FC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685AAF1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P-170-12</w:t>
            </w:r>
          </w:p>
        </w:tc>
        <w:tc>
          <w:tcPr>
            <w:tcW w:w="1097" w:type="dxa"/>
            <w:noWrap/>
            <w:vAlign w:val="bottom"/>
            <w:hideMark/>
          </w:tcPr>
          <w:p w14:paraId="79FBFA7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52C4A3C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DB2E1CA" w14:textId="77777777" w:rsidTr="008B7C11">
        <w:trPr>
          <w:trHeight w:val="600"/>
        </w:trPr>
        <w:tc>
          <w:tcPr>
            <w:tcW w:w="958" w:type="dxa"/>
            <w:noWrap/>
            <w:vAlign w:val="center"/>
            <w:hideMark/>
          </w:tcPr>
          <w:p w14:paraId="7D35711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110</w:t>
            </w:r>
          </w:p>
        </w:tc>
        <w:tc>
          <w:tcPr>
            <w:tcW w:w="1718" w:type="dxa"/>
            <w:noWrap/>
            <w:vAlign w:val="bottom"/>
            <w:hideMark/>
          </w:tcPr>
          <w:p w14:paraId="0641B29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216E10B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P-2406-12</w:t>
            </w:r>
          </w:p>
        </w:tc>
        <w:tc>
          <w:tcPr>
            <w:tcW w:w="1097" w:type="dxa"/>
            <w:noWrap/>
            <w:vAlign w:val="bottom"/>
            <w:hideMark/>
          </w:tcPr>
          <w:p w14:paraId="16843AF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69D6BA3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7420EB2" w14:textId="77777777" w:rsidTr="008B7C11">
        <w:trPr>
          <w:trHeight w:val="600"/>
        </w:trPr>
        <w:tc>
          <w:tcPr>
            <w:tcW w:w="958" w:type="dxa"/>
            <w:noWrap/>
            <w:vAlign w:val="center"/>
            <w:hideMark/>
          </w:tcPr>
          <w:p w14:paraId="028CEE5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111</w:t>
            </w:r>
          </w:p>
        </w:tc>
        <w:tc>
          <w:tcPr>
            <w:tcW w:w="1718" w:type="dxa"/>
            <w:noWrap/>
            <w:vAlign w:val="bottom"/>
            <w:hideMark/>
          </w:tcPr>
          <w:p w14:paraId="73A0E92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7F1D840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P-2241-13</w:t>
            </w:r>
          </w:p>
        </w:tc>
        <w:tc>
          <w:tcPr>
            <w:tcW w:w="1097" w:type="dxa"/>
            <w:noWrap/>
            <w:vAlign w:val="bottom"/>
            <w:hideMark/>
          </w:tcPr>
          <w:p w14:paraId="2A5F62C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285C47F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C290865" w14:textId="77777777" w:rsidTr="008B7C11">
        <w:trPr>
          <w:trHeight w:val="600"/>
        </w:trPr>
        <w:tc>
          <w:tcPr>
            <w:tcW w:w="958" w:type="dxa"/>
            <w:noWrap/>
            <w:vAlign w:val="center"/>
            <w:hideMark/>
          </w:tcPr>
          <w:p w14:paraId="3C3AAA7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112</w:t>
            </w:r>
          </w:p>
        </w:tc>
        <w:tc>
          <w:tcPr>
            <w:tcW w:w="1718" w:type="dxa"/>
            <w:noWrap/>
            <w:vAlign w:val="bottom"/>
            <w:hideMark/>
          </w:tcPr>
          <w:p w14:paraId="31A97A8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4DCF7AB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P-2464-12</w:t>
            </w:r>
          </w:p>
        </w:tc>
        <w:tc>
          <w:tcPr>
            <w:tcW w:w="1097" w:type="dxa"/>
            <w:noWrap/>
            <w:vAlign w:val="bottom"/>
            <w:hideMark/>
          </w:tcPr>
          <w:p w14:paraId="2BA2C1B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1DEEC5D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EF63337" w14:textId="77777777" w:rsidTr="008B7C11">
        <w:trPr>
          <w:trHeight w:val="600"/>
        </w:trPr>
        <w:tc>
          <w:tcPr>
            <w:tcW w:w="958" w:type="dxa"/>
            <w:noWrap/>
            <w:vAlign w:val="center"/>
            <w:hideMark/>
          </w:tcPr>
          <w:p w14:paraId="7D34007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113</w:t>
            </w:r>
          </w:p>
        </w:tc>
        <w:tc>
          <w:tcPr>
            <w:tcW w:w="1718" w:type="dxa"/>
            <w:noWrap/>
            <w:vAlign w:val="bottom"/>
            <w:hideMark/>
          </w:tcPr>
          <w:p w14:paraId="4F0336D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495BACF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P-2473-12</w:t>
            </w:r>
          </w:p>
        </w:tc>
        <w:tc>
          <w:tcPr>
            <w:tcW w:w="1097" w:type="dxa"/>
            <w:noWrap/>
            <w:vAlign w:val="bottom"/>
            <w:hideMark/>
          </w:tcPr>
          <w:p w14:paraId="5D06ADC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6444D04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CE8FAD3" w14:textId="77777777" w:rsidTr="008B7C11">
        <w:trPr>
          <w:trHeight w:val="600"/>
        </w:trPr>
        <w:tc>
          <w:tcPr>
            <w:tcW w:w="958" w:type="dxa"/>
            <w:noWrap/>
            <w:vAlign w:val="center"/>
            <w:hideMark/>
          </w:tcPr>
          <w:p w14:paraId="0617AA8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114</w:t>
            </w:r>
          </w:p>
        </w:tc>
        <w:tc>
          <w:tcPr>
            <w:tcW w:w="1718" w:type="dxa"/>
            <w:noWrap/>
            <w:vAlign w:val="bottom"/>
            <w:hideMark/>
          </w:tcPr>
          <w:p w14:paraId="54F51BC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5A37D0B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P-2410-12</w:t>
            </w:r>
          </w:p>
        </w:tc>
        <w:tc>
          <w:tcPr>
            <w:tcW w:w="1097" w:type="dxa"/>
            <w:noWrap/>
            <w:vAlign w:val="bottom"/>
            <w:hideMark/>
          </w:tcPr>
          <w:p w14:paraId="2A4E455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17C6B3B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7103516" w14:textId="77777777" w:rsidTr="008B7C11">
        <w:trPr>
          <w:trHeight w:val="600"/>
        </w:trPr>
        <w:tc>
          <w:tcPr>
            <w:tcW w:w="958" w:type="dxa"/>
            <w:noWrap/>
            <w:vAlign w:val="center"/>
            <w:hideMark/>
          </w:tcPr>
          <w:p w14:paraId="50EB42D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115</w:t>
            </w:r>
          </w:p>
        </w:tc>
        <w:tc>
          <w:tcPr>
            <w:tcW w:w="1718" w:type="dxa"/>
            <w:noWrap/>
            <w:vAlign w:val="bottom"/>
            <w:hideMark/>
          </w:tcPr>
          <w:p w14:paraId="6C7062A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2E84DEF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P-2483-12</w:t>
            </w:r>
          </w:p>
        </w:tc>
        <w:tc>
          <w:tcPr>
            <w:tcW w:w="1097" w:type="dxa"/>
            <w:noWrap/>
            <w:vAlign w:val="bottom"/>
            <w:hideMark/>
          </w:tcPr>
          <w:p w14:paraId="3A6A2B7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1611E1C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B0D1100" w14:textId="77777777" w:rsidTr="008B7C11">
        <w:trPr>
          <w:trHeight w:val="600"/>
        </w:trPr>
        <w:tc>
          <w:tcPr>
            <w:tcW w:w="958" w:type="dxa"/>
            <w:noWrap/>
            <w:vAlign w:val="center"/>
            <w:hideMark/>
          </w:tcPr>
          <w:p w14:paraId="53D16EF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116</w:t>
            </w:r>
          </w:p>
        </w:tc>
        <w:tc>
          <w:tcPr>
            <w:tcW w:w="1718" w:type="dxa"/>
            <w:noWrap/>
            <w:vAlign w:val="bottom"/>
            <w:hideMark/>
          </w:tcPr>
          <w:p w14:paraId="249C1CF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140FA13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P-2496-12</w:t>
            </w:r>
          </w:p>
        </w:tc>
        <w:tc>
          <w:tcPr>
            <w:tcW w:w="1097" w:type="dxa"/>
            <w:noWrap/>
            <w:vAlign w:val="bottom"/>
            <w:hideMark/>
          </w:tcPr>
          <w:p w14:paraId="36A7CBD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5E44A8D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9640EB7" w14:textId="77777777" w:rsidTr="008B7C11">
        <w:trPr>
          <w:trHeight w:val="600"/>
        </w:trPr>
        <w:tc>
          <w:tcPr>
            <w:tcW w:w="958" w:type="dxa"/>
            <w:noWrap/>
            <w:vAlign w:val="center"/>
            <w:hideMark/>
          </w:tcPr>
          <w:p w14:paraId="0F51F3E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117</w:t>
            </w:r>
          </w:p>
        </w:tc>
        <w:tc>
          <w:tcPr>
            <w:tcW w:w="1718" w:type="dxa"/>
            <w:noWrap/>
            <w:vAlign w:val="bottom"/>
            <w:hideMark/>
          </w:tcPr>
          <w:p w14:paraId="5605F87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3E1B005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P-501-13</w:t>
            </w:r>
          </w:p>
        </w:tc>
        <w:tc>
          <w:tcPr>
            <w:tcW w:w="1097" w:type="dxa"/>
            <w:noWrap/>
            <w:vAlign w:val="bottom"/>
            <w:hideMark/>
          </w:tcPr>
          <w:p w14:paraId="2CE9128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04778CE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0EFB828" w14:textId="77777777" w:rsidTr="008B7C11">
        <w:trPr>
          <w:trHeight w:val="600"/>
        </w:trPr>
        <w:tc>
          <w:tcPr>
            <w:tcW w:w="958" w:type="dxa"/>
            <w:noWrap/>
            <w:vAlign w:val="center"/>
            <w:hideMark/>
          </w:tcPr>
          <w:p w14:paraId="0E957C2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118</w:t>
            </w:r>
          </w:p>
        </w:tc>
        <w:tc>
          <w:tcPr>
            <w:tcW w:w="1718" w:type="dxa"/>
            <w:noWrap/>
            <w:vAlign w:val="bottom"/>
            <w:hideMark/>
          </w:tcPr>
          <w:p w14:paraId="17C9308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1C565EC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P-2181-12</w:t>
            </w:r>
          </w:p>
        </w:tc>
        <w:tc>
          <w:tcPr>
            <w:tcW w:w="1097" w:type="dxa"/>
            <w:noWrap/>
            <w:vAlign w:val="bottom"/>
            <w:hideMark/>
          </w:tcPr>
          <w:p w14:paraId="387F3F6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04AF377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4006130" w14:textId="77777777" w:rsidTr="008B7C11">
        <w:trPr>
          <w:trHeight w:val="600"/>
        </w:trPr>
        <w:tc>
          <w:tcPr>
            <w:tcW w:w="958" w:type="dxa"/>
            <w:noWrap/>
            <w:vAlign w:val="center"/>
            <w:hideMark/>
          </w:tcPr>
          <w:p w14:paraId="1778ADE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119</w:t>
            </w:r>
          </w:p>
        </w:tc>
        <w:tc>
          <w:tcPr>
            <w:tcW w:w="1718" w:type="dxa"/>
            <w:noWrap/>
            <w:vAlign w:val="bottom"/>
            <w:hideMark/>
          </w:tcPr>
          <w:p w14:paraId="0BB4227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189A841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P-2458-12</w:t>
            </w:r>
          </w:p>
        </w:tc>
        <w:tc>
          <w:tcPr>
            <w:tcW w:w="1097" w:type="dxa"/>
            <w:noWrap/>
            <w:vAlign w:val="bottom"/>
            <w:hideMark/>
          </w:tcPr>
          <w:p w14:paraId="7AC98EC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2176C21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AF1831F" w14:textId="77777777" w:rsidTr="008B7C11">
        <w:trPr>
          <w:trHeight w:val="600"/>
        </w:trPr>
        <w:tc>
          <w:tcPr>
            <w:tcW w:w="958" w:type="dxa"/>
            <w:noWrap/>
            <w:vAlign w:val="center"/>
            <w:hideMark/>
          </w:tcPr>
          <w:p w14:paraId="7D9D6C2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120</w:t>
            </w:r>
          </w:p>
        </w:tc>
        <w:tc>
          <w:tcPr>
            <w:tcW w:w="1718" w:type="dxa"/>
            <w:noWrap/>
            <w:vAlign w:val="bottom"/>
            <w:hideMark/>
          </w:tcPr>
          <w:p w14:paraId="1B4B7F8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3A67D95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P-1462-16</w:t>
            </w:r>
          </w:p>
        </w:tc>
        <w:tc>
          <w:tcPr>
            <w:tcW w:w="1097" w:type="dxa"/>
            <w:noWrap/>
            <w:vAlign w:val="bottom"/>
            <w:hideMark/>
          </w:tcPr>
          <w:p w14:paraId="3D090DF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1F6A454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F2517D2" w14:textId="77777777" w:rsidTr="008B7C11">
        <w:trPr>
          <w:trHeight w:val="600"/>
        </w:trPr>
        <w:tc>
          <w:tcPr>
            <w:tcW w:w="958" w:type="dxa"/>
            <w:noWrap/>
            <w:vAlign w:val="center"/>
            <w:hideMark/>
          </w:tcPr>
          <w:p w14:paraId="2E40288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121</w:t>
            </w:r>
          </w:p>
        </w:tc>
        <w:tc>
          <w:tcPr>
            <w:tcW w:w="1718" w:type="dxa"/>
            <w:noWrap/>
            <w:vAlign w:val="bottom"/>
            <w:hideMark/>
          </w:tcPr>
          <w:p w14:paraId="6E5FD54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6D86DA6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P-2396-12</w:t>
            </w:r>
          </w:p>
        </w:tc>
        <w:tc>
          <w:tcPr>
            <w:tcW w:w="1097" w:type="dxa"/>
            <w:noWrap/>
            <w:vAlign w:val="bottom"/>
            <w:hideMark/>
          </w:tcPr>
          <w:p w14:paraId="69750C1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4A5CA4A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96A89E1" w14:textId="77777777" w:rsidTr="008B7C11">
        <w:trPr>
          <w:trHeight w:val="600"/>
        </w:trPr>
        <w:tc>
          <w:tcPr>
            <w:tcW w:w="958" w:type="dxa"/>
            <w:noWrap/>
            <w:vAlign w:val="center"/>
            <w:hideMark/>
          </w:tcPr>
          <w:p w14:paraId="2D0FB0E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122</w:t>
            </w:r>
          </w:p>
        </w:tc>
        <w:tc>
          <w:tcPr>
            <w:tcW w:w="1718" w:type="dxa"/>
            <w:noWrap/>
            <w:vAlign w:val="bottom"/>
            <w:hideMark/>
          </w:tcPr>
          <w:p w14:paraId="4E01563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2454875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P-2402-12</w:t>
            </w:r>
          </w:p>
        </w:tc>
        <w:tc>
          <w:tcPr>
            <w:tcW w:w="1097" w:type="dxa"/>
            <w:noWrap/>
            <w:vAlign w:val="bottom"/>
            <w:hideMark/>
          </w:tcPr>
          <w:p w14:paraId="59D80F6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50D2FE1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BFE9DFB" w14:textId="77777777" w:rsidTr="008B7C11">
        <w:trPr>
          <w:trHeight w:val="600"/>
        </w:trPr>
        <w:tc>
          <w:tcPr>
            <w:tcW w:w="958" w:type="dxa"/>
            <w:noWrap/>
            <w:vAlign w:val="center"/>
            <w:hideMark/>
          </w:tcPr>
          <w:p w14:paraId="1738483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123</w:t>
            </w:r>
          </w:p>
        </w:tc>
        <w:tc>
          <w:tcPr>
            <w:tcW w:w="1718" w:type="dxa"/>
            <w:noWrap/>
            <w:vAlign w:val="bottom"/>
            <w:hideMark/>
          </w:tcPr>
          <w:p w14:paraId="6536564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7098601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P-2411-12</w:t>
            </w:r>
          </w:p>
        </w:tc>
        <w:tc>
          <w:tcPr>
            <w:tcW w:w="1097" w:type="dxa"/>
            <w:noWrap/>
            <w:vAlign w:val="bottom"/>
            <w:hideMark/>
          </w:tcPr>
          <w:p w14:paraId="20AA659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440702A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85E15D4" w14:textId="77777777" w:rsidTr="008B7C11">
        <w:trPr>
          <w:trHeight w:val="600"/>
        </w:trPr>
        <w:tc>
          <w:tcPr>
            <w:tcW w:w="958" w:type="dxa"/>
            <w:noWrap/>
            <w:vAlign w:val="center"/>
            <w:hideMark/>
          </w:tcPr>
          <w:p w14:paraId="51FF9F0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124</w:t>
            </w:r>
          </w:p>
        </w:tc>
        <w:tc>
          <w:tcPr>
            <w:tcW w:w="1718" w:type="dxa"/>
            <w:noWrap/>
            <w:vAlign w:val="bottom"/>
            <w:hideMark/>
          </w:tcPr>
          <w:p w14:paraId="5685424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514DBE5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P-1383-16</w:t>
            </w:r>
          </w:p>
        </w:tc>
        <w:tc>
          <w:tcPr>
            <w:tcW w:w="1097" w:type="dxa"/>
            <w:noWrap/>
            <w:vAlign w:val="bottom"/>
            <w:hideMark/>
          </w:tcPr>
          <w:p w14:paraId="2E8B1FA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2A4A885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E656791" w14:textId="77777777" w:rsidTr="008B7C11">
        <w:trPr>
          <w:trHeight w:val="600"/>
        </w:trPr>
        <w:tc>
          <w:tcPr>
            <w:tcW w:w="958" w:type="dxa"/>
            <w:noWrap/>
            <w:vAlign w:val="center"/>
            <w:hideMark/>
          </w:tcPr>
          <w:p w14:paraId="1C7828C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125</w:t>
            </w:r>
          </w:p>
        </w:tc>
        <w:tc>
          <w:tcPr>
            <w:tcW w:w="1718" w:type="dxa"/>
            <w:noWrap/>
            <w:vAlign w:val="bottom"/>
            <w:hideMark/>
          </w:tcPr>
          <w:p w14:paraId="48C12E1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3610F88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P-2486-12</w:t>
            </w:r>
          </w:p>
        </w:tc>
        <w:tc>
          <w:tcPr>
            <w:tcW w:w="1097" w:type="dxa"/>
            <w:noWrap/>
            <w:vAlign w:val="bottom"/>
            <w:hideMark/>
          </w:tcPr>
          <w:p w14:paraId="441A146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378E6FD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9EFA0A6" w14:textId="77777777" w:rsidTr="008B7C11">
        <w:trPr>
          <w:trHeight w:val="600"/>
        </w:trPr>
        <w:tc>
          <w:tcPr>
            <w:tcW w:w="958" w:type="dxa"/>
            <w:noWrap/>
            <w:vAlign w:val="center"/>
            <w:hideMark/>
          </w:tcPr>
          <w:p w14:paraId="4343050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126</w:t>
            </w:r>
          </w:p>
        </w:tc>
        <w:tc>
          <w:tcPr>
            <w:tcW w:w="1718" w:type="dxa"/>
            <w:noWrap/>
            <w:vAlign w:val="bottom"/>
            <w:hideMark/>
          </w:tcPr>
          <w:p w14:paraId="7D25F32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33ED1B4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P-2474-12</w:t>
            </w:r>
          </w:p>
        </w:tc>
        <w:tc>
          <w:tcPr>
            <w:tcW w:w="1097" w:type="dxa"/>
            <w:noWrap/>
            <w:vAlign w:val="bottom"/>
            <w:hideMark/>
          </w:tcPr>
          <w:p w14:paraId="2A3CF21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7F1F96F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4831265" w14:textId="77777777" w:rsidTr="008B7C11">
        <w:trPr>
          <w:trHeight w:val="600"/>
        </w:trPr>
        <w:tc>
          <w:tcPr>
            <w:tcW w:w="958" w:type="dxa"/>
            <w:noWrap/>
            <w:vAlign w:val="center"/>
            <w:hideMark/>
          </w:tcPr>
          <w:p w14:paraId="78F30A8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127</w:t>
            </w:r>
          </w:p>
        </w:tc>
        <w:tc>
          <w:tcPr>
            <w:tcW w:w="1718" w:type="dxa"/>
            <w:noWrap/>
            <w:vAlign w:val="bottom"/>
            <w:hideMark/>
          </w:tcPr>
          <w:p w14:paraId="1EE87BA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57DC3A3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P-2477-12</w:t>
            </w:r>
          </w:p>
        </w:tc>
        <w:tc>
          <w:tcPr>
            <w:tcW w:w="1097" w:type="dxa"/>
            <w:noWrap/>
            <w:vAlign w:val="bottom"/>
            <w:hideMark/>
          </w:tcPr>
          <w:p w14:paraId="36B3131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0EEF7C5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10E61E0" w14:textId="77777777" w:rsidTr="008B7C11">
        <w:trPr>
          <w:trHeight w:val="600"/>
        </w:trPr>
        <w:tc>
          <w:tcPr>
            <w:tcW w:w="958" w:type="dxa"/>
            <w:noWrap/>
            <w:vAlign w:val="center"/>
            <w:hideMark/>
          </w:tcPr>
          <w:p w14:paraId="036563E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128</w:t>
            </w:r>
          </w:p>
        </w:tc>
        <w:tc>
          <w:tcPr>
            <w:tcW w:w="1718" w:type="dxa"/>
            <w:noWrap/>
            <w:vAlign w:val="bottom"/>
            <w:hideMark/>
          </w:tcPr>
          <w:p w14:paraId="63B6DCD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79427C2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P-2490-12</w:t>
            </w:r>
          </w:p>
        </w:tc>
        <w:tc>
          <w:tcPr>
            <w:tcW w:w="1097" w:type="dxa"/>
            <w:noWrap/>
            <w:vAlign w:val="bottom"/>
            <w:hideMark/>
          </w:tcPr>
          <w:p w14:paraId="06A25E9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1E132F6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68DF659" w14:textId="77777777" w:rsidTr="008B7C11">
        <w:trPr>
          <w:trHeight w:val="600"/>
        </w:trPr>
        <w:tc>
          <w:tcPr>
            <w:tcW w:w="958" w:type="dxa"/>
            <w:noWrap/>
            <w:vAlign w:val="center"/>
            <w:hideMark/>
          </w:tcPr>
          <w:p w14:paraId="7FCDB7F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129</w:t>
            </w:r>
          </w:p>
        </w:tc>
        <w:tc>
          <w:tcPr>
            <w:tcW w:w="1718" w:type="dxa"/>
            <w:noWrap/>
            <w:vAlign w:val="bottom"/>
            <w:hideMark/>
          </w:tcPr>
          <w:p w14:paraId="1216BC7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0D4A181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P-2442-12</w:t>
            </w:r>
          </w:p>
        </w:tc>
        <w:tc>
          <w:tcPr>
            <w:tcW w:w="1097" w:type="dxa"/>
            <w:noWrap/>
            <w:vAlign w:val="bottom"/>
            <w:hideMark/>
          </w:tcPr>
          <w:p w14:paraId="6E8B474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7039701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2A6FFFD" w14:textId="77777777" w:rsidTr="008B7C11">
        <w:trPr>
          <w:trHeight w:val="600"/>
        </w:trPr>
        <w:tc>
          <w:tcPr>
            <w:tcW w:w="958" w:type="dxa"/>
            <w:noWrap/>
            <w:vAlign w:val="center"/>
            <w:hideMark/>
          </w:tcPr>
          <w:p w14:paraId="6F30A5F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130</w:t>
            </w:r>
          </w:p>
        </w:tc>
        <w:tc>
          <w:tcPr>
            <w:tcW w:w="1718" w:type="dxa"/>
            <w:noWrap/>
            <w:vAlign w:val="bottom"/>
            <w:hideMark/>
          </w:tcPr>
          <w:p w14:paraId="385D168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663632A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P-2243-13</w:t>
            </w:r>
          </w:p>
        </w:tc>
        <w:tc>
          <w:tcPr>
            <w:tcW w:w="1097" w:type="dxa"/>
            <w:noWrap/>
            <w:vAlign w:val="bottom"/>
            <w:hideMark/>
          </w:tcPr>
          <w:p w14:paraId="484202F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27779BF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0FC669A" w14:textId="77777777" w:rsidTr="008B7C11">
        <w:trPr>
          <w:trHeight w:val="600"/>
        </w:trPr>
        <w:tc>
          <w:tcPr>
            <w:tcW w:w="958" w:type="dxa"/>
            <w:noWrap/>
            <w:vAlign w:val="center"/>
            <w:hideMark/>
          </w:tcPr>
          <w:p w14:paraId="4BB75BA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131</w:t>
            </w:r>
          </w:p>
        </w:tc>
        <w:tc>
          <w:tcPr>
            <w:tcW w:w="1718" w:type="dxa"/>
            <w:noWrap/>
            <w:vAlign w:val="bottom"/>
            <w:hideMark/>
          </w:tcPr>
          <w:p w14:paraId="5444389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583AC1C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P-2478-12</w:t>
            </w:r>
          </w:p>
        </w:tc>
        <w:tc>
          <w:tcPr>
            <w:tcW w:w="1097" w:type="dxa"/>
            <w:noWrap/>
            <w:vAlign w:val="bottom"/>
            <w:hideMark/>
          </w:tcPr>
          <w:p w14:paraId="6129DF5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1E69EED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898EA25" w14:textId="77777777" w:rsidTr="008B7C11">
        <w:trPr>
          <w:trHeight w:val="600"/>
        </w:trPr>
        <w:tc>
          <w:tcPr>
            <w:tcW w:w="958" w:type="dxa"/>
            <w:noWrap/>
            <w:vAlign w:val="center"/>
            <w:hideMark/>
          </w:tcPr>
          <w:p w14:paraId="4DF8FA2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132</w:t>
            </w:r>
          </w:p>
        </w:tc>
        <w:tc>
          <w:tcPr>
            <w:tcW w:w="1718" w:type="dxa"/>
            <w:noWrap/>
            <w:vAlign w:val="bottom"/>
            <w:hideMark/>
          </w:tcPr>
          <w:p w14:paraId="63A0E28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2E1F891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P-1532-13</w:t>
            </w:r>
          </w:p>
        </w:tc>
        <w:tc>
          <w:tcPr>
            <w:tcW w:w="1097" w:type="dxa"/>
            <w:noWrap/>
            <w:vAlign w:val="bottom"/>
            <w:hideMark/>
          </w:tcPr>
          <w:p w14:paraId="0ADB4A1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19B53AA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2BAB5D3" w14:textId="77777777" w:rsidTr="008B7C11">
        <w:trPr>
          <w:trHeight w:val="600"/>
        </w:trPr>
        <w:tc>
          <w:tcPr>
            <w:tcW w:w="958" w:type="dxa"/>
            <w:noWrap/>
            <w:vAlign w:val="center"/>
            <w:hideMark/>
          </w:tcPr>
          <w:p w14:paraId="7D5B6B7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133</w:t>
            </w:r>
          </w:p>
        </w:tc>
        <w:tc>
          <w:tcPr>
            <w:tcW w:w="1718" w:type="dxa"/>
            <w:noWrap/>
            <w:vAlign w:val="bottom"/>
            <w:hideMark/>
          </w:tcPr>
          <w:p w14:paraId="3736FF9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53F7F66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P-2398-12</w:t>
            </w:r>
          </w:p>
        </w:tc>
        <w:tc>
          <w:tcPr>
            <w:tcW w:w="1097" w:type="dxa"/>
            <w:noWrap/>
            <w:vAlign w:val="bottom"/>
            <w:hideMark/>
          </w:tcPr>
          <w:p w14:paraId="6AB5CB1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5B3D88E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66C655E" w14:textId="77777777" w:rsidTr="008B7C11">
        <w:trPr>
          <w:trHeight w:val="600"/>
        </w:trPr>
        <w:tc>
          <w:tcPr>
            <w:tcW w:w="958" w:type="dxa"/>
            <w:noWrap/>
            <w:vAlign w:val="center"/>
            <w:hideMark/>
          </w:tcPr>
          <w:p w14:paraId="2FDE55A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134</w:t>
            </w:r>
          </w:p>
        </w:tc>
        <w:tc>
          <w:tcPr>
            <w:tcW w:w="1718" w:type="dxa"/>
            <w:noWrap/>
            <w:vAlign w:val="bottom"/>
            <w:hideMark/>
          </w:tcPr>
          <w:p w14:paraId="7F8937D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4E2F3DB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P-2359-12</w:t>
            </w:r>
          </w:p>
        </w:tc>
        <w:tc>
          <w:tcPr>
            <w:tcW w:w="1097" w:type="dxa"/>
            <w:noWrap/>
            <w:vAlign w:val="bottom"/>
            <w:hideMark/>
          </w:tcPr>
          <w:p w14:paraId="055E976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18E2232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3F841DB" w14:textId="77777777" w:rsidTr="008B7C11">
        <w:trPr>
          <w:trHeight w:val="600"/>
        </w:trPr>
        <w:tc>
          <w:tcPr>
            <w:tcW w:w="958" w:type="dxa"/>
            <w:noWrap/>
            <w:vAlign w:val="center"/>
            <w:hideMark/>
          </w:tcPr>
          <w:p w14:paraId="77798FD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135</w:t>
            </w:r>
          </w:p>
        </w:tc>
        <w:tc>
          <w:tcPr>
            <w:tcW w:w="1718" w:type="dxa"/>
            <w:noWrap/>
            <w:vAlign w:val="bottom"/>
            <w:hideMark/>
          </w:tcPr>
          <w:p w14:paraId="0D8F993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58F503A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P-1401-11</w:t>
            </w:r>
          </w:p>
        </w:tc>
        <w:tc>
          <w:tcPr>
            <w:tcW w:w="1097" w:type="dxa"/>
            <w:noWrap/>
            <w:vAlign w:val="bottom"/>
            <w:hideMark/>
          </w:tcPr>
          <w:p w14:paraId="4A9929F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11</w:t>
            </w:r>
          </w:p>
        </w:tc>
        <w:tc>
          <w:tcPr>
            <w:tcW w:w="2600" w:type="dxa"/>
            <w:vAlign w:val="center"/>
            <w:hideMark/>
          </w:tcPr>
          <w:p w14:paraId="70EC4AA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15163A1" w14:textId="77777777" w:rsidTr="008B7C11">
        <w:trPr>
          <w:trHeight w:val="600"/>
        </w:trPr>
        <w:tc>
          <w:tcPr>
            <w:tcW w:w="958" w:type="dxa"/>
            <w:noWrap/>
            <w:vAlign w:val="center"/>
            <w:hideMark/>
          </w:tcPr>
          <w:p w14:paraId="5603451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136</w:t>
            </w:r>
          </w:p>
        </w:tc>
        <w:tc>
          <w:tcPr>
            <w:tcW w:w="1718" w:type="dxa"/>
            <w:noWrap/>
            <w:vAlign w:val="bottom"/>
            <w:hideMark/>
          </w:tcPr>
          <w:p w14:paraId="567EC86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58DB7FC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P-767-15</w:t>
            </w:r>
          </w:p>
        </w:tc>
        <w:tc>
          <w:tcPr>
            <w:tcW w:w="1097" w:type="dxa"/>
            <w:noWrap/>
            <w:vAlign w:val="bottom"/>
            <w:hideMark/>
          </w:tcPr>
          <w:p w14:paraId="77C18CA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573E6FB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94BFC61" w14:textId="77777777" w:rsidTr="008B7C11">
        <w:trPr>
          <w:trHeight w:val="600"/>
        </w:trPr>
        <w:tc>
          <w:tcPr>
            <w:tcW w:w="958" w:type="dxa"/>
            <w:noWrap/>
            <w:vAlign w:val="center"/>
            <w:hideMark/>
          </w:tcPr>
          <w:p w14:paraId="7A67D34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137</w:t>
            </w:r>
          </w:p>
        </w:tc>
        <w:tc>
          <w:tcPr>
            <w:tcW w:w="1718" w:type="dxa"/>
            <w:noWrap/>
            <w:vAlign w:val="bottom"/>
            <w:hideMark/>
          </w:tcPr>
          <w:p w14:paraId="7C21490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CHILE</w:t>
            </w:r>
          </w:p>
        </w:tc>
        <w:tc>
          <w:tcPr>
            <w:tcW w:w="2712" w:type="dxa"/>
            <w:noWrap/>
            <w:vAlign w:val="bottom"/>
            <w:hideMark/>
          </w:tcPr>
          <w:p w14:paraId="23FC2DB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P-2488-12</w:t>
            </w:r>
          </w:p>
        </w:tc>
        <w:tc>
          <w:tcPr>
            <w:tcW w:w="1097" w:type="dxa"/>
            <w:noWrap/>
            <w:vAlign w:val="bottom"/>
            <w:hideMark/>
          </w:tcPr>
          <w:p w14:paraId="1C73D0E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22210F1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1E4C28A" w14:textId="77777777" w:rsidTr="008B7C11">
        <w:trPr>
          <w:trHeight w:val="600"/>
        </w:trPr>
        <w:tc>
          <w:tcPr>
            <w:tcW w:w="958" w:type="dxa"/>
            <w:noWrap/>
            <w:vAlign w:val="center"/>
            <w:hideMark/>
          </w:tcPr>
          <w:p w14:paraId="231E031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138</w:t>
            </w:r>
          </w:p>
        </w:tc>
        <w:tc>
          <w:tcPr>
            <w:tcW w:w="1718" w:type="dxa"/>
            <w:noWrap/>
            <w:vAlign w:val="bottom"/>
            <w:hideMark/>
          </w:tcPr>
          <w:p w14:paraId="5169216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4933786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P-816-14</w:t>
            </w:r>
          </w:p>
        </w:tc>
        <w:tc>
          <w:tcPr>
            <w:tcW w:w="1097" w:type="dxa"/>
            <w:noWrap/>
            <w:vAlign w:val="bottom"/>
            <w:hideMark/>
          </w:tcPr>
          <w:p w14:paraId="569E2D2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0D36298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D2CE70B" w14:textId="77777777" w:rsidTr="008B7C11">
        <w:trPr>
          <w:trHeight w:val="600"/>
        </w:trPr>
        <w:tc>
          <w:tcPr>
            <w:tcW w:w="958" w:type="dxa"/>
            <w:noWrap/>
            <w:vAlign w:val="center"/>
            <w:hideMark/>
          </w:tcPr>
          <w:p w14:paraId="70080A7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139</w:t>
            </w:r>
          </w:p>
        </w:tc>
        <w:tc>
          <w:tcPr>
            <w:tcW w:w="1718" w:type="dxa"/>
            <w:noWrap/>
            <w:vAlign w:val="bottom"/>
            <w:hideMark/>
          </w:tcPr>
          <w:p w14:paraId="7F85508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386EAC1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P-822-14</w:t>
            </w:r>
          </w:p>
        </w:tc>
        <w:tc>
          <w:tcPr>
            <w:tcW w:w="1097" w:type="dxa"/>
            <w:noWrap/>
            <w:vAlign w:val="bottom"/>
            <w:hideMark/>
          </w:tcPr>
          <w:p w14:paraId="08CD145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3E91747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B22EE69" w14:textId="77777777" w:rsidTr="008B7C11">
        <w:trPr>
          <w:trHeight w:val="600"/>
        </w:trPr>
        <w:tc>
          <w:tcPr>
            <w:tcW w:w="958" w:type="dxa"/>
            <w:noWrap/>
            <w:vAlign w:val="center"/>
            <w:hideMark/>
          </w:tcPr>
          <w:p w14:paraId="6EA8829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140</w:t>
            </w:r>
          </w:p>
        </w:tc>
        <w:tc>
          <w:tcPr>
            <w:tcW w:w="1718" w:type="dxa"/>
            <w:noWrap/>
            <w:vAlign w:val="bottom"/>
            <w:hideMark/>
          </w:tcPr>
          <w:p w14:paraId="51A69C6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7FCB8C4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P-201-14</w:t>
            </w:r>
          </w:p>
        </w:tc>
        <w:tc>
          <w:tcPr>
            <w:tcW w:w="1097" w:type="dxa"/>
            <w:noWrap/>
            <w:vAlign w:val="bottom"/>
            <w:hideMark/>
          </w:tcPr>
          <w:p w14:paraId="3ED2B1E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3400BB6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C36DE2D" w14:textId="77777777" w:rsidTr="008B7C11">
        <w:trPr>
          <w:trHeight w:val="600"/>
        </w:trPr>
        <w:tc>
          <w:tcPr>
            <w:tcW w:w="958" w:type="dxa"/>
            <w:noWrap/>
            <w:vAlign w:val="center"/>
            <w:hideMark/>
          </w:tcPr>
          <w:p w14:paraId="2620F34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141</w:t>
            </w:r>
          </w:p>
        </w:tc>
        <w:tc>
          <w:tcPr>
            <w:tcW w:w="1718" w:type="dxa"/>
            <w:noWrap/>
            <w:vAlign w:val="bottom"/>
            <w:hideMark/>
          </w:tcPr>
          <w:p w14:paraId="5920FEE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61DF81D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P-1511-14</w:t>
            </w:r>
          </w:p>
        </w:tc>
        <w:tc>
          <w:tcPr>
            <w:tcW w:w="1097" w:type="dxa"/>
            <w:noWrap/>
            <w:vAlign w:val="bottom"/>
            <w:hideMark/>
          </w:tcPr>
          <w:p w14:paraId="5683F49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1F4BDBA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D003012" w14:textId="77777777" w:rsidTr="008B7C11">
        <w:trPr>
          <w:trHeight w:val="600"/>
        </w:trPr>
        <w:tc>
          <w:tcPr>
            <w:tcW w:w="958" w:type="dxa"/>
            <w:noWrap/>
            <w:vAlign w:val="center"/>
            <w:hideMark/>
          </w:tcPr>
          <w:p w14:paraId="1FF640E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142</w:t>
            </w:r>
          </w:p>
        </w:tc>
        <w:tc>
          <w:tcPr>
            <w:tcW w:w="1718" w:type="dxa"/>
            <w:noWrap/>
            <w:vAlign w:val="bottom"/>
            <w:hideMark/>
          </w:tcPr>
          <w:p w14:paraId="4524047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11CBB4A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P-465-11</w:t>
            </w:r>
          </w:p>
        </w:tc>
        <w:tc>
          <w:tcPr>
            <w:tcW w:w="1097" w:type="dxa"/>
            <w:noWrap/>
            <w:vAlign w:val="bottom"/>
            <w:hideMark/>
          </w:tcPr>
          <w:p w14:paraId="4EDD39D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11</w:t>
            </w:r>
          </w:p>
        </w:tc>
        <w:tc>
          <w:tcPr>
            <w:tcW w:w="2600" w:type="dxa"/>
            <w:vAlign w:val="center"/>
            <w:hideMark/>
          </w:tcPr>
          <w:p w14:paraId="1800AD2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3F5A73A" w14:textId="77777777" w:rsidTr="008B7C11">
        <w:trPr>
          <w:trHeight w:val="600"/>
        </w:trPr>
        <w:tc>
          <w:tcPr>
            <w:tcW w:w="958" w:type="dxa"/>
            <w:noWrap/>
            <w:vAlign w:val="center"/>
            <w:hideMark/>
          </w:tcPr>
          <w:p w14:paraId="3B41207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143</w:t>
            </w:r>
          </w:p>
        </w:tc>
        <w:tc>
          <w:tcPr>
            <w:tcW w:w="1718" w:type="dxa"/>
            <w:noWrap/>
            <w:vAlign w:val="bottom"/>
            <w:hideMark/>
          </w:tcPr>
          <w:p w14:paraId="4C8868A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2823913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P-1243-16</w:t>
            </w:r>
          </w:p>
        </w:tc>
        <w:tc>
          <w:tcPr>
            <w:tcW w:w="1097" w:type="dxa"/>
            <w:noWrap/>
            <w:vAlign w:val="bottom"/>
            <w:hideMark/>
          </w:tcPr>
          <w:p w14:paraId="77865D1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78AF30F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9D5FEE3" w14:textId="77777777" w:rsidTr="008B7C11">
        <w:trPr>
          <w:trHeight w:val="600"/>
        </w:trPr>
        <w:tc>
          <w:tcPr>
            <w:tcW w:w="958" w:type="dxa"/>
            <w:noWrap/>
            <w:vAlign w:val="center"/>
            <w:hideMark/>
          </w:tcPr>
          <w:p w14:paraId="321D4AE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144</w:t>
            </w:r>
          </w:p>
        </w:tc>
        <w:tc>
          <w:tcPr>
            <w:tcW w:w="1718" w:type="dxa"/>
            <w:noWrap/>
            <w:vAlign w:val="bottom"/>
            <w:hideMark/>
          </w:tcPr>
          <w:p w14:paraId="28CED92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226E971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P-1456-16</w:t>
            </w:r>
          </w:p>
        </w:tc>
        <w:tc>
          <w:tcPr>
            <w:tcW w:w="1097" w:type="dxa"/>
            <w:noWrap/>
            <w:vAlign w:val="bottom"/>
            <w:hideMark/>
          </w:tcPr>
          <w:p w14:paraId="07A673D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17B5F07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0E482D1" w14:textId="77777777" w:rsidTr="008B7C11">
        <w:trPr>
          <w:trHeight w:val="600"/>
        </w:trPr>
        <w:tc>
          <w:tcPr>
            <w:tcW w:w="958" w:type="dxa"/>
            <w:noWrap/>
            <w:vAlign w:val="center"/>
            <w:hideMark/>
          </w:tcPr>
          <w:p w14:paraId="61A00A2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145</w:t>
            </w:r>
          </w:p>
        </w:tc>
        <w:tc>
          <w:tcPr>
            <w:tcW w:w="1718" w:type="dxa"/>
            <w:noWrap/>
            <w:vAlign w:val="bottom"/>
            <w:hideMark/>
          </w:tcPr>
          <w:p w14:paraId="53B2632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7D92484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P-299-16</w:t>
            </w:r>
          </w:p>
        </w:tc>
        <w:tc>
          <w:tcPr>
            <w:tcW w:w="1097" w:type="dxa"/>
            <w:noWrap/>
            <w:vAlign w:val="bottom"/>
            <w:hideMark/>
          </w:tcPr>
          <w:p w14:paraId="6FEB8A5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3A27B8A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DAA9E2D" w14:textId="77777777" w:rsidTr="008B7C11">
        <w:trPr>
          <w:trHeight w:val="600"/>
        </w:trPr>
        <w:tc>
          <w:tcPr>
            <w:tcW w:w="958" w:type="dxa"/>
            <w:noWrap/>
            <w:vAlign w:val="center"/>
            <w:hideMark/>
          </w:tcPr>
          <w:p w14:paraId="797B47B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146</w:t>
            </w:r>
          </w:p>
        </w:tc>
        <w:tc>
          <w:tcPr>
            <w:tcW w:w="1718" w:type="dxa"/>
            <w:noWrap/>
            <w:vAlign w:val="bottom"/>
            <w:hideMark/>
          </w:tcPr>
          <w:p w14:paraId="097B35B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56C949A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P-481-14</w:t>
            </w:r>
          </w:p>
        </w:tc>
        <w:tc>
          <w:tcPr>
            <w:tcW w:w="1097" w:type="dxa"/>
            <w:noWrap/>
            <w:vAlign w:val="bottom"/>
            <w:hideMark/>
          </w:tcPr>
          <w:p w14:paraId="031C96F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7AD94EA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93E577C" w14:textId="77777777" w:rsidTr="008B7C11">
        <w:trPr>
          <w:trHeight w:val="600"/>
        </w:trPr>
        <w:tc>
          <w:tcPr>
            <w:tcW w:w="958" w:type="dxa"/>
            <w:noWrap/>
            <w:vAlign w:val="center"/>
            <w:hideMark/>
          </w:tcPr>
          <w:p w14:paraId="158328E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147</w:t>
            </w:r>
          </w:p>
        </w:tc>
        <w:tc>
          <w:tcPr>
            <w:tcW w:w="1718" w:type="dxa"/>
            <w:noWrap/>
            <w:vAlign w:val="bottom"/>
            <w:hideMark/>
          </w:tcPr>
          <w:p w14:paraId="63C4BF7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DF2361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P-1805-17</w:t>
            </w:r>
          </w:p>
        </w:tc>
        <w:tc>
          <w:tcPr>
            <w:tcW w:w="1097" w:type="dxa"/>
            <w:noWrap/>
            <w:vAlign w:val="bottom"/>
            <w:hideMark/>
          </w:tcPr>
          <w:p w14:paraId="2012B00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7F6FC6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AD9DBEB" w14:textId="77777777" w:rsidTr="008B7C11">
        <w:trPr>
          <w:trHeight w:val="600"/>
        </w:trPr>
        <w:tc>
          <w:tcPr>
            <w:tcW w:w="958" w:type="dxa"/>
            <w:noWrap/>
            <w:vAlign w:val="center"/>
            <w:hideMark/>
          </w:tcPr>
          <w:p w14:paraId="57AEF5E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148</w:t>
            </w:r>
          </w:p>
        </w:tc>
        <w:tc>
          <w:tcPr>
            <w:tcW w:w="1718" w:type="dxa"/>
            <w:noWrap/>
            <w:vAlign w:val="bottom"/>
            <w:hideMark/>
          </w:tcPr>
          <w:p w14:paraId="6E1B9DA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347C764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P-1929-17</w:t>
            </w:r>
          </w:p>
        </w:tc>
        <w:tc>
          <w:tcPr>
            <w:tcW w:w="1097" w:type="dxa"/>
            <w:noWrap/>
            <w:vAlign w:val="bottom"/>
            <w:hideMark/>
          </w:tcPr>
          <w:p w14:paraId="25D31F0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2F5AD63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05E260B" w14:textId="77777777" w:rsidTr="008B7C11">
        <w:trPr>
          <w:trHeight w:val="600"/>
        </w:trPr>
        <w:tc>
          <w:tcPr>
            <w:tcW w:w="958" w:type="dxa"/>
            <w:noWrap/>
            <w:vAlign w:val="center"/>
            <w:hideMark/>
          </w:tcPr>
          <w:p w14:paraId="22D6A69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149</w:t>
            </w:r>
          </w:p>
        </w:tc>
        <w:tc>
          <w:tcPr>
            <w:tcW w:w="1718" w:type="dxa"/>
            <w:noWrap/>
            <w:vAlign w:val="bottom"/>
            <w:hideMark/>
          </w:tcPr>
          <w:p w14:paraId="1FC15E4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584B5DF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P-1319-17</w:t>
            </w:r>
          </w:p>
        </w:tc>
        <w:tc>
          <w:tcPr>
            <w:tcW w:w="1097" w:type="dxa"/>
            <w:noWrap/>
            <w:vAlign w:val="bottom"/>
            <w:hideMark/>
          </w:tcPr>
          <w:p w14:paraId="5E612DE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512A572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B7DDD1F" w14:textId="77777777" w:rsidTr="008B7C11">
        <w:trPr>
          <w:trHeight w:val="600"/>
        </w:trPr>
        <w:tc>
          <w:tcPr>
            <w:tcW w:w="958" w:type="dxa"/>
            <w:noWrap/>
            <w:vAlign w:val="center"/>
            <w:hideMark/>
          </w:tcPr>
          <w:p w14:paraId="16E65AA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150</w:t>
            </w:r>
          </w:p>
        </w:tc>
        <w:tc>
          <w:tcPr>
            <w:tcW w:w="1718" w:type="dxa"/>
            <w:noWrap/>
            <w:vAlign w:val="bottom"/>
            <w:hideMark/>
          </w:tcPr>
          <w:p w14:paraId="1E30664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41D1633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P-202-14</w:t>
            </w:r>
          </w:p>
        </w:tc>
        <w:tc>
          <w:tcPr>
            <w:tcW w:w="1097" w:type="dxa"/>
            <w:noWrap/>
            <w:vAlign w:val="bottom"/>
            <w:hideMark/>
          </w:tcPr>
          <w:p w14:paraId="18D7837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1EDAD08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C79A688" w14:textId="77777777" w:rsidTr="008B7C11">
        <w:trPr>
          <w:trHeight w:val="600"/>
        </w:trPr>
        <w:tc>
          <w:tcPr>
            <w:tcW w:w="958" w:type="dxa"/>
            <w:noWrap/>
            <w:vAlign w:val="center"/>
            <w:hideMark/>
          </w:tcPr>
          <w:p w14:paraId="3698DC8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151</w:t>
            </w:r>
          </w:p>
        </w:tc>
        <w:tc>
          <w:tcPr>
            <w:tcW w:w="1718" w:type="dxa"/>
            <w:noWrap/>
            <w:vAlign w:val="bottom"/>
            <w:hideMark/>
          </w:tcPr>
          <w:p w14:paraId="21521BD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6601C77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P-2446-16</w:t>
            </w:r>
          </w:p>
        </w:tc>
        <w:tc>
          <w:tcPr>
            <w:tcW w:w="1097" w:type="dxa"/>
            <w:noWrap/>
            <w:vAlign w:val="bottom"/>
            <w:hideMark/>
          </w:tcPr>
          <w:p w14:paraId="6D4CFB7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3D57CDA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185B376" w14:textId="77777777" w:rsidTr="008B7C11">
        <w:trPr>
          <w:trHeight w:val="600"/>
        </w:trPr>
        <w:tc>
          <w:tcPr>
            <w:tcW w:w="958" w:type="dxa"/>
            <w:noWrap/>
            <w:vAlign w:val="center"/>
            <w:hideMark/>
          </w:tcPr>
          <w:p w14:paraId="11F69CF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152</w:t>
            </w:r>
          </w:p>
        </w:tc>
        <w:tc>
          <w:tcPr>
            <w:tcW w:w="1718" w:type="dxa"/>
            <w:noWrap/>
            <w:vAlign w:val="bottom"/>
            <w:hideMark/>
          </w:tcPr>
          <w:p w14:paraId="3CF005B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5F175B5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P-1225-14</w:t>
            </w:r>
          </w:p>
        </w:tc>
        <w:tc>
          <w:tcPr>
            <w:tcW w:w="1097" w:type="dxa"/>
            <w:noWrap/>
            <w:vAlign w:val="bottom"/>
            <w:hideMark/>
          </w:tcPr>
          <w:p w14:paraId="1E175AF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0108969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FAE1A5E" w14:textId="77777777" w:rsidTr="008B7C11">
        <w:trPr>
          <w:trHeight w:val="600"/>
        </w:trPr>
        <w:tc>
          <w:tcPr>
            <w:tcW w:w="958" w:type="dxa"/>
            <w:noWrap/>
            <w:vAlign w:val="center"/>
            <w:hideMark/>
          </w:tcPr>
          <w:p w14:paraId="41428DD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153</w:t>
            </w:r>
          </w:p>
        </w:tc>
        <w:tc>
          <w:tcPr>
            <w:tcW w:w="1718" w:type="dxa"/>
            <w:noWrap/>
            <w:vAlign w:val="bottom"/>
            <w:hideMark/>
          </w:tcPr>
          <w:p w14:paraId="3148132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351277E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P-742-16</w:t>
            </w:r>
          </w:p>
        </w:tc>
        <w:tc>
          <w:tcPr>
            <w:tcW w:w="1097" w:type="dxa"/>
            <w:noWrap/>
            <w:vAlign w:val="bottom"/>
            <w:hideMark/>
          </w:tcPr>
          <w:p w14:paraId="208FE65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4B845B4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BB57843" w14:textId="77777777" w:rsidTr="008B7C11">
        <w:trPr>
          <w:trHeight w:val="600"/>
        </w:trPr>
        <w:tc>
          <w:tcPr>
            <w:tcW w:w="958" w:type="dxa"/>
            <w:noWrap/>
            <w:vAlign w:val="center"/>
            <w:hideMark/>
          </w:tcPr>
          <w:p w14:paraId="453659B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154</w:t>
            </w:r>
          </w:p>
        </w:tc>
        <w:tc>
          <w:tcPr>
            <w:tcW w:w="1718" w:type="dxa"/>
            <w:noWrap/>
            <w:vAlign w:val="bottom"/>
            <w:hideMark/>
          </w:tcPr>
          <w:p w14:paraId="511DC6C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7E60C58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P-968-14</w:t>
            </w:r>
          </w:p>
        </w:tc>
        <w:tc>
          <w:tcPr>
            <w:tcW w:w="1097" w:type="dxa"/>
            <w:noWrap/>
            <w:vAlign w:val="bottom"/>
            <w:hideMark/>
          </w:tcPr>
          <w:p w14:paraId="6187573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202A8ED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251DCF0" w14:textId="77777777" w:rsidTr="008B7C11">
        <w:trPr>
          <w:trHeight w:val="600"/>
        </w:trPr>
        <w:tc>
          <w:tcPr>
            <w:tcW w:w="958" w:type="dxa"/>
            <w:noWrap/>
            <w:vAlign w:val="center"/>
            <w:hideMark/>
          </w:tcPr>
          <w:p w14:paraId="1BD36CB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155</w:t>
            </w:r>
          </w:p>
        </w:tc>
        <w:tc>
          <w:tcPr>
            <w:tcW w:w="1718" w:type="dxa"/>
            <w:noWrap/>
            <w:vAlign w:val="bottom"/>
            <w:hideMark/>
          </w:tcPr>
          <w:p w14:paraId="18FF9D0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2137CD8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P-1882-17</w:t>
            </w:r>
          </w:p>
        </w:tc>
        <w:tc>
          <w:tcPr>
            <w:tcW w:w="1097" w:type="dxa"/>
            <w:noWrap/>
            <w:vAlign w:val="bottom"/>
            <w:hideMark/>
          </w:tcPr>
          <w:p w14:paraId="74D40EB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645E43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C4620CB" w14:textId="77777777" w:rsidTr="008B7C11">
        <w:trPr>
          <w:trHeight w:val="600"/>
        </w:trPr>
        <w:tc>
          <w:tcPr>
            <w:tcW w:w="958" w:type="dxa"/>
            <w:noWrap/>
            <w:vAlign w:val="center"/>
            <w:hideMark/>
          </w:tcPr>
          <w:p w14:paraId="5995C8C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156</w:t>
            </w:r>
          </w:p>
        </w:tc>
        <w:tc>
          <w:tcPr>
            <w:tcW w:w="1718" w:type="dxa"/>
            <w:noWrap/>
            <w:vAlign w:val="bottom"/>
            <w:hideMark/>
          </w:tcPr>
          <w:p w14:paraId="6244D2E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55C133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P-1493-17</w:t>
            </w:r>
          </w:p>
        </w:tc>
        <w:tc>
          <w:tcPr>
            <w:tcW w:w="1097" w:type="dxa"/>
            <w:noWrap/>
            <w:vAlign w:val="bottom"/>
            <w:hideMark/>
          </w:tcPr>
          <w:p w14:paraId="3859949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5FA5875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D5807E9" w14:textId="77777777" w:rsidTr="008B7C11">
        <w:trPr>
          <w:trHeight w:val="600"/>
        </w:trPr>
        <w:tc>
          <w:tcPr>
            <w:tcW w:w="958" w:type="dxa"/>
            <w:noWrap/>
            <w:vAlign w:val="center"/>
            <w:hideMark/>
          </w:tcPr>
          <w:p w14:paraId="5965062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157</w:t>
            </w:r>
          </w:p>
        </w:tc>
        <w:tc>
          <w:tcPr>
            <w:tcW w:w="1718" w:type="dxa"/>
            <w:noWrap/>
            <w:vAlign w:val="bottom"/>
            <w:hideMark/>
          </w:tcPr>
          <w:p w14:paraId="13AAE50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1E223BD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P-1511-17</w:t>
            </w:r>
          </w:p>
        </w:tc>
        <w:tc>
          <w:tcPr>
            <w:tcW w:w="1097" w:type="dxa"/>
            <w:noWrap/>
            <w:vAlign w:val="bottom"/>
            <w:hideMark/>
          </w:tcPr>
          <w:p w14:paraId="225E038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BB9AE1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83311CB" w14:textId="77777777" w:rsidTr="008B7C11">
        <w:trPr>
          <w:trHeight w:val="600"/>
        </w:trPr>
        <w:tc>
          <w:tcPr>
            <w:tcW w:w="958" w:type="dxa"/>
            <w:noWrap/>
            <w:vAlign w:val="center"/>
            <w:hideMark/>
          </w:tcPr>
          <w:p w14:paraId="65345CE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158</w:t>
            </w:r>
          </w:p>
        </w:tc>
        <w:tc>
          <w:tcPr>
            <w:tcW w:w="1718" w:type="dxa"/>
            <w:noWrap/>
            <w:vAlign w:val="bottom"/>
            <w:hideMark/>
          </w:tcPr>
          <w:p w14:paraId="24DCA2B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3F5B4B6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P-153-07</w:t>
            </w:r>
          </w:p>
        </w:tc>
        <w:tc>
          <w:tcPr>
            <w:tcW w:w="1097" w:type="dxa"/>
            <w:noWrap/>
            <w:vAlign w:val="bottom"/>
            <w:hideMark/>
          </w:tcPr>
          <w:p w14:paraId="2C68911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7</w:t>
            </w:r>
          </w:p>
        </w:tc>
        <w:tc>
          <w:tcPr>
            <w:tcW w:w="2600" w:type="dxa"/>
            <w:vAlign w:val="center"/>
            <w:hideMark/>
          </w:tcPr>
          <w:p w14:paraId="42934E6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686F1F3" w14:textId="77777777" w:rsidTr="008B7C11">
        <w:trPr>
          <w:trHeight w:val="600"/>
        </w:trPr>
        <w:tc>
          <w:tcPr>
            <w:tcW w:w="958" w:type="dxa"/>
            <w:noWrap/>
            <w:vAlign w:val="center"/>
            <w:hideMark/>
          </w:tcPr>
          <w:p w14:paraId="4A3E6CD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159</w:t>
            </w:r>
          </w:p>
        </w:tc>
        <w:tc>
          <w:tcPr>
            <w:tcW w:w="1718" w:type="dxa"/>
            <w:noWrap/>
            <w:vAlign w:val="bottom"/>
            <w:hideMark/>
          </w:tcPr>
          <w:p w14:paraId="57E1601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7C31691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P-2465-17</w:t>
            </w:r>
          </w:p>
        </w:tc>
        <w:tc>
          <w:tcPr>
            <w:tcW w:w="1097" w:type="dxa"/>
            <w:noWrap/>
            <w:vAlign w:val="bottom"/>
            <w:hideMark/>
          </w:tcPr>
          <w:p w14:paraId="0E9888E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CC96DD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0D69D6B" w14:textId="77777777" w:rsidTr="008B7C11">
        <w:trPr>
          <w:trHeight w:val="600"/>
        </w:trPr>
        <w:tc>
          <w:tcPr>
            <w:tcW w:w="958" w:type="dxa"/>
            <w:noWrap/>
            <w:vAlign w:val="center"/>
            <w:hideMark/>
          </w:tcPr>
          <w:p w14:paraId="21FCB6E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160</w:t>
            </w:r>
          </w:p>
        </w:tc>
        <w:tc>
          <w:tcPr>
            <w:tcW w:w="1718" w:type="dxa"/>
            <w:noWrap/>
            <w:vAlign w:val="bottom"/>
            <w:hideMark/>
          </w:tcPr>
          <w:p w14:paraId="77012AD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2D51DB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P-1293-14</w:t>
            </w:r>
          </w:p>
        </w:tc>
        <w:tc>
          <w:tcPr>
            <w:tcW w:w="1097" w:type="dxa"/>
            <w:noWrap/>
            <w:vAlign w:val="bottom"/>
            <w:hideMark/>
          </w:tcPr>
          <w:p w14:paraId="44E11A4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0ABA86E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5A70EDB" w14:textId="77777777" w:rsidTr="008B7C11">
        <w:trPr>
          <w:trHeight w:val="600"/>
        </w:trPr>
        <w:tc>
          <w:tcPr>
            <w:tcW w:w="958" w:type="dxa"/>
            <w:noWrap/>
            <w:vAlign w:val="center"/>
            <w:hideMark/>
          </w:tcPr>
          <w:p w14:paraId="3461E69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161</w:t>
            </w:r>
          </w:p>
        </w:tc>
        <w:tc>
          <w:tcPr>
            <w:tcW w:w="1718" w:type="dxa"/>
            <w:noWrap/>
            <w:vAlign w:val="bottom"/>
            <w:hideMark/>
          </w:tcPr>
          <w:p w14:paraId="2AD8FF9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61D1DC3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P-1046-14</w:t>
            </w:r>
          </w:p>
        </w:tc>
        <w:tc>
          <w:tcPr>
            <w:tcW w:w="1097" w:type="dxa"/>
            <w:noWrap/>
            <w:vAlign w:val="bottom"/>
            <w:hideMark/>
          </w:tcPr>
          <w:p w14:paraId="4AF9B85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6922C33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BB75B73" w14:textId="77777777" w:rsidTr="008B7C11">
        <w:trPr>
          <w:trHeight w:val="600"/>
        </w:trPr>
        <w:tc>
          <w:tcPr>
            <w:tcW w:w="958" w:type="dxa"/>
            <w:noWrap/>
            <w:vAlign w:val="center"/>
            <w:hideMark/>
          </w:tcPr>
          <w:p w14:paraId="24F1E28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162</w:t>
            </w:r>
          </w:p>
        </w:tc>
        <w:tc>
          <w:tcPr>
            <w:tcW w:w="1718" w:type="dxa"/>
            <w:noWrap/>
            <w:vAlign w:val="bottom"/>
            <w:hideMark/>
          </w:tcPr>
          <w:p w14:paraId="6E8BBEA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21D678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P-2333-17</w:t>
            </w:r>
          </w:p>
        </w:tc>
        <w:tc>
          <w:tcPr>
            <w:tcW w:w="1097" w:type="dxa"/>
            <w:noWrap/>
            <w:vAlign w:val="bottom"/>
            <w:hideMark/>
          </w:tcPr>
          <w:p w14:paraId="3D18961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7343664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6DF7F1E" w14:textId="77777777" w:rsidTr="008B7C11">
        <w:trPr>
          <w:trHeight w:val="600"/>
        </w:trPr>
        <w:tc>
          <w:tcPr>
            <w:tcW w:w="958" w:type="dxa"/>
            <w:noWrap/>
            <w:vAlign w:val="center"/>
            <w:hideMark/>
          </w:tcPr>
          <w:p w14:paraId="443C4AA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163</w:t>
            </w:r>
          </w:p>
        </w:tc>
        <w:tc>
          <w:tcPr>
            <w:tcW w:w="1718" w:type="dxa"/>
            <w:noWrap/>
            <w:vAlign w:val="bottom"/>
            <w:hideMark/>
          </w:tcPr>
          <w:p w14:paraId="5809D17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BB4F34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P-931-17</w:t>
            </w:r>
          </w:p>
        </w:tc>
        <w:tc>
          <w:tcPr>
            <w:tcW w:w="1097" w:type="dxa"/>
            <w:noWrap/>
            <w:vAlign w:val="bottom"/>
            <w:hideMark/>
          </w:tcPr>
          <w:p w14:paraId="37E4F39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6561755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955AE5D" w14:textId="77777777" w:rsidTr="008B7C11">
        <w:trPr>
          <w:trHeight w:val="600"/>
        </w:trPr>
        <w:tc>
          <w:tcPr>
            <w:tcW w:w="958" w:type="dxa"/>
            <w:noWrap/>
            <w:vAlign w:val="center"/>
            <w:hideMark/>
          </w:tcPr>
          <w:p w14:paraId="271C8D0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164</w:t>
            </w:r>
          </w:p>
        </w:tc>
        <w:tc>
          <w:tcPr>
            <w:tcW w:w="1718" w:type="dxa"/>
            <w:noWrap/>
            <w:vAlign w:val="bottom"/>
            <w:hideMark/>
          </w:tcPr>
          <w:p w14:paraId="0D5BD57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1718CA0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P-803-17</w:t>
            </w:r>
          </w:p>
        </w:tc>
        <w:tc>
          <w:tcPr>
            <w:tcW w:w="1097" w:type="dxa"/>
            <w:noWrap/>
            <w:vAlign w:val="bottom"/>
            <w:hideMark/>
          </w:tcPr>
          <w:p w14:paraId="2D0AAD2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DA0B53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F66ECD4" w14:textId="77777777" w:rsidTr="008B7C11">
        <w:trPr>
          <w:trHeight w:val="600"/>
        </w:trPr>
        <w:tc>
          <w:tcPr>
            <w:tcW w:w="958" w:type="dxa"/>
            <w:noWrap/>
            <w:vAlign w:val="center"/>
            <w:hideMark/>
          </w:tcPr>
          <w:p w14:paraId="170F116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165</w:t>
            </w:r>
          </w:p>
        </w:tc>
        <w:tc>
          <w:tcPr>
            <w:tcW w:w="1718" w:type="dxa"/>
            <w:noWrap/>
            <w:vAlign w:val="bottom"/>
            <w:hideMark/>
          </w:tcPr>
          <w:p w14:paraId="381AB02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72E4699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P-221-17</w:t>
            </w:r>
          </w:p>
        </w:tc>
        <w:tc>
          <w:tcPr>
            <w:tcW w:w="1097" w:type="dxa"/>
            <w:noWrap/>
            <w:vAlign w:val="bottom"/>
            <w:hideMark/>
          </w:tcPr>
          <w:p w14:paraId="3FB379C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6353C2D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313DA97" w14:textId="77777777" w:rsidTr="008B7C11">
        <w:trPr>
          <w:trHeight w:val="600"/>
        </w:trPr>
        <w:tc>
          <w:tcPr>
            <w:tcW w:w="958" w:type="dxa"/>
            <w:noWrap/>
            <w:vAlign w:val="center"/>
            <w:hideMark/>
          </w:tcPr>
          <w:p w14:paraId="4A984D5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166</w:t>
            </w:r>
          </w:p>
        </w:tc>
        <w:tc>
          <w:tcPr>
            <w:tcW w:w="1718" w:type="dxa"/>
            <w:noWrap/>
            <w:vAlign w:val="bottom"/>
            <w:hideMark/>
          </w:tcPr>
          <w:p w14:paraId="4FDCEC8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696A1D8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P-1923-17</w:t>
            </w:r>
          </w:p>
        </w:tc>
        <w:tc>
          <w:tcPr>
            <w:tcW w:w="1097" w:type="dxa"/>
            <w:noWrap/>
            <w:vAlign w:val="bottom"/>
            <w:hideMark/>
          </w:tcPr>
          <w:p w14:paraId="26FAB56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7B0D2A1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A717F1D" w14:textId="77777777" w:rsidTr="008B7C11">
        <w:trPr>
          <w:trHeight w:val="600"/>
        </w:trPr>
        <w:tc>
          <w:tcPr>
            <w:tcW w:w="958" w:type="dxa"/>
            <w:noWrap/>
            <w:vAlign w:val="center"/>
            <w:hideMark/>
          </w:tcPr>
          <w:p w14:paraId="6BB5BBF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167</w:t>
            </w:r>
          </w:p>
        </w:tc>
        <w:tc>
          <w:tcPr>
            <w:tcW w:w="1718" w:type="dxa"/>
            <w:noWrap/>
            <w:vAlign w:val="bottom"/>
            <w:hideMark/>
          </w:tcPr>
          <w:p w14:paraId="35F95FF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3AE2F07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P-956-14</w:t>
            </w:r>
          </w:p>
        </w:tc>
        <w:tc>
          <w:tcPr>
            <w:tcW w:w="1097" w:type="dxa"/>
            <w:noWrap/>
            <w:vAlign w:val="bottom"/>
            <w:hideMark/>
          </w:tcPr>
          <w:p w14:paraId="2F30542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6C1A5D1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EB02EEA" w14:textId="77777777" w:rsidTr="008B7C11">
        <w:trPr>
          <w:trHeight w:val="600"/>
        </w:trPr>
        <w:tc>
          <w:tcPr>
            <w:tcW w:w="958" w:type="dxa"/>
            <w:noWrap/>
            <w:vAlign w:val="center"/>
            <w:hideMark/>
          </w:tcPr>
          <w:p w14:paraId="7F2653D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168</w:t>
            </w:r>
          </w:p>
        </w:tc>
        <w:tc>
          <w:tcPr>
            <w:tcW w:w="1718" w:type="dxa"/>
            <w:noWrap/>
            <w:vAlign w:val="bottom"/>
            <w:hideMark/>
          </w:tcPr>
          <w:p w14:paraId="7C6C982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6D152F9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P-1726-14</w:t>
            </w:r>
          </w:p>
        </w:tc>
        <w:tc>
          <w:tcPr>
            <w:tcW w:w="1097" w:type="dxa"/>
            <w:noWrap/>
            <w:vAlign w:val="bottom"/>
            <w:hideMark/>
          </w:tcPr>
          <w:p w14:paraId="60CF623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0EF8826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387431F" w14:textId="77777777" w:rsidTr="008B7C11">
        <w:trPr>
          <w:trHeight w:val="600"/>
        </w:trPr>
        <w:tc>
          <w:tcPr>
            <w:tcW w:w="958" w:type="dxa"/>
            <w:noWrap/>
            <w:vAlign w:val="center"/>
            <w:hideMark/>
          </w:tcPr>
          <w:p w14:paraId="7804C45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169</w:t>
            </w:r>
          </w:p>
        </w:tc>
        <w:tc>
          <w:tcPr>
            <w:tcW w:w="1718" w:type="dxa"/>
            <w:noWrap/>
            <w:vAlign w:val="bottom"/>
            <w:hideMark/>
          </w:tcPr>
          <w:p w14:paraId="69EDF94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6980FC5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P-585-14</w:t>
            </w:r>
          </w:p>
        </w:tc>
        <w:tc>
          <w:tcPr>
            <w:tcW w:w="1097" w:type="dxa"/>
            <w:noWrap/>
            <w:vAlign w:val="bottom"/>
            <w:hideMark/>
          </w:tcPr>
          <w:p w14:paraId="145EB1B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0FD46DD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038D394" w14:textId="77777777" w:rsidTr="008B7C11">
        <w:trPr>
          <w:trHeight w:val="600"/>
        </w:trPr>
        <w:tc>
          <w:tcPr>
            <w:tcW w:w="958" w:type="dxa"/>
            <w:noWrap/>
            <w:vAlign w:val="center"/>
            <w:hideMark/>
          </w:tcPr>
          <w:p w14:paraId="5726F0E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170</w:t>
            </w:r>
          </w:p>
        </w:tc>
        <w:tc>
          <w:tcPr>
            <w:tcW w:w="1718" w:type="dxa"/>
            <w:noWrap/>
            <w:vAlign w:val="bottom"/>
            <w:hideMark/>
          </w:tcPr>
          <w:p w14:paraId="0BF586D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6541EE2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P-1235-14</w:t>
            </w:r>
          </w:p>
        </w:tc>
        <w:tc>
          <w:tcPr>
            <w:tcW w:w="1097" w:type="dxa"/>
            <w:noWrap/>
            <w:vAlign w:val="bottom"/>
            <w:hideMark/>
          </w:tcPr>
          <w:p w14:paraId="2D59E2B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6C5ABE0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B282210" w14:textId="77777777" w:rsidTr="008B7C11">
        <w:trPr>
          <w:trHeight w:val="600"/>
        </w:trPr>
        <w:tc>
          <w:tcPr>
            <w:tcW w:w="958" w:type="dxa"/>
            <w:noWrap/>
            <w:vAlign w:val="center"/>
            <w:hideMark/>
          </w:tcPr>
          <w:p w14:paraId="4F19C81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171</w:t>
            </w:r>
          </w:p>
        </w:tc>
        <w:tc>
          <w:tcPr>
            <w:tcW w:w="1718" w:type="dxa"/>
            <w:noWrap/>
            <w:vAlign w:val="bottom"/>
            <w:hideMark/>
          </w:tcPr>
          <w:p w14:paraId="2B1D961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2913964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P-148-14</w:t>
            </w:r>
          </w:p>
        </w:tc>
        <w:tc>
          <w:tcPr>
            <w:tcW w:w="1097" w:type="dxa"/>
            <w:noWrap/>
            <w:vAlign w:val="bottom"/>
            <w:hideMark/>
          </w:tcPr>
          <w:p w14:paraId="6F78AB7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035691E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27E1980" w14:textId="77777777" w:rsidTr="008B7C11">
        <w:trPr>
          <w:trHeight w:val="600"/>
        </w:trPr>
        <w:tc>
          <w:tcPr>
            <w:tcW w:w="958" w:type="dxa"/>
            <w:noWrap/>
            <w:vAlign w:val="center"/>
            <w:hideMark/>
          </w:tcPr>
          <w:p w14:paraId="3DAF7CC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172</w:t>
            </w:r>
          </w:p>
        </w:tc>
        <w:tc>
          <w:tcPr>
            <w:tcW w:w="1718" w:type="dxa"/>
            <w:noWrap/>
            <w:vAlign w:val="bottom"/>
            <w:hideMark/>
          </w:tcPr>
          <w:p w14:paraId="1053BF2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77D83C1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P-530-14</w:t>
            </w:r>
          </w:p>
        </w:tc>
        <w:tc>
          <w:tcPr>
            <w:tcW w:w="1097" w:type="dxa"/>
            <w:noWrap/>
            <w:vAlign w:val="bottom"/>
            <w:hideMark/>
          </w:tcPr>
          <w:p w14:paraId="3D8615C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5BFF0C0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A9F1F55" w14:textId="77777777" w:rsidTr="008B7C11">
        <w:trPr>
          <w:trHeight w:val="600"/>
        </w:trPr>
        <w:tc>
          <w:tcPr>
            <w:tcW w:w="958" w:type="dxa"/>
            <w:noWrap/>
            <w:vAlign w:val="center"/>
            <w:hideMark/>
          </w:tcPr>
          <w:p w14:paraId="1AA527F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173</w:t>
            </w:r>
          </w:p>
        </w:tc>
        <w:tc>
          <w:tcPr>
            <w:tcW w:w="1718" w:type="dxa"/>
            <w:noWrap/>
            <w:vAlign w:val="bottom"/>
            <w:hideMark/>
          </w:tcPr>
          <w:p w14:paraId="4CFB91E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6A198DA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P-1951-16</w:t>
            </w:r>
          </w:p>
        </w:tc>
        <w:tc>
          <w:tcPr>
            <w:tcW w:w="1097" w:type="dxa"/>
            <w:noWrap/>
            <w:vAlign w:val="bottom"/>
            <w:hideMark/>
          </w:tcPr>
          <w:p w14:paraId="715C431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7B86BA1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6308B69" w14:textId="77777777" w:rsidTr="008B7C11">
        <w:trPr>
          <w:trHeight w:val="600"/>
        </w:trPr>
        <w:tc>
          <w:tcPr>
            <w:tcW w:w="958" w:type="dxa"/>
            <w:noWrap/>
            <w:vAlign w:val="center"/>
            <w:hideMark/>
          </w:tcPr>
          <w:p w14:paraId="45820B9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174</w:t>
            </w:r>
          </w:p>
        </w:tc>
        <w:tc>
          <w:tcPr>
            <w:tcW w:w="1718" w:type="dxa"/>
            <w:noWrap/>
            <w:vAlign w:val="bottom"/>
            <w:hideMark/>
          </w:tcPr>
          <w:p w14:paraId="2904A37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31FFB16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P-1338-14</w:t>
            </w:r>
          </w:p>
        </w:tc>
        <w:tc>
          <w:tcPr>
            <w:tcW w:w="1097" w:type="dxa"/>
            <w:noWrap/>
            <w:vAlign w:val="bottom"/>
            <w:hideMark/>
          </w:tcPr>
          <w:p w14:paraId="39454D2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32ACB1D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25BD941" w14:textId="77777777" w:rsidTr="008B7C11">
        <w:trPr>
          <w:trHeight w:val="600"/>
        </w:trPr>
        <w:tc>
          <w:tcPr>
            <w:tcW w:w="958" w:type="dxa"/>
            <w:noWrap/>
            <w:vAlign w:val="center"/>
            <w:hideMark/>
          </w:tcPr>
          <w:p w14:paraId="2F60F4F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175</w:t>
            </w:r>
          </w:p>
        </w:tc>
        <w:tc>
          <w:tcPr>
            <w:tcW w:w="1718" w:type="dxa"/>
            <w:noWrap/>
            <w:vAlign w:val="bottom"/>
            <w:hideMark/>
          </w:tcPr>
          <w:p w14:paraId="35A3707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5A1D736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P-2298-17</w:t>
            </w:r>
          </w:p>
        </w:tc>
        <w:tc>
          <w:tcPr>
            <w:tcW w:w="1097" w:type="dxa"/>
            <w:noWrap/>
            <w:vAlign w:val="bottom"/>
            <w:hideMark/>
          </w:tcPr>
          <w:p w14:paraId="36E1BDF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D4099E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9EC9B8D" w14:textId="77777777" w:rsidTr="008B7C11">
        <w:trPr>
          <w:trHeight w:val="600"/>
        </w:trPr>
        <w:tc>
          <w:tcPr>
            <w:tcW w:w="958" w:type="dxa"/>
            <w:noWrap/>
            <w:vAlign w:val="center"/>
            <w:hideMark/>
          </w:tcPr>
          <w:p w14:paraId="18AA52E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176</w:t>
            </w:r>
          </w:p>
        </w:tc>
        <w:tc>
          <w:tcPr>
            <w:tcW w:w="1718" w:type="dxa"/>
            <w:noWrap/>
            <w:vAlign w:val="bottom"/>
            <w:hideMark/>
          </w:tcPr>
          <w:p w14:paraId="593B3BE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5076623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P-2199-16</w:t>
            </w:r>
          </w:p>
        </w:tc>
        <w:tc>
          <w:tcPr>
            <w:tcW w:w="1097" w:type="dxa"/>
            <w:noWrap/>
            <w:vAlign w:val="bottom"/>
            <w:hideMark/>
          </w:tcPr>
          <w:p w14:paraId="68A39D0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67CBA10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D7D80F3" w14:textId="77777777" w:rsidTr="008B7C11">
        <w:trPr>
          <w:trHeight w:val="600"/>
        </w:trPr>
        <w:tc>
          <w:tcPr>
            <w:tcW w:w="958" w:type="dxa"/>
            <w:noWrap/>
            <w:vAlign w:val="center"/>
            <w:hideMark/>
          </w:tcPr>
          <w:p w14:paraId="5518312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177</w:t>
            </w:r>
          </w:p>
        </w:tc>
        <w:tc>
          <w:tcPr>
            <w:tcW w:w="1718" w:type="dxa"/>
            <w:noWrap/>
            <w:vAlign w:val="bottom"/>
            <w:hideMark/>
          </w:tcPr>
          <w:p w14:paraId="1C23C46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23332FB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P-1791-16</w:t>
            </w:r>
          </w:p>
        </w:tc>
        <w:tc>
          <w:tcPr>
            <w:tcW w:w="1097" w:type="dxa"/>
            <w:noWrap/>
            <w:vAlign w:val="bottom"/>
            <w:hideMark/>
          </w:tcPr>
          <w:p w14:paraId="7DBB2A9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105DE74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06BCD83" w14:textId="77777777" w:rsidTr="008B7C11">
        <w:trPr>
          <w:trHeight w:val="600"/>
        </w:trPr>
        <w:tc>
          <w:tcPr>
            <w:tcW w:w="958" w:type="dxa"/>
            <w:noWrap/>
            <w:vAlign w:val="center"/>
            <w:hideMark/>
          </w:tcPr>
          <w:p w14:paraId="52C8F06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178</w:t>
            </w:r>
          </w:p>
        </w:tc>
        <w:tc>
          <w:tcPr>
            <w:tcW w:w="1718" w:type="dxa"/>
            <w:noWrap/>
            <w:vAlign w:val="bottom"/>
            <w:hideMark/>
          </w:tcPr>
          <w:p w14:paraId="01BB584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B36E38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P-38-14</w:t>
            </w:r>
          </w:p>
        </w:tc>
        <w:tc>
          <w:tcPr>
            <w:tcW w:w="1097" w:type="dxa"/>
            <w:noWrap/>
            <w:vAlign w:val="bottom"/>
            <w:hideMark/>
          </w:tcPr>
          <w:p w14:paraId="53C47BC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33CE67A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FD353EC" w14:textId="77777777" w:rsidTr="008B7C11">
        <w:trPr>
          <w:trHeight w:val="600"/>
        </w:trPr>
        <w:tc>
          <w:tcPr>
            <w:tcW w:w="958" w:type="dxa"/>
            <w:noWrap/>
            <w:vAlign w:val="center"/>
            <w:hideMark/>
          </w:tcPr>
          <w:p w14:paraId="12B7CB8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179</w:t>
            </w:r>
          </w:p>
        </w:tc>
        <w:tc>
          <w:tcPr>
            <w:tcW w:w="1718" w:type="dxa"/>
            <w:noWrap/>
            <w:vAlign w:val="bottom"/>
            <w:hideMark/>
          </w:tcPr>
          <w:p w14:paraId="3007783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299CD4F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P-945-16</w:t>
            </w:r>
          </w:p>
        </w:tc>
        <w:tc>
          <w:tcPr>
            <w:tcW w:w="1097" w:type="dxa"/>
            <w:noWrap/>
            <w:vAlign w:val="bottom"/>
            <w:hideMark/>
          </w:tcPr>
          <w:p w14:paraId="00A1E30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5D8FC70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8F87EB4" w14:textId="77777777" w:rsidTr="008B7C11">
        <w:trPr>
          <w:trHeight w:val="600"/>
        </w:trPr>
        <w:tc>
          <w:tcPr>
            <w:tcW w:w="958" w:type="dxa"/>
            <w:noWrap/>
            <w:vAlign w:val="center"/>
            <w:hideMark/>
          </w:tcPr>
          <w:p w14:paraId="19477E1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180</w:t>
            </w:r>
          </w:p>
        </w:tc>
        <w:tc>
          <w:tcPr>
            <w:tcW w:w="1718" w:type="dxa"/>
            <w:noWrap/>
            <w:vAlign w:val="bottom"/>
            <w:hideMark/>
          </w:tcPr>
          <w:p w14:paraId="66BE28A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2829794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P-939-15</w:t>
            </w:r>
          </w:p>
        </w:tc>
        <w:tc>
          <w:tcPr>
            <w:tcW w:w="1097" w:type="dxa"/>
            <w:noWrap/>
            <w:vAlign w:val="bottom"/>
            <w:hideMark/>
          </w:tcPr>
          <w:p w14:paraId="5A1DD1D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4507D80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97D322C" w14:textId="77777777" w:rsidTr="008B7C11">
        <w:trPr>
          <w:trHeight w:val="600"/>
        </w:trPr>
        <w:tc>
          <w:tcPr>
            <w:tcW w:w="958" w:type="dxa"/>
            <w:noWrap/>
            <w:vAlign w:val="center"/>
            <w:hideMark/>
          </w:tcPr>
          <w:p w14:paraId="5021B5A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181</w:t>
            </w:r>
          </w:p>
        </w:tc>
        <w:tc>
          <w:tcPr>
            <w:tcW w:w="1718" w:type="dxa"/>
            <w:noWrap/>
            <w:vAlign w:val="bottom"/>
            <w:hideMark/>
          </w:tcPr>
          <w:p w14:paraId="3841AD1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4A9A2FC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P-1638-17</w:t>
            </w:r>
          </w:p>
        </w:tc>
        <w:tc>
          <w:tcPr>
            <w:tcW w:w="1097" w:type="dxa"/>
            <w:noWrap/>
            <w:vAlign w:val="bottom"/>
            <w:hideMark/>
          </w:tcPr>
          <w:p w14:paraId="18270E9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2D67FDB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EBAA10D" w14:textId="77777777" w:rsidTr="008B7C11">
        <w:trPr>
          <w:trHeight w:val="600"/>
        </w:trPr>
        <w:tc>
          <w:tcPr>
            <w:tcW w:w="958" w:type="dxa"/>
            <w:noWrap/>
            <w:vAlign w:val="center"/>
            <w:hideMark/>
          </w:tcPr>
          <w:p w14:paraId="22FA698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182</w:t>
            </w:r>
          </w:p>
        </w:tc>
        <w:tc>
          <w:tcPr>
            <w:tcW w:w="1718" w:type="dxa"/>
            <w:noWrap/>
            <w:vAlign w:val="bottom"/>
            <w:hideMark/>
          </w:tcPr>
          <w:p w14:paraId="7BAFF61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28811FE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P-2086-15</w:t>
            </w:r>
          </w:p>
        </w:tc>
        <w:tc>
          <w:tcPr>
            <w:tcW w:w="1097" w:type="dxa"/>
            <w:noWrap/>
            <w:vAlign w:val="bottom"/>
            <w:hideMark/>
          </w:tcPr>
          <w:p w14:paraId="7CB1E6D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4FF0AA1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66039DE" w14:textId="77777777" w:rsidTr="008B7C11">
        <w:trPr>
          <w:trHeight w:val="600"/>
        </w:trPr>
        <w:tc>
          <w:tcPr>
            <w:tcW w:w="958" w:type="dxa"/>
            <w:noWrap/>
            <w:vAlign w:val="center"/>
            <w:hideMark/>
          </w:tcPr>
          <w:p w14:paraId="38C1685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183</w:t>
            </w:r>
          </w:p>
        </w:tc>
        <w:tc>
          <w:tcPr>
            <w:tcW w:w="1718" w:type="dxa"/>
            <w:noWrap/>
            <w:vAlign w:val="bottom"/>
            <w:hideMark/>
          </w:tcPr>
          <w:p w14:paraId="6ECD55D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56629FF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P-644-16</w:t>
            </w:r>
          </w:p>
        </w:tc>
        <w:tc>
          <w:tcPr>
            <w:tcW w:w="1097" w:type="dxa"/>
            <w:noWrap/>
            <w:vAlign w:val="bottom"/>
            <w:hideMark/>
          </w:tcPr>
          <w:p w14:paraId="20A0EEC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58F411E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6D73EC7" w14:textId="77777777" w:rsidTr="008B7C11">
        <w:trPr>
          <w:trHeight w:val="600"/>
        </w:trPr>
        <w:tc>
          <w:tcPr>
            <w:tcW w:w="958" w:type="dxa"/>
            <w:noWrap/>
            <w:vAlign w:val="center"/>
            <w:hideMark/>
          </w:tcPr>
          <w:p w14:paraId="5498B6C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184</w:t>
            </w:r>
          </w:p>
        </w:tc>
        <w:tc>
          <w:tcPr>
            <w:tcW w:w="1718" w:type="dxa"/>
            <w:noWrap/>
            <w:vAlign w:val="bottom"/>
            <w:hideMark/>
          </w:tcPr>
          <w:p w14:paraId="01A9459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55E076E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P-58-16</w:t>
            </w:r>
          </w:p>
        </w:tc>
        <w:tc>
          <w:tcPr>
            <w:tcW w:w="1097" w:type="dxa"/>
            <w:noWrap/>
            <w:vAlign w:val="bottom"/>
            <w:hideMark/>
          </w:tcPr>
          <w:p w14:paraId="1F3E076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29AE17E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BD7CC23" w14:textId="77777777" w:rsidTr="008B7C11">
        <w:trPr>
          <w:trHeight w:val="600"/>
        </w:trPr>
        <w:tc>
          <w:tcPr>
            <w:tcW w:w="958" w:type="dxa"/>
            <w:noWrap/>
            <w:vAlign w:val="center"/>
            <w:hideMark/>
          </w:tcPr>
          <w:p w14:paraId="5A900D9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185</w:t>
            </w:r>
          </w:p>
        </w:tc>
        <w:tc>
          <w:tcPr>
            <w:tcW w:w="1718" w:type="dxa"/>
            <w:noWrap/>
            <w:vAlign w:val="bottom"/>
            <w:hideMark/>
          </w:tcPr>
          <w:p w14:paraId="6365532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413328E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P-1820-17</w:t>
            </w:r>
          </w:p>
        </w:tc>
        <w:tc>
          <w:tcPr>
            <w:tcW w:w="1097" w:type="dxa"/>
            <w:noWrap/>
            <w:vAlign w:val="bottom"/>
            <w:hideMark/>
          </w:tcPr>
          <w:p w14:paraId="62B5E35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76DE5E6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8FBFB41" w14:textId="77777777" w:rsidTr="008B7C11">
        <w:trPr>
          <w:trHeight w:val="600"/>
        </w:trPr>
        <w:tc>
          <w:tcPr>
            <w:tcW w:w="958" w:type="dxa"/>
            <w:noWrap/>
            <w:vAlign w:val="center"/>
            <w:hideMark/>
          </w:tcPr>
          <w:p w14:paraId="30BF425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186</w:t>
            </w:r>
          </w:p>
        </w:tc>
        <w:tc>
          <w:tcPr>
            <w:tcW w:w="1718" w:type="dxa"/>
            <w:noWrap/>
            <w:vAlign w:val="bottom"/>
            <w:hideMark/>
          </w:tcPr>
          <w:p w14:paraId="3460E57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44FC24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P-765-16</w:t>
            </w:r>
          </w:p>
        </w:tc>
        <w:tc>
          <w:tcPr>
            <w:tcW w:w="1097" w:type="dxa"/>
            <w:noWrap/>
            <w:vAlign w:val="bottom"/>
            <w:hideMark/>
          </w:tcPr>
          <w:p w14:paraId="02DBD7B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46EE248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959C487" w14:textId="77777777" w:rsidTr="008B7C11">
        <w:trPr>
          <w:trHeight w:val="600"/>
        </w:trPr>
        <w:tc>
          <w:tcPr>
            <w:tcW w:w="958" w:type="dxa"/>
            <w:noWrap/>
            <w:vAlign w:val="center"/>
            <w:hideMark/>
          </w:tcPr>
          <w:p w14:paraId="35E2BD8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187</w:t>
            </w:r>
          </w:p>
        </w:tc>
        <w:tc>
          <w:tcPr>
            <w:tcW w:w="1718" w:type="dxa"/>
            <w:noWrap/>
            <w:vAlign w:val="bottom"/>
            <w:hideMark/>
          </w:tcPr>
          <w:p w14:paraId="568E113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2336C8F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P-875-16</w:t>
            </w:r>
          </w:p>
        </w:tc>
        <w:tc>
          <w:tcPr>
            <w:tcW w:w="1097" w:type="dxa"/>
            <w:noWrap/>
            <w:vAlign w:val="bottom"/>
            <w:hideMark/>
          </w:tcPr>
          <w:p w14:paraId="07C873B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300CE27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880001A" w14:textId="77777777" w:rsidTr="008B7C11">
        <w:trPr>
          <w:trHeight w:val="600"/>
        </w:trPr>
        <w:tc>
          <w:tcPr>
            <w:tcW w:w="958" w:type="dxa"/>
            <w:noWrap/>
            <w:vAlign w:val="center"/>
            <w:hideMark/>
          </w:tcPr>
          <w:p w14:paraId="03D5573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188</w:t>
            </w:r>
          </w:p>
        </w:tc>
        <w:tc>
          <w:tcPr>
            <w:tcW w:w="1718" w:type="dxa"/>
            <w:noWrap/>
            <w:vAlign w:val="bottom"/>
            <w:hideMark/>
          </w:tcPr>
          <w:p w14:paraId="2A7EDF3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6046612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P-1181-17</w:t>
            </w:r>
          </w:p>
        </w:tc>
        <w:tc>
          <w:tcPr>
            <w:tcW w:w="1097" w:type="dxa"/>
            <w:noWrap/>
            <w:vAlign w:val="bottom"/>
            <w:hideMark/>
          </w:tcPr>
          <w:p w14:paraId="070AE28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47A10D1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E031FA0" w14:textId="77777777" w:rsidTr="008B7C11">
        <w:trPr>
          <w:trHeight w:val="600"/>
        </w:trPr>
        <w:tc>
          <w:tcPr>
            <w:tcW w:w="958" w:type="dxa"/>
            <w:noWrap/>
            <w:vAlign w:val="center"/>
            <w:hideMark/>
          </w:tcPr>
          <w:p w14:paraId="3190A9A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189</w:t>
            </w:r>
          </w:p>
        </w:tc>
        <w:tc>
          <w:tcPr>
            <w:tcW w:w="1718" w:type="dxa"/>
            <w:noWrap/>
            <w:vAlign w:val="bottom"/>
            <w:hideMark/>
          </w:tcPr>
          <w:p w14:paraId="15C86A9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44AD17C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P-1163-17</w:t>
            </w:r>
          </w:p>
        </w:tc>
        <w:tc>
          <w:tcPr>
            <w:tcW w:w="1097" w:type="dxa"/>
            <w:noWrap/>
            <w:vAlign w:val="bottom"/>
            <w:hideMark/>
          </w:tcPr>
          <w:p w14:paraId="3F76756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3E83B6A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C454737" w14:textId="77777777" w:rsidTr="008B7C11">
        <w:trPr>
          <w:trHeight w:val="600"/>
        </w:trPr>
        <w:tc>
          <w:tcPr>
            <w:tcW w:w="958" w:type="dxa"/>
            <w:noWrap/>
            <w:vAlign w:val="center"/>
            <w:hideMark/>
          </w:tcPr>
          <w:p w14:paraId="38E119B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190</w:t>
            </w:r>
          </w:p>
        </w:tc>
        <w:tc>
          <w:tcPr>
            <w:tcW w:w="1718" w:type="dxa"/>
            <w:noWrap/>
            <w:vAlign w:val="bottom"/>
            <w:hideMark/>
          </w:tcPr>
          <w:p w14:paraId="2EA52E9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11FA3DC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P-1072-17</w:t>
            </w:r>
          </w:p>
        </w:tc>
        <w:tc>
          <w:tcPr>
            <w:tcW w:w="1097" w:type="dxa"/>
            <w:noWrap/>
            <w:vAlign w:val="bottom"/>
            <w:hideMark/>
          </w:tcPr>
          <w:p w14:paraId="48203DE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17F4900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90C0AF1" w14:textId="77777777" w:rsidTr="008B7C11">
        <w:trPr>
          <w:trHeight w:val="600"/>
        </w:trPr>
        <w:tc>
          <w:tcPr>
            <w:tcW w:w="958" w:type="dxa"/>
            <w:noWrap/>
            <w:vAlign w:val="center"/>
            <w:hideMark/>
          </w:tcPr>
          <w:p w14:paraId="28C9BC1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191</w:t>
            </w:r>
          </w:p>
        </w:tc>
        <w:tc>
          <w:tcPr>
            <w:tcW w:w="1718" w:type="dxa"/>
            <w:noWrap/>
            <w:vAlign w:val="bottom"/>
            <w:hideMark/>
          </w:tcPr>
          <w:p w14:paraId="5E4146D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946D44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P-1865-17</w:t>
            </w:r>
          </w:p>
        </w:tc>
        <w:tc>
          <w:tcPr>
            <w:tcW w:w="1097" w:type="dxa"/>
            <w:noWrap/>
            <w:vAlign w:val="bottom"/>
            <w:hideMark/>
          </w:tcPr>
          <w:p w14:paraId="7D4AC0D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37D6086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F0818FD" w14:textId="77777777" w:rsidTr="008B7C11">
        <w:trPr>
          <w:trHeight w:val="600"/>
        </w:trPr>
        <w:tc>
          <w:tcPr>
            <w:tcW w:w="958" w:type="dxa"/>
            <w:noWrap/>
            <w:vAlign w:val="center"/>
            <w:hideMark/>
          </w:tcPr>
          <w:p w14:paraId="4E0C7EA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192</w:t>
            </w:r>
          </w:p>
        </w:tc>
        <w:tc>
          <w:tcPr>
            <w:tcW w:w="1718" w:type="dxa"/>
            <w:noWrap/>
            <w:vAlign w:val="bottom"/>
            <w:hideMark/>
          </w:tcPr>
          <w:p w14:paraId="5063312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862256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P-2006-17</w:t>
            </w:r>
          </w:p>
        </w:tc>
        <w:tc>
          <w:tcPr>
            <w:tcW w:w="1097" w:type="dxa"/>
            <w:noWrap/>
            <w:vAlign w:val="bottom"/>
            <w:hideMark/>
          </w:tcPr>
          <w:p w14:paraId="3842822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6A886E9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BA58489" w14:textId="77777777" w:rsidTr="008B7C11">
        <w:trPr>
          <w:trHeight w:val="600"/>
        </w:trPr>
        <w:tc>
          <w:tcPr>
            <w:tcW w:w="958" w:type="dxa"/>
            <w:noWrap/>
            <w:vAlign w:val="center"/>
            <w:hideMark/>
          </w:tcPr>
          <w:p w14:paraId="44B34BD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193</w:t>
            </w:r>
          </w:p>
        </w:tc>
        <w:tc>
          <w:tcPr>
            <w:tcW w:w="1718" w:type="dxa"/>
            <w:noWrap/>
            <w:vAlign w:val="bottom"/>
            <w:hideMark/>
          </w:tcPr>
          <w:p w14:paraId="2D72791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1B9B267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P-62-17</w:t>
            </w:r>
          </w:p>
        </w:tc>
        <w:tc>
          <w:tcPr>
            <w:tcW w:w="1097" w:type="dxa"/>
            <w:noWrap/>
            <w:vAlign w:val="bottom"/>
            <w:hideMark/>
          </w:tcPr>
          <w:p w14:paraId="2A2074C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3A2D01A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392EB1A" w14:textId="77777777" w:rsidTr="008B7C11">
        <w:trPr>
          <w:trHeight w:val="600"/>
        </w:trPr>
        <w:tc>
          <w:tcPr>
            <w:tcW w:w="958" w:type="dxa"/>
            <w:noWrap/>
            <w:vAlign w:val="center"/>
            <w:hideMark/>
          </w:tcPr>
          <w:p w14:paraId="47DA7B4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194</w:t>
            </w:r>
          </w:p>
        </w:tc>
        <w:tc>
          <w:tcPr>
            <w:tcW w:w="1718" w:type="dxa"/>
            <w:noWrap/>
            <w:vAlign w:val="bottom"/>
            <w:hideMark/>
          </w:tcPr>
          <w:p w14:paraId="23B8F27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939BF1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P-648-17</w:t>
            </w:r>
          </w:p>
        </w:tc>
        <w:tc>
          <w:tcPr>
            <w:tcW w:w="1097" w:type="dxa"/>
            <w:noWrap/>
            <w:vAlign w:val="bottom"/>
            <w:hideMark/>
          </w:tcPr>
          <w:p w14:paraId="0765316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5025C21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5441F5D" w14:textId="77777777" w:rsidTr="008B7C11">
        <w:trPr>
          <w:trHeight w:val="600"/>
        </w:trPr>
        <w:tc>
          <w:tcPr>
            <w:tcW w:w="958" w:type="dxa"/>
            <w:noWrap/>
            <w:vAlign w:val="center"/>
            <w:hideMark/>
          </w:tcPr>
          <w:p w14:paraId="465237F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195</w:t>
            </w:r>
          </w:p>
        </w:tc>
        <w:tc>
          <w:tcPr>
            <w:tcW w:w="1718" w:type="dxa"/>
            <w:noWrap/>
            <w:vAlign w:val="bottom"/>
            <w:hideMark/>
          </w:tcPr>
          <w:p w14:paraId="5B3A9BD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727919A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P-2247-17</w:t>
            </w:r>
          </w:p>
        </w:tc>
        <w:tc>
          <w:tcPr>
            <w:tcW w:w="1097" w:type="dxa"/>
            <w:noWrap/>
            <w:vAlign w:val="bottom"/>
            <w:hideMark/>
          </w:tcPr>
          <w:p w14:paraId="2ADB509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3AAEF6F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47B98CA" w14:textId="77777777" w:rsidTr="008B7C11">
        <w:trPr>
          <w:trHeight w:val="600"/>
        </w:trPr>
        <w:tc>
          <w:tcPr>
            <w:tcW w:w="958" w:type="dxa"/>
            <w:noWrap/>
            <w:vAlign w:val="center"/>
            <w:hideMark/>
          </w:tcPr>
          <w:p w14:paraId="01742C4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196</w:t>
            </w:r>
          </w:p>
        </w:tc>
        <w:tc>
          <w:tcPr>
            <w:tcW w:w="1718" w:type="dxa"/>
            <w:noWrap/>
            <w:vAlign w:val="bottom"/>
            <w:hideMark/>
          </w:tcPr>
          <w:p w14:paraId="60D2313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7AB7245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P-2513-17</w:t>
            </w:r>
          </w:p>
        </w:tc>
        <w:tc>
          <w:tcPr>
            <w:tcW w:w="1097" w:type="dxa"/>
            <w:noWrap/>
            <w:vAlign w:val="bottom"/>
            <w:hideMark/>
          </w:tcPr>
          <w:p w14:paraId="5EFABBC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5401CF5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6C2601D" w14:textId="77777777" w:rsidTr="008B7C11">
        <w:trPr>
          <w:trHeight w:val="600"/>
        </w:trPr>
        <w:tc>
          <w:tcPr>
            <w:tcW w:w="958" w:type="dxa"/>
            <w:noWrap/>
            <w:vAlign w:val="center"/>
            <w:hideMark/>
          </w:tcPr>
          <w:p w14:paraId="74A15DF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197</w:t>
            </w:r>
          </w:p>
        </w:tc>
        <w:tc>
          <w:tcPr>
            <w:tcW w:w="1718" w:type="dxa"/>
            <w:noWrap/>
            <w:vAlign w:val="bottom"/>
            <w:hideMark/>
          </w:tcPr>
          <w:p w14:paraId="6D9EABB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7B2F57C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P-2348-17</w:t>
            </w:r>
          </w:p>
        </w:tc>
        <w:tc>
          <w:tcPr>
            <w:tcW w:w="1097" w:type="dxa"/>
            <w:noWrap/>
            <w:vAlign w:val="bottom"/>
            <w:hideMark/>
          </w:tcPr>
          <w:p w14:paraId="6247AA0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72530A6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B33200C" w14:textId="77777777" w:rsidTr="008B7C11">
        <w:trPr>
          <w:trHeight w:val="600"/>
        </w:trPr>
        <w:tc>
          <w:tcPr>
            <w:tcW w:w="958" w:type="dxa"/>
            <w:noWrap/>
            <w:vAlign w:val="center"/>
            <w:hideMark/>
          </w:tcPr>
          <w:p w14:paraId="19EE24F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198</w:t>
            </w:r>
          </w:p>
        </w:tc>
        <w:tc>
          <w:tcPr>
            <w:tcW w:w="1718" w:type="dxa"/>
            <w:noWrap/>
            <w:vAlign w:val="bottom"/>
            <w:hideMark/>
          </w:tcPr>
          <w:p w14:paraId="600C9E8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5F2B4F0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P-331-15</w:t>
            </w:r>
          </w:p>
        </w:tc>
        <w:tc>
          <w:tcPr>
            <w:tcW w:w="1097" w:type="dxa"/>
            <w:noWrap/>
            <w:vAlign w:val="bottom"/>
            <w:hideMark/>
          </w:tcPr>
          <w:p w14:paraId="1B82B3A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0032E2C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65441C3" w14:textId="77777777" w:rsidTr="008B7C11">
        <w:trPr>
          <w:trHeight w:val="600"/>
        </w:trPr>
        <w:tc>
          <w:tcPr>
            <w:tcW w:w="958" w:type="dxa"/>
            <w:noWrap/>
            <w:vAlign w:val="center"/>
            <w:hideMark/>
          </w:tcPr>
          <w:p w14:paraId="33613CD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199</w:t>
            </w:r>
          </w:p>
        </w:tc>
        <w:tc>
          <w:tcPr>
            <w:tcW w:w="1718" w:type="dxa"/>
            <w:noWrap/>
            <w:vAlign w:val="bottom"/>
            <w:hideMark/>
          </w:tcPr>
          <w:p w14:paraId="3467A2C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6DB84C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P-467-15</w:t>
            </w:r>
          </w:p>
        </w:tc>
        <w:tc>
          <w:tcPr>
            <w:tcW w:w="1097" w:type="dxa"/>
            <w:noWrap/>
            <w:vAlign w:val="bottom"/>
            <w:hideMark/>
          </w:tcPr>
          <w:p w14:paraId="2E80B44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1A90212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397D68A" w14:textId="77777777" w:rsidTr="008B7C11">
        <w:trPr>
          <w:trHeight w:val="600"/>
        </w:trPr>
        <w:tc>
          <w:tcPr>
            <w:tcW w:w="958" w:type="dxa"/>
            <w:noWrap/>
            <w:vAlign w:val="center"/>
            <w:hideMark/>
          </w:tcPr>
          <w:p w14:paraId="096BADF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200</w:t>
            </w:r>
          </w:p>
        </w:tc>
        <w:tc>
          <w:tcPr>
            <w:tcW w:w="1718" w:type="dxa"/>
            <w:noWrap/>
            <w:vAlign w:val="bottom"/>
            <w:hideMark/>
          </w:tcPr>
          <w:p w14:paraId="02FD5AD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4C936F0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P-2008-15</w:t>
            </w:r>
          </w:p>
        </w:tc>
        <w:tc>
          <w:tcPr>
            <w:tcW w:w="1097" w:type="dxa"/>
            <w:noWrap/>
            <w:vAlign w:val="bottom"/>
            <w:hideMark/>
          </w:tcPr>
          <w:p w14:paraId="4F16655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293A7B4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5FA9298" w14:textId="77777777" w:rsidTr="008B7C11">
        <w:trPr>
          <w:trHeight w:val="600"/>
        </w:trPr>
        <w:tc>
          <w:tcPr>
            <w:tcW w:w="958" w:type="dxa"/>
            <w:noWrap/>
            <w:vAlign w:val="center"/>
            <w:hideMark/>
          </w:tcPr>
          <w:p w14:paraId="330E491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201</w:t>
            </w:r>
          </w:p>
        </w:tc>
        <w:tc>
          <w:tcPr>
            <w:tcW w:w="1718" w:type="dxa"/>
            <w:noWrap/>
            <w:vAlign w:val="bottom"/>
            <w:hideMark/>
          </w:tcPr>
          <w:p w14:paraId="4617EDB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1F06B1C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P-42-16</w:t>
            </w:r>
          </w:p>
        </w:tc>
        <w:tc>
          <w:tcPr>
            <w:tcW w:w="1097" w:type="dxa"/>
            <w:noWrap/>
            <w:vAlign w:val="bottom"/>
            <w:hideMark/>
          </w:tcPr>
          <w:p w14:paraId="5EDF49F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3725F37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4D8B2AB" w14:textId="77777777" w:rsidTr="008B7C11">
        <w:trPr>
          <w:trHeight w:val="600"/>
        </w:trPr>
        <w:tc>
          <w:tcPr>
            <w:tcW w:w="958" w:type="dxa"/>
            <w:noWrap/>
            <w:vAlign w:val="center"/>
            <w:hideMark/>
          </w:tcPr>
          <w:p w14:paraId="38D6B40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202</w:t>
            </w:r>
          </w:p>
        </w:tc>
        <w:tc>
          <w:tcPr>
            <w:tcW w:w="1718" w:type="dxa"/>
            <w:noWrap/>
            <w:vAlign w:val="bottom"/>
            <w:hideMark/>
          </w:tcPr>
          <w:p w14:paraId="1FC6209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EDD918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P-1076-17</w:t>
            </w:r>
          </w:p>
        </w:tc>
        <w:tc>
          <w:tcPr>
            <w:tcW w:w="1097" w:type="dxa"/>
            <w:noWrap/>
            <w:vAlign w:val="bottom"/>
            <w:hideMark/>
          </w:tcPr>
          <w:p w14:paraId="6524E33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532DF33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CCCEE98" w14:textId="77777777" w:rsidTr="008B7C11">
        <w:trPr>
          <w:trHeight w:val="600"/>
        </w:trPr>
        <w:tc>
          <w:tcPr>
            <w:tcW w:w="958" w:type="dxa"/>
            <w:noWrap/>
            <w:vAlign w:val="center"/>
            <w:hideMark/>
          </w:tcPr>
          <w:p w14:paraId="284AFF3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203</w:t>
            </w:r>
          </w:p>
        </w:tc>
        <w:tc>
          <w:tcPr>
            <w:tcW w:w="1718" w:type="dxa"/>
            <w:noWrap/>
            <w:vAlign w:val="bottom"/>
            <w:hideMark/>
          </w:tcPr>
          <w:p w14:paraId="602EE56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223B89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P-847-17</w:t>
            </w:r>
          </w:p>
        </w:tc>
        <w:tc>
          <w:tcPr>
            <w:tcW w:w="1097" w:type="dxa"/>
            <w:noWrap/>
            <w:vAlign w:val="bottom"/>
            <w:hideMark/>
          </w:tcPr>
          <w:p w14:paraId="2F6D9C0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1B0869B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29931DE" w14:textId="77777777" w:rsidTr="008B7C11">
        <w:trPr>
          <w:trHeight w:val="600"/>
        </w:trPr>
        <w:tc>
          <w:tcPr>
            <w:tcW w:w="958" w:type="dxa"/>
            <w:noWrap/>
            <w:vAlign w:val="center"/>
            <w:hideMark/>
          </w:tcPr>
          <w:p w14:paraId="4CEA17E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204</w:t>
            </w:r>
          </w:p>
        </w:tc>
        <w:tc>
          <w:tcPr>
            <w:tcW w:w="1718" w:type="dxa"/>
            <w:noWrap/>
            <w:vAlign w:val="bottom"/>
            <w:hideMark/>
          </w:tcPr>
          <w:p w14:paraId="4BA30AB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48DE477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P-2357-17</w:t>
            </w:r>
          </w:p>
        </w:tc>
        <w:tc>
          <w:tcPr>
            <w:tcW w:w="1097" w:type="dxa"/>
            <w:noWrap/>
            <w:vAlign w:val="bottom"/>
            <w:hideMark/>
          </w:tcPr>
          <w:p w14:paraId="1267D92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35016C0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B889402" w14:textId="77777777" w:rsidTr="008B7C11">
        <w:trPr>
          <w:trHeight w:val="600"/>
        </w:trPr>
        <w:tc>
          <w:tcPr>
            <w:tcW w:w="958" w:type="dxa"/>
            <w:noWrap/>
            <w:vAlign w:val="center"/>
            <w:hideMark/>
          </w:tcPr>
          <w:p w14:paraId="1A1ABA6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205</w:t>
            </w:r>
          </w:p>
        </w:tc>
        <w:tc>
          <w:tcPr>
            <w:tcW w:w="1718" w:type="dxa"/>
            <w:noWrap/>
            <w:vAlign w:val="bottom"/>
            <w:hideMark/>
          </w:tcPr>
          <w:p w14:paraId="0E6E20C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31ECCCA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P-342-17</w:t>
            </w:r>
          </w:p>
        </w:tc>
        <w:tc>
          <w:tcPr>
            <w:tcW w:w="1097" w:type="dxa"/>
            <w:noWrap/>
            <w:vAlign w:val="bottom"/>
            <w:hideMark/>
          </w:tcPr>
          <w:p w14:paraId="6473483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35A6D00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996FCE8" w14:textId="77777777" w:rsidTr="008B7C11">
        <w:trPr>
          <w:trHeight w:val="600"/>
        </w:trPr>
        <w:tc>
          <w:tcPr>
            <w:tcW w:w="958" w:type="dxa"/>
            <w:noWrap/>
            <w:vAlign w:val="center"/>
            <w:hideMark/>
          </w:tcPr>
          <w:p w14:paraId="21A2F24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206</w:t>
            </w:r>
          </w:p>
        </w:tc>
        <w:tc>
          <w:tcPr>
            <w:tcW w:w="1718" w:type="dxa"/>
            <w:noWrap/>
            <w:vAlign w:val="bottom"/>
            <w:hideMark/>
          </w:tcPr>
          <w:p w14:paraId="0335A10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3B6F607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P-1351-17</w:t>
            </w:r>
          </w:p>
        </w:tc>
        <w:tc>
          <w:tcPr>
            <w:tcW w:w="1097" w:type="dxa"/>
            <w:noWrap/>
            <w:vAlign w:val="bottom"/>
            <w:hideMark/>
          </w:tcPr>
          <w:p w14:paraId="3AD45D5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00CE41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BC4CD91" w14:textId="77777777" w:rsidTr="008B7C11">
        <w:trPr>
          <w:trHeight w:val="600"/>
        </w:trPr>
        <w:tc>
          <w:tcPr>
            <w:tcW w:w="958" w:type="dxa"/>
            <w:noWrap/>
            <w:vAlign w:val="center"/>
            <w:hideMark/>
          </w:tcPr>
          <w:p w14:paraId="00710CC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207</w:t>
            </w:r>
          </w:p>
        </w:tc>
        <w:tc>
          <w:tcPr>
            <w:tcW w:w="1718" w:type="dxa"/>
            <w:noWrap/>
            <w:vAlign w:val="bottom"/>
            <w:hideMark/>
          </w:tcPr>
          <w:p w14:paraId="0C02F94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69223D8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P-885-17</w:t>
            </w:r>
          </w:p>
        </w:tc>
        <w:tc>
          <w:tcPr>
            <w:tcW w:w="1097" w:type="dxa"/>
            <w:noWrap/>
            <w:vAlign w:val="bottom"/>
            <w:hideMark/>
          </w:tcPr>
          <w:p w14:paraId="619E64C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148DB77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A619508" w14:textId="77777777" w:rsidTr="008B7C11">
        <w:trPr>
          <w:trHeight w:val="600"/>
        </w:trPr>
        <w:tc>
          <w:tcPr>
            <w:tcW w:w="958" w:type="dxa"/>
            <w:noWrap/>
            <w:vAlign w:val="center"/>
            <w:hideMark/>
          </w:tcPr>
          <w:p w14:paraId="680EEC0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208</w:t>
            </w:r>
          </w:p>
        </w:tc>
        <w:tc>
          <w:tcPr>
            <w:tcW w:w="1718" w:type="dxa"/>
            <w:noWrap/>
            <w:vAlign w:val="bottom"/>
            <w:hideMark/>
          </w:tcPr>
          <w:p w14:paraId="1F816C7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4329B86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P-407-16</w:t>
            </w:r>
          </w:p>
        </w:tc>
        <w:tc>
          <w:tcPr>
            <w:tcW w:w="1097" w:type="dxa"/>
            <w:noWrap/>
            <w:vAlign w:val="bottom"/>
            <w:hideMark/>
          </w:tcPr>
          <w:p w14:paraId="3293948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62B6658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DB796C3" w14:textId="77777777" w:rsidTr="008B7C11">
        <w:trPr>
          <w:trHeight w:val="600"/>
        </w:trPr>
        <w:tc>
          <w:tcPr>
            <w:tcW w:w="958" w:type="dxa"/>
            <w:noWrap/>
            <w:vAlign w:val="center"/>
            <w:hideMark/>
          </w:tcPr>
          <w:p w14:paraId="5C9F151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209</w:t>
            </w:r>
          </w:p>
        </w:tc>
        <w:tc>
          <w:tcPr>
            <w:tcW w:w="1718" w:type="dxa"/>
            <w:noWrap/>
            <w:vAlign w:val="bottom"/>
            <w:hideMark/>
          </w:tcPr>
          <w:p w14:paraId="5DF9149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379864D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P-2467-16</w:t>
            </w:r>
          </w:p>
        </w:tc>
        <w:tc>
          <w:tcPr>
            <w:tcW w:w="1097" w:type="dxa"/>
            <w:noWrap/>
            <w:vAlign w:val="bottom"/>
            <w:hideMark/>
          </w:tcPr>
          <w:p w14:paraId="6C60459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445BB83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63D6BE2" w14:textId="77777777" w:rsidTr="008B7C11">
        <w:trPr>
          <w:trHeight w:val="600"/>
        </w:trPr>
        <w:tc>
          <w:tcPr>
            <w:tcW w:w="958" w:type="dxa"/>
            <w:noWrap/>
            <w:vAlign w:val="center"/>
            <w:hideMark/>
          </w:tcPr>
          <w:p w14:paraId="571F7CD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210</w:t>
            </w:r>
          </w:p>
        </w:tc>
        <w:tc>
          <w:tcPr>
            <w:tcW w:w="1718" w:type="dxa"/>
            <w:noWrap/>
            <w:vAlign w:val="bottom"/>
            <w:hideMark/>
          </w:tcPr>
          <w:p w14:paraId="6E04772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3C5BFE7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P-2035-15</w:t>
            </w:r>
          </w:p>
        </w:tc>
        <w:tc>
          <w:tcPr>
            <w:tcW w:w="1097" w:type="dxa"/>
            <w:noWrap/>
            <w:vAlign w:val="bottom"/>
            <w:hideMark/>
          </w:tcPr>
          <w:p w14:paraId="303DF94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54907DF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15D64E3" w14:textId="77777777" w:rsidTr="008B7C11">
        <w:trPr>
          <w:trHeight w:val="600"/>
        </w:trPr>
        <w:tc>
          <w:tcPr>
            <w:tcW w:w="958" w:type="dxa"/>
            <w:noWrap/>
            <w:vAlign w:val="center"/>
            <w:hideMark/>
          </w:tcPr>
          <w:p w14:paraId="3D60A04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211</w:t>
            </w:r>
          </w:p>
        </w:tc>
        <w:tc>
          <w:tcPr>
            <w:tcW w:w="1718" w:type="dxa"/>
            <w:noWrap/>
            <w:vAlign w:val="bottom"/>
            <w:hideMark/>
          </w:tcPr>
          <w:p w14:paraId="3EF2BD0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14BB16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P-1814-17</w:t>
            </w:r>
          </w:p>
        </w:tc>
        <w:tc>
          <w:tcPr>
            <w:tcW w:w="1097" w:type="dxa"/>
            <w:noWrap/>
            <w:vAlign w:val="bottom"/>
            <w:hideMark/>
          </w:tcPr>
          <w:p w14:paraId="4FE29FA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4413A99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15E4379" w14:textId="77777777" w:rsidTr="008B7C11">
        <w:trPr>
          <w:trHeight w:val="600"/>
        </w:trPr>
        <w:tc>
          <w:tcPr>
            <w:tcW w:w="958" w:type="dxa"/>
            <w:noWrap/>
            <w:vAlign w:val="center"/>
            <w:hideMark/>
          </w:tcPr>
          <w:p w14:paraId="36F4354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212</w:t>
            </w:r>
          </w:p>
        </w:tc>
        <w:tc>
          <w:tcPr>
            <w:tcW w:w="1718" w:type="dxa"/>
            <w:noWrap/>
            <w:vAlign w:val="bottom"/>
            <w:hideMark/>
          </w:tcPr>
          <w:p w14:paraId="51ADA6D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DE62DB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P-110-17</w:t>
            </w:r>
          </w:p>
        </w:tc>
        <w:tc>
          <w:tcPr>
            <w:tcW w:w="1097" w:type="dxa"/>
            <w:noWrap/>
            <w:vAlign w:val="bottom"/>
            <w:hideMark/>
          </w:tcPr>
          <w:p w14:paraId="5275AF3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7D0692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E37B750" w14:textId="77777777" w:rsidTr="008B7C11">
        <w:trPr>
          <w:trHeight w:val="600"/>
        </w:trPr>
        <w:tc>
          <w:tcPr>
            <w:tcW w:w="958" w:type="dxa"/>
            <w:noWrap/>
            <w:vAlign w:val="center"/>
            <w:hideMark/>
          </w:tcPr>
          <w:p w14:paraId="784F580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213</w:t>
            </w:r>
          </w:p>
        </w:tc>
        <w:tc>
          <w:tcPr>
            <w:tcW w:w="1718" w:type="dxa"/>
            <w:noWrap/>
            <w:vAlign w:val="bottom"/>
            <w:hideMark/>
          </w:tcPr>
          <w:p w14:paraId="16F164B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45B21F6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P-2075-17</w:t>
            </w:r>
          </w:p>
        </w:tc>
        <w:tc>
          <w:tcPr>
            <w:tcW w:w="1097" w:type="dxa"/>
            <w:noWrap/>
            <w:vAlign w:val="bottom"/>
            <w:hideMark/>
          </w:tcPr>
          <w:p w14:paraId="5D6B27C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72E1DF1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F57EB0C" w14:textId="77777777" w:rsidTr="008B7C11">
        <w:trPr>
          <w:trHeight w:val="600"/>
        </w:trPr>
        <w:tc>
          <w:tcPr>
            <w:tcW w:w="958" w:type="dxa"/>
            <w:noWrap/>
            <w:vAlign w:val="center"/>
            <w:hideMark/>
          </w:tcPr>
          <w:p w14:paraId="1A8068F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214</w:t>
            </w:r>
          </w:p>
        </w:tc>
        <w:tc>
          <w:tcPr>
            <w:tcW w:w="1718" w:type="dxa"/>
            <w:noWrap/>
            <w:vAlign w:val="bottom"/>
            <w:hideMark/>
          </w:tcPr>
          <w:p w14:paraId="4B4834C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2C1CCC9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P-1684-17</w:t>
            </w:r>
          </w:p>
        </w:tc>
        <w:tc>
          <w:tcPr>
            <w:tcW w:w="1097" w:type="dxa"/>
            <w:noWrap/>
            <w:vAlign w:val="bottom"/>
            <w:hideMark/>
          </w:tcPr>
          <w:p w14:paraId="67E0CB9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35EE3AF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C2D3476" w14:textId="77777777" w:rsidTr="008B7C11">
        <w:trPr>
          <w:trHeight w:val="600"/>
        </w:trPr>
        <w:tc>
          <w:tcPr>
            <w:tcW w:w="958" w:type="dxa"/>
            <w:noWrap/>
            <w:vAlign w:val="center"/>
            <w:hideMark/>
          </w:tcPr>
          <w:p w14:paraId="3AE0E76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215</w:t>
            </w:r>
          </w:p>
        </w:tc>
        <w:tc>
          <w:tcPr>
            <w:tcW w:w="1718" w:type="dxa"/>
            <w:noWrap/>
            <w:vAlign w:val="bottom"/>
            <w:hideMark/>
          </w:tcPr>
          <w:p w14:paraId="61193AA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1FECA86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P-2097-17</w:t>
            </w:r>
          </w:p>
        </w:tc>
        <w:tc>
          <w:tcPr>
            <w:tcW w:w="1097" w:type="dxa"/>
            <w:noWrap/>
            <w:vAlign w:val="bottom"/>
            <w:hideMark/>
          </w:tcPr>
          <w:p w14:paraId="55067CE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74F23D7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40E4073" w14:textId="77777777" w:rsidTr="008B7C11">
        <w:trPr>
          <w:trHeight w:val="600"/>
        </w:trPr>
        <w:tc>
          <w:tcPr>
            <w:tcW w:w="958" w:type="dxa"/>
            <w:noWrap/>
            <w:vAlign w:val="center"/>
            <w:hideMark/>
          </w:tcPr>
          <w:p w14:paraId="3D423CC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216</w:t>
            </w:r>
          </w:p>
        </w:tc>
        <w:tc>
          <w:tcPr>
            <w:tcW w:w="1718" w:type="dxa"/>
            <w:noWrap/>
            <w:vAlign w:val="bottom"/>
            <w:hideMark/>
          </w:tcPr>
          <w:p w14:paraId="3121803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6D3FCDF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P-1413-17</w:t>
            </w:r>
          </w:p>
        </w:tc>
        <w:tc>
          <w:tcPr>
            <w:tcW w:w="1097" w:type="dxa"/>
            <w:noWrap/>
            <w:vAlign w:val="bottom"/>
            <w:hideMark/>
          </w:tcPr>
          <w:p w14:paraId="43CD415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3451755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B495D76" w14:textId="77777777" w:rsidTr="008B7C11">
        <w:trPr>
          <w:trHeight w:val="600"/>
        </w:trPr>
        <w:tc>
          <w:tcPr>
            <w:tcW w:w="958" w:type="dxa"/>
            <w:noWrap/>
            <w:vAlign w:val="center"/>
            <w:hideMark/>
          </w:tcPr>
          <w:p w14:paraId="21CB531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217</w:t>
            </w:r>
          </w:p>
        </w:tc>
        <w:tc>
          <w:tcPr>
            <w:tcW w:w="1718" w:type="dxa"/>
            <w:noWrap/>
            <w:vAlign w:val="bottom"/>
            <w:hideMark/>
          </w:tcPr>
          <w:p w14:paraId="103EA47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4E385BA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P-1350-17</w:t>
            </w:r>
          </w:p>
        </w:tc>
        <w:tc>
          <w:tcPr>
            <w:tcW w:w="1097" w:type="dxa"/>
            <w:noWrap/>
            <w:vAlign w:val="bottom"/>
            <w:hideMark/>
          </w:tcPr>
          <w:p w14:paraId="6320B0C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782B2C2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A4DC066" w14:textId="77777777" w:rsidTr="008B7C11">
        <w:trPr>
          <w:trHeight w:val="600"/>
        </w:trPr>
        <w:tc>
          <w:tcPr>
            <w:tcW w:w="958" w:type="dxa"/>
            <w:noWrap/>
            <w:vAlign w:val="center"/>
            <w:hideMark/>
          </w:tcPr>
          <w:p w14:paraId="38933F6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218</w:t>
            </w:r>
          </w:p>
        </w:tc>
        <w:tc>
          <w:tcPr>
            <w:tcW w:w="1718" w:type="dxa"/>
            <w:noWrap/>
            <w:vAlign w:val="bottom"/>
            <w:hideMark/>
          </w:tcPr>
          <w:p w14:paraId="03F4FDF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68C067A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P-977-17</w:t>
            </w:r>
          </w:p>
        </w:tc>
        <w:tc>
          <w:tcPr>
            <w:tcW w:w="1097" w:type="dxa"/>
            <w:noWrap/>
            <w:vAlign w:val="bottom"/>
            <w:hideMark/>
          </w:tcPr>
          <w:p w14:paraId="3855CAA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4E4C906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1664019" w14:textId="77777777" w:rsidTr="008B7C11">
        <w:trPr>
          <w:trHeight w:val="600"/>
        </w:trPr>
        <w:tc>
          <w:tcPr>
            <w:tcW w:w="958" w:type="dxa"/>
            <w:noWrap/>
            <w:vAlign w:val="center"/>
            <w:hideMark/>
          </w:tcPr>
          <w:p w14:paraId="43DAED3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219</w:t>
            </w:r>
          </w:p>
        </w:tc>
        <w:tc>
          <w:tcPr>
            <w:tcW w:w="1718" w:type="dxa"/>
            <w:noWrap/>
            <w:vAlign w:val="bottom"/>
            <w:hideMark/>
          </w:tcPr>
          <w:p w14:paraId="40CBEB0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6A03D89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P-882-17</w:t>
            </w:r>
          </w:p>
        </w:tc>
        <w:tc>
          <w:tcPr>
            <w:tcW w:w="1097" w:type="dxa"/>
            <w:noWrap/>
            <w:vAlign w:val="bottom"/>
            <w:hideMark/>
          </w:tcPr>
          <w:p w14:paraId="3098CE0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7125C79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F70A33B" w14:textId="77777777" w:rsidTr="008B7C11">
        <w:trPr>
          <w:trHeight w:val="600"/>
        </w:trPr>
        <w:tc>
          <w:tcPr>
            <w:tcW w:w="958" w:type="dxa"/>
            <w:noWrap/>
            <w:vAlign w:val="center"/>
            <w:hideMark/>
          </w:tcPr>
          <w:p w14:paraId="5AB5D5E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220</w:t>
            </w:r>
          </w:p>
        </w:tc>
        <w:tc>
          <w:tcPr>
            <w:tcW w:w="1718" w:type="dxa"/>
            <w:noWrap/>
            <w:vAlign w:val="bottom"/>
            <w:hideMark/>
          </w:tcPr>
          <w:p w14:paraId="0CDCAC9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8D58E8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P-2144-17</w:t>
            </w:r>
          </w:p>
        </w:tc>
        <w:tc>
          <w:tcPr>
            <w:tcW w:w="1097" w:type="dxa"/>
            <w:noWrap/>
            <w:vAlign w:val="bottom"/>
            <w:hideMark/>
          </w:tcPr>
          <w:p w14:paraId="03CA501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36FB49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D681424" w14:textId="77777777" w:rsidTr="008B7C11">
        <w:trPr>
          <w:trHeight w:val="600"/>
        </w:trPr>
        <w:tc>
          <w:tcPr>
            <w:tcW w:w="958" w:type="dxa"/>
            <w:noWrap/>
            <w:vAlign w:val="center"/>
            <w:hideMark/>
          </w:tcPr>
          <w:p w14:paraId="4F32F11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221</w:t>
            </w:r>
          </w:p>
        </w:tc>
        <w:tc>
          <w:tcPr>
            <w:tcW w:w="1718" w:type="dxa"/>
            <w:noWrap/>
            <w:vAlign w:val="bottom"/>
            <w:hideMark/>
          </w:tcPr>
          <w:p w14:paraId="7058C7E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18FA48C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P-2054-17</w:t>
            </w:r>
          </w:p>
        </w:tc>
        <w:tc>
          <w:tcPr>
            <w:tcW w:w="1097" w:type="dxa"/>
            <w:noWrap/>
            <w:vAlign w:val="bottom"/>
            <w:hideMark/>
          </w:tcPr>
          <w:p w14:paraId="54C7D6C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1187AF9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11F3FA4" w14:textId="77777777" w:rsidTr="008B7C11">
        <w:trPr>
          <w:trHeight w:val="600"/>
        </w:trPr>
        <w:tc>
          <w:tcPr>
            <w:tcW w:w="958" w:type="dxa"/>
            <w:noWrap/>
            <w:vAlign w:val="center"/>
            <w:hideMark/>
          </w:tcPr>
          <w:p w14:paraId="3CD96C3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222</w:t>
            </w:r>
          </w:p>
        </w:tc>
        <w:tc>
          <w:tcPr>
            <w:tcW w:w="1718" w:type="dxa"/>
            <w:noWrap/>
            <w:vAlign w:val="bottom"/>
            <w:hideMark/>
          </w:tcPr>
          <w:p w14:paraId="7C194A3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7141818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P-2093-17</w:t>
            </w:r>
          </w:p>
        </w:tc>
        <w:tc>
          <w:tcPr>
            <w:tcW w:w="1097" w:type="dxa"/>
            <w:noWrap/>
            <w:vAlign w:val="bottom"/>
            <w:hideMark/>
          </w:tcPr>
          <w:p w14:paraId="791274E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541B949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D7B99BB" w14:textId="77777777" w:rsidTr="008B7C11">
        <w:trPr>
          <w:trHeight w:val="600"/>
        </w:trPr>
        <w:tc>
          <w:tcPr>
            <w:tcW w:w="958" w:type="dxa"/>
            <w:noWrap/>
            <w:vAlign w:val="center"/>
            <w:hideMark/>
          </w:tcPr>
          <w:p w14:paraId="66D93C8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223</w:t>
            </w:r>
          </w:p>
        </w:tc>
        <w:tc>
          <w:tcPr>
            <w:tcW w:w="1718" w:type="dxa"/>
            <w:noWrap/>
            <w:vAlign w:val="bottom"/>
            <w:hideMark/>
          </w:tcPr>
          <w:p w14:paraId="36F52CD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76C512D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P-198-17</w:t>
            </w:r>
          </w:p>
        </w:tc>
        <w:tc>
          <w:tcPr>
            <w:tcW w:w="1097" w:type="dxa"/>
            <w:noWrap/>
            <w:vAlign w:val="bottom"/>
            <w:hideMark/>
          </w:tcPr>
          <w:p w14:paraId="01715FF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757B125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C733342" w14:textId="77777777" w:rsidTr="008B7C11">
        <w:trPr>
          <w:trHeight w:val="600"/>
        </w:trPr>
        <w:tc>
          <w:tcPr>
            <w:tcW w:w="958" w:type="dxa"/>
            <w:noWrap/>
            <w:vAlign w:val="center"/>
            <w:hideMark/>
          </w:tcPr>
          <w:p w14:paraId="59C55F3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224</w:t>
            </w:r>
          </w:p>
        </w:tc>
        <w:tc>
          <w:tcPr>
            <w:tcW w:w="1718" w:type="dxa"/>
            <w:noWrap/>
            <w:vAlign w:val="bottom"/>
            <w:hideMark/>
          </w:tcPr>
          <w:p w14:paraId="03E1C6D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79649D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P-1900-17</w:t>
            </w:r>
          </w:p>
        </w:tc>
        <w:tc>
          <w:tcPr>
            <w:tcW w:w="1097" w:type="dxa"/>
            <w:noWrap/>
            <w:vAlign w:val="bottom"/>
            <w:hideMark/>
          </w:tcPr>
          <w:p w14:paraId="2B9AF91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7352041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6981068" w14:textId="77777777" w:rsidTr="008B7C11">
        <w:trPr>
          <w:trHeight w:val="600"/>
        </w:trPr>
        <w:tc>
          <w:tcPr>
            <w:tcW w:w="958" w:type="dxa"/>
            <w:noWrap/>
            <w:vAlign w:val="center"/>
            <w:hideMark/>
          </w:tcPr>
          <w:p w14:paraId="5A82233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225</w:t>
            </w:r>
          </w:p>
        </w:tc>
        <w:tc>
          <w:tcPr>
            <w:tcW w:w="1718" w:type="dxa"/>
            <w:noWrap/>
            <w:vAlign w:val="bottom"/>
            <w:hideMark/>
          </w:tcPr>
          <w:p w14:paraId="4D8F118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4A092F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P-863-17</w:t>
            </w:r>
          </w:p>
        </w:tc>
        <w:tc>
          <w:tcPr>
            <w:tcW w:w="1097" w:type="dxa"/>
            <w:noWrap/>
            <w:vAlign w:val="bottom"/>
            <w:hideMark/>
          </w:tcPr>
          <w:p w14:paraId="1F3280D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6F85AF0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AAB1B63" w14:textId="77777777" w:rsidTr="008B7C11">
        <w:trPr>
          <w:trHeight w:val="600"/>
        </w:trPr>
        <w:tc>
          <w:tcPr>
            <w:tcW w:w="958" w:type="dxa"/>
            <w:noWrap/>
            <w:vAlign w:val="center"/>
            <w:hideMark/>
          </w:tcPr>
          <w:p w14:paraId="42BA4B9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226</w:t>
            </w:r>
          </w:p>
        </w:tc>
        <w:tc>
          <w:tcPr>
            <w:tcW w:w="1718" w:type="dxa"/>
            <w:noWrap/>
            <w:vAlign w:val="bottom"/>
            <w:hideMark/>
          </w:tcPr>
          <w:p w14:paraId="7FF373D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39AEF21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P-595-17</w:t>
            </w:r>
          </w:p>
        </w:tc>
        <w:tc>
          <w:tcPr>
            <w:tcW w:w="1097" w:type="dxa"/>
            <w:noWrap/>
            <w:vAlign w:val="bottom"/>
            <w:hideMark/>
          </w:tcPr>
          <w:p w14:paraId="078A3C3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5D33E37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46EFEEF" w14:textId="77777777" w:rsidTr="008B7C11">
        <w:trPr>
          <w:trHeight w:val="600"/>
        </w:trPr>
        <w:tc>
          <w:tcPr>
            <w:tcW w:w="958" w:type="dxa"/>
            <w:noWrap/>
            <w:vAlign w:val="center"/>
            <w:hideMark/>
          </w:tcPr>
          <w:p w14:paraId="01466AC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227</w:t>
            </w:r>
          </w:p>
        </w:tc>
        <w:tc>
          <w:tcPr>
            <w:tcW w:w="1718" w:type="dxa"/>
            <w:noWrap/>
            <w:vAlign w:val="bottom"/>
            <w:hideMark/>
          </w:tcPr>
          <w:p w14:paraId="057BF90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00DC1D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P-334-16</w:t>
            </w:r>
          </w:p>
        </w:tc>
        <w:tc>
          <w:tcPr>
            <w:tcW w:w="1097" w:type="dxa"/>
            <w:noWrap/>
            <w:vAlign w:val="bottom"/>
            <w:hideMark/>
          </w:tcPr>
          <w:p w14:paraId="2AD10AF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309F258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8ECE523" w14:textId="77777777" w:rsidTr="008B7C11">
        <w:trPr>
          <w:trHeight w:val="600"/>
        </w:trPr>
        <w:tc>
          <w:tcPr>
            <w:tcW w:w="958" w:type="dxa"/>
            <w:noWrap/>
            <w:vAlign w:val="center"/>
            <w:hideMark/>
          </w:tcPr>
          <w:p w14:paraId="113709B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228</w:t>
            </w:r>
          </w:p>
        </w:tc>
        <w:tc>
          <w:tcPr>
            <w:tcW w:w="1718" w:type="dxa"/>
            <w:noWrap/>
            <w:vAlign w:val="bottom"/>
            <w:hideMark/>
          </w:tcPr>
          <w:p w14:paraId="077B903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2A592BD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P-2346-17</w:t>
            </w:r>
          </w:p>
        </w:tc>
        <w:tc>
          <w:tcPr>
            <w:tcW w:w="1097" w:type="dxa"/>
            <w:noWrap/>
            <w:vAlign w:val="bottom"/>
            <w:hideMark/>
          </w:tcPr>
          <w:p w14:paraId="39F362A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491C2CB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C8531E3" w14:textId="77777777" w:rsidTr="008B7C11">
        <w:trPr>
          <w:trHeight w:val="600"/>
        </w:trPr>
        <w:tc>
          <w:tcPr>
            <w:tcW w:w="958" w:type="dxa"/>
            <w:noWrap/>
            <w:vAlign w:val="center"/>
            <w:hideMark/>
          </w:tcPr>
          <w:p w14:paraId="131F5C7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229</w:t>
            </w:r>
          </w:p>
        </w:tc>
        <w:tc>
          <w:tcPr>
            <w:tcW w:w="1718" w:type="dxa"/>
            <w:noWrap/>
            <w:vAlign w:val="bottom"/>
            <w:hideMark/>
          </w:tcPr>
          <w:p w14:paraId="3529FDA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26F55FD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P-2355-17</w:t>
            </w:r>
          </w:p>
        </w:tc>
        <w:tc>
          <w:tcPr>
            <w:tcW w:w="1097" w:type="dxa"/>
            <w:noWrap/>
            <w:vAlign w:val="bottom"/>
            <w:hideMark/>
          </w:tcPr>
          <w:p w14:paraId="2E698E7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228B7E9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1FA94B8" w14:textId="77777777" w:rsidTr="008B7C11">
        <w:trPr>
          <w:trHeight w:val="600"/>
        </w:trPr>
        <w:tc>
          <w:tcPr>
            <w:tcW w:w="958" w:type="dxa"/>
            <w:noWrap/>
            <w:vAlign w:val="center"/>
            <w:hideMark/>
          </w:tcPr>
          <w:p w14:paraId="7CD7BE0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230</w:t>
            </w:r>
          </w:p>
        </w:tc>
        <w:tc>
          <w:tcPr>
            <w:tcW w:w="1718" w:type="dxa"/>
            <w:noWrap/>
            <w:vAlign w:val="bottom"/>
            <w:hideMark/>
          </w:tcPr>
          <w:p w14:paraId="7BA240A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1A980BC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P-731-17</w:t>
            </w:r>
          </w:p>
        </w:tc>
        <w:tc>
          <w:tcPr>
            <w:tcW w:w="1097" w:type="dxa"/>
            <w:noWrap/>
            <w:vAlign w:val="bottom"/>
            <w:hideMark/>
          </w:tcPr>
          <w:p w14:paraId="5608D6E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2C28BD8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DF35EB0" w14:textId="77777777" w:rsidTr="008B7C11">
        <w:trPr>
          <w:trHeight w:val="600"/>
        </w:trPr>
        <w:tc>
          <w:tcPr>
            <w:tcW w:w="958" w:type="dxa"/>
            <w:noWrap/>
            <w:vAlign w:val="center"/>
            <w:hideMark/>
          </w:tcPr>
          <w:p w14:paraId="752819A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231</w:t>
            </w:r>
          </w:p>
        </w:tc>
        <w:tc>
          <w:tcPr>
            <w:tcW w:w="1718" w:type="dxa"/>
            <w:noWrap/>
            <w:vAlign w:val="bottom"/>
            <w:hideMark/>
          </w:tcPr>
          <w:p w14:paraId="1E6E02F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7D73FCE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P-20-17</w:t>
            </w:r>
          </w:p>
        </w:tc>
        <w:tc>
          <w:tcPr>
            <w:tcW w:w="1097" w:type="dxa"/>
            <w:noWrap/>
            <w:vAlign w:val="bottom"/>
            <w:hideMark/>
          </w:tcPr>
          <w:p w14:paraId="65BA98A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427E9A5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6D58B4E" w14:textId="77777777" w:rsidTr="008B7C11">
        <w:trPr>
          <w:trHeight w:val="600"/>
        </w:trPr>
        <w:tc>
          <w:tcPr>
            <w:tcW w:w="958" w:type="dxa"/>
            <w:noWrap/>
            <w:vAlign w:val="center"/>
            <w:hideMark/>
          </w:tcPr>
          <w:p w14:paraId="4C84351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232</w:t>
            </w:r>
          </w:p>
        </w:tc>
        <w:tc>
          <w:tcPr>
            <w:tcW w:w="1718" w:type="dxa"/>
            <w:noWrap/>
            <w:vAlign w:val="bottom"/>
            <w:hideMark/>
          </w:tcPr>
          <w:p w14:paraId="06F4B0A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742AE57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P-796-16</w:t>
            </w:r>
          </w:p>
        </w:tc>
        <w:tc>
          <w:tcPr>
            <w:tcW w:w="1097" w:type="dxa"/>
            <w:noWrap/>
            <w:vAlign w:val="bottom"/>
            <w:hideMark/>
          </w:tcPr>
          <w:p w14:paraId="2CB0FEE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1D3008F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EE98ADB" w14:textId="77777777" w:rsidTr="008B7C11">
        <w:trPr>
          <w:trHeight w:val="600"/>
        </w:trPr>
        <w:tc>
          <w:tcPr>
            <w:tcW w:w="958" w:type="dxa"/>
            <w:noWrap/>
            <w:vAlign w:val="center"/>
            <w:hideMark/>
          </w:tcPr>
          <w:p w14:paraId="594E0E6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233</w:t>
            </w:r>
          </w:p>
        </w:tc>
        <w:tc>
          <w:tcPr>
            <w:tcW w:w="1718" w:type="dxa"/>
            <w:noWrap/>
            <w:vAlign w:val="bottom"/>
            <w:hideMark/>
          </w:tcPr>
          <w:p w14:paraId="228C0BF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71B3EE8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P-2118-16</w:t>
            </w:r>
          </w:p>
        </w:tc>
        <w:tc>
          <w:tcPr>
            <w:tcW w:w="1097" w:type="dxa"/>
            <w:noWrap/>
            <w:vAlign w:val="bottom"/>
            <w:hideMark/>
          </w:tcPr>
          <w:p w14:paraId="1ED37FA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32D5CB6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BDCC3EA" w14:textId="77777777" w:rsidTr="008B7C11">
        <w:trPr>
          <w:trHeight w:val="600"/>
        </w:trPr>
        <w:tc>
          <w:tcPr>
            <w:tcW w:w="958" w:type="dxa"/>
            <w:noWrap/>
            <w:vAlign w:val="center"/>
            <w:hideMark/>
          </w:tcPr>
          <w:p w14:paraId="7080DC3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234</w:t>
            </w:r>
          </w:p>
        </w:tc>
        <w:tc>
          <w:tcPr>
            <w:tcW w:w="1718" w:type="dxa"/>
            <w:noWrap/>
            <w:vAlign w:val="bottom"/>
            <w:hideMark/>
          </w:tcPr>
          <w:p w14:paraId="1A8DBA1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4A2A065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P-1092-17</w:t>
            </w:r>
          </w:p>
        </w:tc>
        <w:tc>
          <w:tcPr>
            <w:tcW w:w="1097" w:type="dxa"/>
            <w:noWrap/>
            <w:vAlign w:val="bottom"/>
            <w:hideMark/>
          </w:tcPr>
          <w:p w14:paraId="4940F6B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5C469C0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1AD0415" w14:textId="77777777" w:rsidTr="008B7C11">
        <w:trPr>
          <w:trHeight w:val="600"/>
        </w:trPr>
        <w:tc>
          <w:tcPr>
            <w:tcW w:w="958" w:type="dxa"/>
            <w:noWrap/>
            <w:vAlign w:val="center"/>
            <w:hideMark/>
          </w:tcPr>
          <w:p w14:paraId="7F5495C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235</w:t>
            </w:r>
          </w:p>
        </w:tc>
        <w:tc>
          <w:tcPr>
            <w:tcW w:w="1718" w:type="dxa"/>
            <w:noWrap/>
            <w:vAlign w:val="bottom"/>
            <w:hideMark/>
          </w:tcPr>
          <w:p w14:paraId="6B033F8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76A9BDB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P-2280-16</w:t>
            </w:r>
          </w:p>
        </w:tc>
        <w:tc>
          <w:tcPr>
            <w:tcW w:w="1097" w:type="dxa"/>
            <w:noWrap/>
            <w:vAlign w:val="bottom"/>
            <w:hideMark/>
          </w:tcPr>
          <w:p w14:paraId="68DF156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5145E69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6A1018B" w14:textId="77777777" w:rsidTr="008B7C11">
        <w:trPr>
          <w:trHeight w:val="600"/>
        </w:trPr>
        <w:tc>
          <w:tcPr>
            <w:tcW w:w="958" w:type="dxa"/>
            <w:noWrap/>
            <w:vAlign w:val="center"/>
            <w:hideMark/>
          </w:tcPr>
          <w:p w14:paraId="6582547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236</w:t>
            </w:r>
          </w:p>
        </w:tc>
        <w:tc>
          <w:tcPr>
            <w:tcW w:w="1718" w:type="dxa"/>
            <w:noWrap/>
            <w:vAlign w:val="bottom"/>
            <w:hideMark/>
          </w:tcPr>
          <w:p w14:paraId="53EE89C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129A65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P-1574-17</w:t>
            </w:r>
          </w:p>
        </w:tc>
        <w:tc>
          <w:tcPr>
            <w:tcW w:w="1097" w:type="dxa"/>
            <w:noWrap/>
            <w:vAlign w:val="bottom"/>
            <w:hideMark/>
          </w:tcPr>
          <w:p w14:paraId="35E0014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6D9E8D5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46CCF4C" w14:textId="77777777" w:rsidTr="008B7C11">
        <w:trPr>
          <w:trHeight w:val="600"/>
        </w:trPr>
        <w:tc>
          <w:tcPr>
            <w:tcW w:w="958" w:type="dxa"/>
            <w:noWrap/>
            <w:vAlign w:val="center"/>
            <w:hideMark/>
          </w:tcPr>
          <w:p w14:paraId="19C5218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237</w:t>
            </w:r>
          </w:p>
        </w:tc>
        <w:tc>
          <w:tcPr>
            <w:tcW w:w="1718" w:type="dxa"/>
            <w:noWrap/>
            <w:vAlign w:val="bottom"/>
            <w:hideMark/>
          </w:tcPr>
          <w:p w14:paraId="3AA38DB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2F8040E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P-1846-17</w:t>
            </w:r>
          </w:p>
        </w:tc>
        <w:tc>
          <w:tcPr>
            <w:tcW w:w="1097" w:type="dxa"/>
            <w:noWrap/>
            <w:vAlign w:val="bottom"/>
            <w:hideMark/>
          </w:tcPr>
          <w:p w14:paraId="6646CA3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44C77F5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546D7D9" w14:textId="77777777" w:rsidTr="008B7C11">
        <w:trPr>
          <w:trHeight w:val="600"/>
        </w:trPr>
        <w:tc>
          <w:tcPr>
            <w:tcW w:w="958" w:type="dxa"/>
            <w:noWrap/>
            <w:vAlign w:val="center"/>
            <w:hideMark/>
          </w:tcPr>
          <w:p w14:paraId="4D59744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238</w:t>
            </w:r>
          </w:p>
        </w:tc>
        <w:tc>
          <w:tcPr>
            <w:tcW w:w="1718" w:type="dxa"/>
            <w:noWrap/>
            <w:vAlign w:val="bottom"/>
            <w:hideMark/>
          </w:tcPr>
          <w:p w14:paraId="7BCE56D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35E6D69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P-970-17</w:t>
            </w:r>
          </w:p>
        </w:tc>
        <w:tc>
          <w:tcPr>
            <w:tcW w:w="1097" w:type="dxa"/>
            <w:noWrap/>
            <w:vAlign w:val="bottom"/>
            <w:hideMark/>
          </w:tcPr>
          <w:p w14:paraId="73C3402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2482496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54930AA" w14:textId="77777777" w:rsidTr="008B7C11">
        <w:trPr>
          <w:trHeight w:val="600"/>
        </w:trPr>
        <w:tc>
          <w:tcPr>
            <w:tcW w:w="958" w:type="dxa"/>
            <w:noWrap/>
            <w:vAlign w:val="center"/>
            <w:hideMark/>
          </w:tcPr>
          <w:p w14:paraId="79D37B1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239</w:t>
            </w:r>
          </w:p>
        </w:tc>
        <w:tc>
          <w:tcPr>
            <w:tcW w:w="1718" w:type="dxa"/>
            <w:noWrap/>
            <w:vAlign w:val="bottom"/>
            <w:hideMark/>
          </w:tcPr>
          <w:p w14:paraId="41262AB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7040ECE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P-2090-17</w:t>
            </w:r>
          </w:p>
        </w:tc>
        <w:tc>
          <w:tcPr>
            <w:tcW w:w="1097" w:type="dxa"/>
            <w:noWrap/>
            <w:vAlign w:val="bottom"/>
            <w:hideMark/>
          </w:tcPr>
          <w:p w14:paraId="05CDCFB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43A53E0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F5E02CA" w14:textId="77777777" w:rsidTr="008B7C11">
        <w:trPr>
          <w:trHeight w:val="600"/>
        </w:trPr>
        <w:tc>
          <w:tcPr>
            <w:tcW w:w="958" w:type="dxa"/>
            <w:noWrap/>
            <w:vAlign w:val="center"/>
            <w:hideMark/>
          </w:tcPr>
          <w:p w14:paraId="53DCC45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240</w:t>
            </w:r>
          </w:p>
        </w:tc>
        <w:tc>
          <w:tcPr>
            <w:tcW w:w="1718" w:type="dxa"/>
            <w:noWrap/>
            <w:vAlign w:val="bottom"/>
            <w:hideMark/>
          </w:tcPr>
          <w:p w14:paraId="576554F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657937E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P-669-16</w:t>
            </w:r>
          </w:p>
        </w:tc>
        <w:tc>
          <w:tcPr>
            <w:tcW w:w="1097" w:type="dxa"/>
            <w:noWrap/>
            <w:vAlign w:val="bottom"/>
            <w:hideMark/>
          </w:tcPr>
          <w:p w14:paraId="7662B79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442AF74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6CF30A9" w14:textId="77777777" w:rsidTr="008B7C11">
        <w:trPr>
          <w:trHeight w:val="600"/>
        </w:trPr>
        <w:tc>
          <w:tcPr>
            <w:tcW w:w="958" w:type="dxa"/>
            <w:noWrap/>
            <w:vAlign w:val="center"/>
            <w:hideMark/>
          </w:tcPr>
          <w:p w14:paraId="149DD39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241</w:t>
            </w:r>
          </w:p>
        </w:tc>
        <w:tc>
          <w:tcPr>
            <w:tcW w:w="1718" w:type="dxa"/>
            <w:noWrap/>
            <w:vAlign w:val="bottom"/>
            <w:hideMark/>
          </w:tcPr>
          <w:p w14:paraId="05CB9B1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6F0929D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P-1634-16</w:t>
            </w:r>
          </w:p>
        </w:tc>
        <w:tc>
          <w:tcPr>
            <w:tcW w:w="1097" w:type="dxa"/>
            <w:noWrap/>
            <w:vAlign w:val="bottom"/>
            <w:hideMark/>
          </w:tcPr>
          <w:p w14:paraId="4D96828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22197CA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99EFDB8" w14:textId="77777777" w:rsidTr="008B7C11">
        <w:trPr>
          <w:trHeight w:val="600"/>
        </w:trPr>
        <w:tc>
          <w:tcPr>
            <w:tcW w:w="958" w:type="dxa"/>
            <w:noWrap/>
            <w:vAlign w:val="center"/>
            <w:hideMark/>
          </w:tcPr>
          <w:p w14:paraId="158AAD1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242</w:t>
            </w:r>
          </w:p>
        </w:tc>
        <w:tc>
          <w:tcPr>
            <w:tcW w:w="1718" w:type="dxa"/>
            <w:noWrap/>
            <w:vAlign w:val="bottom"/>
            <w:hideMark/>
          </w:tcPr>
          <w:p w14:paraId="04203D0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63D2FDC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P-1096-15</w:t>
            </w:r>
          </w:p>
        </w:tc>
        <w:tc>
          <w:tcPr>
            <w:tcW w:w="1097" w:type="dxa"/>
            <w:noWrap/>
            <w:vAlign w:val="bottom"/>
            <w:hideMark/>
          </w:tcPr>
          <w:p w14:paraId="305F98C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5E742AE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F8F9848" w14:textId="77777777" w:rsidTr="008B7C11">
        <w:trPr>
          <w:trHeight w:val="600"/>
        </w:trPr>
        <w:tc>
          <w:tcPr>
            <w:tcW w:w="958" w:type="dxa"/>
            <w:noWrap/>
            <w:vAlign w:val="center"/>
            <w:hideMark/>
          </w:tcPr>
          <w:p w14:paraId="537843D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243</w:t>
            </w:r>
          </w:p>
        </w:tc>
        <w:tc>
          <w:tcPr>
            <w:tcW w:w="1718" w:type="dxa"/>
            <w:noWrap/>
            <w:vAlign w:val="bottom"/>
            <w:hideMark/>
          </w:tcPr>
          <w:p w14:paraId="47CFCB0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9AC944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P-671-16</w:t>
            </w:r>
          </w:p>
        </w:tc>
        <w:tc>
          <w:tcPr>
            <w:tcW w:w="1097" w:type="dxa"/>
            <w:noWrap/>
            <w:vAlign w:val="bottom"/>
            <w:hideMark/>
          </w:tcPr>
          <w:p w14:paraId="3CC20FC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7BE371B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ED79306" w14:textId="77777777" w:rsidTr="008B7C11">
        <w:trPr>
          <w:trHeight w:val="600"/>
        </w:trPr>
        <w:tc>
          <w:tcPr>
            <w:tcW w:w="958" w:type="dxa"/>
            <w:noWrap/>
            <w:vAlign w:val="center"/>
            <w:hideMark/>
          </w:tcPr>
          <w:p w14:paraId="22D1F19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244</w:t>
            </w:r>
          </w:p>
        </w:tc>
        <w:tc>
          <w:tcPr>
            <w:tcW w:w="1718" w:type="dxa"/>
            <w:noWrap/>
            <w:vAlign w:val="bottom"/>
            <w:hideMark/>
          </w:tcPr>
          <w:p w14:paraId="6B2D720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497DAB9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P-1078-15</w:t>
            </w:r>
          </w:p>
        </w:tc>
        <w:tc>
          <w:tcPr>
            <w:tcW w:w="1097" w:type="dxa"/>
            <w:noWrap/>
            <w:vAlign w:val="bottom"/>
            <w:hideMark/>
          </w:tcPr>
          <w:p w14:paraId="752CFA0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5981AD0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054DD40" w14:textId="77777777" w:rsidTr="008B7C11">
        <w:trPr>
          <w:trHeight w:val="600"/>
        </w:trPr>
        <w:tc>
          <w:tcPr>
            <w:tcW w:w="958" w:type="dxa"/>
            <w:noWrap/>
            <w:vAlign w:val="center"/>
            <w:hideMark/>
          </w:tcPr>
          <w:p w14:paraId="0F3030D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245</w:t>
            </w:r>
          </w:p>
        </w:tc>
        <w:tc>
          <w:tcPr>
            <w:tcW w:w="1718" w:type="dxa"/>
            <w:noWrap/>
            <w:vAlign w:val="bottom"/>
            <w:hideMark/>
          </w:tcPr>
          <w:p w14:paraId="46CE4B8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7335107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P-571-16</w:t>
            </w:r>
          </w:p>
        </w:tc>
        <w:tc>
          <w:tcPr>
            <w:tcW w:w="1097" w:type="dxa"/>
            <w:noWrap/>
            <w:vAlign w:val="bottom"/>
            <w:hideMark/>
          </w:tcPr>
          <w:p w14:paraId="55C5F14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25C5623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1D08F8F" w14:textId="77777777" w:rsidTr="008B7C11">
        <w:trPr>
          <w:trHeight w:val="600"/>
        </w:trPr>
        <w:tc>
          <w:tcPr>
            <w:tcW w:w="958" w:type="dxa"/>
            <w:noWrap/>
            <w:vAlign w:val="center"/>
            <w:hideMark/>
          </w:tcPr>
          <w:p w14:paraId="72B8A5D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246</w:t>
            </w:r>
          </w:p>
        </w:tc>
        <w:tc>
          <w:tcPr>
            <w:tcW w:w="1718" w:type="dxa"/>
            <w:noWrap/>
            <w:vAlign w:val="bottom"/>
            <w:hideMark/>
          </w:tcPr>
          <w:p w14:paraId="30BFB8F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4626F57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P-1512-17</w:t>
            </w:r>
          </w:p>
        </w:tc>
        <w:tc>
          <w:tcPr>
            <w:tcW w:w="1097" w:type="dxa"/>
            <w:noWrap/>
            <w:vAlign w:val="bottom"/>
            <w:hideMark/>
          </w:tcPr>
          <w:p w14:paraId="5FA33F4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14C056D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AAABA03" w14:textId="77777777" w:rsidTr="008B7C11">
        <w:trPr>
          <w:trHeight w:val="600"/>
        </w:trPr>
        <w:tc>
          <w:tcPr>
            <w:tcW w:w="958" w:type="dxa"/>
            <w:noWrap/>
            <w:vAlign w:val="center"/>
            <w:hideMark/>
          </w:tcPr>
          <w:p w14:paraId="29203AC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247</w:t>
            </w:r>
          </w:p>
        </w:tc>
        <w:tc>
          <w:tcPr>
            <w:tcW w:w="1718" w:type="dxa"/>
            <w:noWrap/>
            <w:vAlign w:val="bottom"/>
            <w:hideMark/>
          </w:tcPr>
          <w:p w14:paraId="547C290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3A3FD77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P-1216-17</w:t>
            </w:r>
          </w:p>
        </w:tc>
        <w:tc>
          <w:tcPr>
            <w:tcW w:w="1097" w:type="dxa"/>
            <w:noWrap/>
            <w:vAlign w:val="bottom"/>
            <w:hideMark/>
          </w:tcPr>
          <w:p w14:paraId="3E3A318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598B939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E47B09F" w14:textId="77777777" w:rsidTr="008B7C11">
        <w:trPr>
          <w:trHeight w:val="600"/>
        </w:trPr>
        <w:tc>
          <w:tcPr>
            <w:tcW w:w="958" w:type="dxa"/>
            <w:noWrap/>
            <w:vAlign w:val="center"/>
            <w:hideMark/>
          </w:tcPr>
          <w:p w14:paraId="62AEE5F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248</w:t>
            </w:r>
          </w:p>
        </w:tc>
        <w:tc>
          <w:tcPr>
            <w:tcW w:w="1718" w:type="dxa"/>
            <w:noWrap/>
            <w:vAlign w:val="bottom"/>
            <w:hideMark/>
          </w:tcPr>
          <w:p w14:paraId="6AB955F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63242D7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P-309-17</w:t>
            </w:r>
          </w:p>
        </w:tc>
        <w:tc>
          <w:tcPr>
            <w:tcW w:w="1097" w:type="dxa"/>
            <w:noWrap/>
            <w:vAlign w:val="bottom"/>
            <w:hideMark/>
          </w:tcPr>
          <w:p w14:paraId="7DF0F94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209925B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5D6C583" w14:textId="77777777" w:rsidTr="008B7C11">
        <w:trPr>
          <w:trHeight w:val="600"/>
        </w:trPr>
        <w:tc>
          <w:tcPr>
            <w:tcW w:w="958" w:type="dxa"/>
            <w:noWrap/>
            <w:vAlign w:val="center"/>
            <w:hideMark/>
          </w:tcPr>
          <w:p w14:paraId="0F4F9BE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249</w:t>
            </w:r>
          </w:p>
        </w:tc>
        <w:tc>
          <w:tcPr>
            <w:tcW w:w="1718" w:type="dxa"/>
            <w:noWrap/>
            <w:vAlign w:val="bottom"/>
            <w:hideMark/>
          </w:tcPr>
          <w:p w14:paraId="7C1BD19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5244794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P-1307-17</w:t>
            </w:r>
          </w:p>
        </w:tc>
        <w:tc>
          <w:tcPr>
            <w:tcW w:w="1097" w:type="dxa"/>
            <w:noWrap/>
            <w:vAlign w:val="bottom"/>
            <w:hideMark/>
          </w:tcPr>
          <w:p w14:paraId="27EE6B1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08F55A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B652B3F" w14:textId="77777777" w:rsidTr="008B7C11">
        <w:trPr>
          <w:trHeight w:val="600"/>
        </w:trPr>
        <w:tc>
          <w:tcPr>
            <w:tcW w:w="958" w:type="dxa"/>
            <w:noWrap/>
            <w:vAlign w:val="center"/>
            <w:hideMark/>
          </w:tcPr>
          <w:p w14:paraId="6B63E92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250</w:t>
            </w:r>
          </w:p>
        </w:tc>
        <w:tc>
          <w:tcPr>
            <w:tcW w:w="1718" w:type="dxa"/>
            <w:noWrap/>
            <w:vAlign w:val="bottom"/>
            <w:hideMark/>
          </w:tcPr>
          <w:p w14:paraId="72F3D20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ECDEF0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P-1306-17</w:t>
            </w:r>
          </w:p>
        </w:tc>
        <w:tc>
          <w:tcPr>
            <w:tcW w:w="1097" w:type="dxa"/>
            <w:noWrap/>
            <w:vAlign w:val="bottom"/>
            <w:hideMark/>
          </w:tcPr>
          <w:p w14:paraId="0D56A85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50850D8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D5EE3A3" w14:textId="77777777" w:rsidTr="008B7C11">
        <w:trPr>
          <w:trHeight w:val="600"/>
        </w:trPr>
        <w:tc>
          <w:tcPr>
            <w:tcW w:w="958" w:type="dxa"/>
            <w:noWrap/>
            <w:vAlign w:val="center"/>
            <w:hideMark/>
          </w:tcPr>
          <w:p w14:paraId="1338C7A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251</w:t>
            </w:r>
          </w:p>
        </w:tc>
        <w:tc>
          <w:tcPr>
            <w:tcW w:w="1718" w:type="dxa"/>
            <w:noWrap/>
            <w:vAlign w:val="bottom"/>
            <w:hideMark/>
          </w:tcPr>
          <w:p w14:paraId="044F711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76B22DA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P-1101-16</w:t>
            </w:r>
          </w:p>
        </w:tc>
        <w:tc>
          <w:tcPr>
            <w:tcW w:w="1097" w:type="dxa"/>
            <w:noWrap/>
            <w:vAlign w:val="bottom"/>
            <w:hideMark/>
          </w:tcPr>
          <w:p w14:paraId="2C8E8FF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74362CB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E082ECD" w14:textId="77777777" w:rsidTr="008B7C11">
        <w:trPr>
          <w:trHeight w:val="600"/>
        </w:trPr>
        <w:tc>
          <w:tcPr>
            <w:tcW w:w="958" w:type="dxa"/>
            <w:noWrap/>
            <w:vAlign w:val="center"/>
            <w:hideMark/>
          </w:tcPr>
          <w:p w14:paraId="1C4FDF0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252</w:t>
            </w:r>
          </w:p>
        </w:tc>
        <w:tc>
          <w:tcPr>
            <w:tcW w:w="1718" w:type="dxa"/>
            <w:noWrap/>
            <w:vAlign w:val="bottom"/>
            <w:hideMark/>
          </w:tcPr>
          <w:p w14:paraId="3F2BB7D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B391BC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P-924-15</w:t>
            </w:r>
          </w:p>
        </w:tc>
        <w:tc>
          <w:tcPr>
            <w:tcW w:w="1097" w:type="dxa"/>
            <w:noWrap/>
            <w:vAlign w:val="bottom"/>
            <w:hideMark/>
          </w:tcPr>
          <w:p w14:paraId="28EABB1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5018447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CC938F9" w14:textId="77777777" w:rsidTr="008B7C11">
        <w:trPr>
          <w:trHeight w:val="600"/>
        </w:trPr>
        <w:tc>
          <w:tcPr>
            <w:tcW w:w="958" w:type="dxa"/>
            <w:noWrap/>
            <w:vAlign w:val="center"/>
            <w:hideMark/>
          </w:tcPr>
          <w:p w14:paraId="2AF83B9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253</w:t>
            </w:r>
          </w:p>
        </w:tc>
        <w:tc>
          <w:tcPr>
            <w:tcW w:w="1718" w:type="dxa"/>
            <w:noWrap/>
            <w:vAlign w:val="bottom"/>
            <w:hideMark/>
          </w:tcPr>
          <w:p w14:paraId="10124CB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2916124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P-490-18</w:t>
            </w:r>
          </w:p>
        </w:tc>
        <w:tc>
          <w:tcPr>
            <w:tcW w:w="1097" w:type="dxa"/>
            <w:noWrap/>
            <w:vAlign w:val="bottom"/>
            <w:hideMark/>
          </w:tcPr>
          <w:p w14:paraId="4EC7E2B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18</w:t>
            </w:r>
          </w:p>
        </w:tc>
        <w:tc>
          <w:tcPr>
            <w:tcW w:w="2600" w:type="dxa"/>
            <w:vAlign w:val="center"/>
            <w:hideMark/>
          </w:tcPr>
          <w:p w14:paraId="6550834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AB3B70E" w14:textId="77777777" w:rsidTr="008B7C11">
        <w:trPr>
          <w:trHeight w:val="600"/>
        </w:trPr>
        <w:tc>
          <w:tcPr>
            <w:tcW w:w="958" w:type="dxa"/>
            <w:noWrap/>
            <w:vAlign w:val="center"/>
            <w:hideMark/>
          </w:tcPr>
          <w:p w14:paraId="2E9B7DC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254</w:t>
            </w:r>
          </w:p>
        </w:tc>
        <w:tc>
          <w:tcPr>
            <w:tcW w:w="1718" w:type="dxa"/>
            <w:noWrap/>
            <w:vAlign w:val="bottom"/>
            <w:hideMark/>
          </w:tcPr>
          <w:p w14:paraId="1E35F70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1753251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P-1020-18</w:t>
            </w:r>
          </w:p>
        </w:tc>
        <w:tc>
          <w:tcPr>
            <w:tcW w:w="1097" w:type="dxa"/>
            <w:noWrap/>
            <w:vAlign w:val="bottom"/>
            <w:hideMark/>
          </w:tcPr>
          <w:p w14:paraId="6BC35AE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18</w:t>
            </w:r>
          </w:p>
        </w:tc>
        <w:tc>
          <w:tcPr>
            <w:tcW w:w="2600" w:type="dxa"/>
            <w:vAlign w:val="center"/>
            <w:hideMark/>
          </w:tcPr>
          <w:p w14:paraId="4083C89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9C68DA8" w14:textId="77777777" w:rsidTr="008B7C11">
        <w:trPr>
          <w:trHeight w:val="600"/>
        </w:trPr>
        <w:tc>
          <w:tcPr>
            <w:tcW w:w="958" w:type="dxa"/>
            <w:noWrap/>
            <w:vAlign w:val="center"/>
            <w:hideMark/>
          </w:tcPr>
          <w:p w14:paraId="7B82584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255</w:t>
            </w:r>
          </w:p>
        </w:tc>
        <w:tc>
          <w:tcPr>
            <w:tcW w:w="1718" w:type="dxa"/>
            <w:noWrap/>
            <w:vAlign w:val="bottom"/>
            <w:hideMark/>
          </w:tcPr>
          <w:p w14:paraId="5281342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41BA4AA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P-1878-16</w:t>
            </w:r>
          </w:p>
        </w:tc>
        <w:tc>
          <w:tcPr>
            <w:tcW w:w="1097" w:type="dxa"/>
            <w:noWrap/>
            <w:vAlign w:val="bottom"/>
            <w:hideMark/>
          </w:tcPr>
          <w:p w14:paraId="22CDDE8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4EDDB07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B233D65" w14:textId="77777777" w:rsidTr="008B7C11">
        <w:trPr>
          <w:trHeight w:val="600"/>
        </w:trPr>
        <w:tc>
          <w:tcPr>
            <w:tcW w:w="958" w:type="dxa"/>
            <w:noWrap/>
            <w:vAlign w:val="center"/>
            <w:hideMark/>
          </w:tcPr>
          <w:p w14:paraId="41353F1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256</w:t>
            </w:r>
          </w:p>
        </w:tc>
        <w:tc>
          <w:tcPr>
            <w:tcW w:w="1718" w:type="dxa"/>
            <w:noWrap/>
            <w:vAlign w:val="bottom"/>
            <w:hideMark/>
          </w:tcPr>
          <w:p w14:paraId="32C360F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C6C330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P-1458-14</w:t>
            </w:r>
          </w:p>
        </w:tc>
        <w:tc>
          <w:tcPr>
            <w:tcW w:w="1097" w:type="dxa"/>
            <w:noWrap/>
            <w:vAlign w:val="bottom"/>
            <w:hideMark/>
          </w:tcPr>
          <w:p w14:paraId="2DEF90E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5A97C31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E52FE69" w14:textId="77777777" w:rsidTr="008B7C11">
        <w:trPr>
          <w:trHeight w:val="600"/>
        </w:trPr>
        <w:tc>
          <w:tcPr>
            <w:tcW w:w="958" w:type="dxa"/>
            <w:noWrap/>
            <w:vAlign w:val="center"/>
            <w:hideMark/>
          </w:tcPr>
          <w:p w14:paraId="61F6F37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257</w:t>
            </w:r>
          </w:p>
        </w:tc>
        <w:tc>
          <w:tcPr>
            <w:tcW w:w="1718" w:type="dxa"/>
            <w:noWrap/>
            <w:vAlign w:val="bottom"/>
            <w:hideMark/>
          </w:tcPr>
          <w:p w14:paraId="59E77A7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20521DB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P-399-17</w:t>
            </w:r>
          </w:p>
        </w:tc>
        <w:tc>
          <w:tcPr>
            <w:tcW w:w="1097" w:type="dxa"/>
            <w:noWrap/>
            <w:vAlign w:val="bottom"/>
            <w:hideMark/>
          </w:tcPr>
          <w:p w14:paraId="0949EFD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7481B03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4D92DE3" w14:textId="77777777" w:rsidTr="008B7C11">
        <w:trPr>
          <w:trHeight w:val="600"/>
        </w:trPr>
        <w:tc>
          <w:tcPr>
            <w:tcW w:w="958" w:type="dxa"/>
            <w:noWrap/>
            <w:vAlign w:val="center"/>
            <w:hideMark/>
          </w:tcPr>
          <w:p w14:paraId="40F6CB8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258</w:t>
            </w:r>
          </w:p>
        </w:tc>
        <w:tc>
          <w:tcPr>
            <w:tcW w:w="1718" w:type="dxa"/>
            <w:noWrap/>
            <w:vAlign w:val="bottom"/>
            <w:hideMark/>
          </w:tcPr>
          <w:p w14:paraId="56E9C0A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609151C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P-320-14</w:t>
            </w:r>
          </w:p>
        </w:tc>
        <w:tc>
          <w:tcPr>
            <w:tcW w:w="1097" w:type="dxa"/>
            <w:noWrap/>
            <w:vAlign w:val="bottom"/>
            <w:hideMark/>
          </w:tcPr>
          <w:p w14:paraId="41FB7AE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67A7364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68BB0F9" w14:textId="77777777" w:rsidTr="008B7C11">
        <w:trPr>
          <w:trHeight w:val="600"/>
        </w:trPr>
        <w:tc>
          <w:tcPr>
            <w:tcW w:w="958" w:type="dxa"/>
            <w:noWrap/>
            <w:vAlign w:val="center"/>
            <w:hideMark/>
          </w:tcPr>
          <w:p w14:paraId="6AC221D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259</w:t>
            </w:r>
          </w:p>
        </w:tc>
        <w:tc>
          <w:tcPr>
            <w:tcW w:w="1718" w:type="dxa"/>
            <w:noWrap/>
            <w:vAlign w:val="bottom"/>
            <w:hideMark/>
          </w:tcPr>
          <w:p w14:paraId="349A61F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21AE426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P-1928-15</w:t>
            </w:r>
          </w:p>
        </w:tc>
        <w:tc>
          <w:tcPr>
            <w:tcW w:w="1097" w:type="dxa"/>
            <w:noWrap/>
            <w:vAlign w:val="bottom"/>
            <w:hideMark/>
          </w:tcPr>
          <w:p w14:paraId="3535A62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66333BD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CE662E2" w14:textId="77777777" w:rsidTr="008B7C11">
        <w:trPr>
          <w:trHeight w:val="600"/>
        </w:trPr>
        <w:tc>
          <w:tcPr>
            <w:tcW w:w="958" w:type="dxa"/>
            <w:noWrap/>
            <w:vAlign w:val="center"/>
            <w:hideMark/>
          </w:tcPr>
          <w:p w14:paraId="481122B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260</w:t>
            </w:r>
          </w:p>
        </w:tc>
        <w:tc>
          <w:tcPr>
            <w:tcW w:w="1718" w:type="dxa"/>
            <w:noWrap/>
            <w:vAlign w:val="bottom"/>
            <w:hideMark/>
          </w:tcPr>
          <w:p w14:paraId="546C98C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652EA24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P-1163-15</w:t>
            </w:r>
          </w:p>
        </w:tc>
        <w:tc>
          <w:tcPr>
            <w:tcW w:w="1097" w:type="dxa"/>
            <w:noWrap/>
            <w:vAlign w:val="bottom"/>
            <w:hideMark/>
          </w:tcPr>
          <w:p w14:paraId="491535C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4DBD941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5AAEF63" w14:textId="77777777" w:rsidTr="008B7C11">
        <w:trPr>
          <w:trHeight w:val="600"/>
        </w:trPr>
        <w:tc>
          <w:tcPr>
            <w:tcW w:w="958" w:type="dxa"/>
            <w:noWrap/>
            <w:vAlign w:val="center"/>
            <w:hideMark/>
          </w:tcPr>
          <w:p w14:paraId="2D6C6AF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261</w:t>
            </w:r>
          </w:p>
        </w:tc>
        <w:tc>
          <w:tcPr>
            <w:tcW w:w="1718" w:type="dxa"/>
            <w:noWrap/>
            <w:vAlign w:val="bottom"/>
            <w:hideMark/>
          </w:tcPr>
          <w:p w14:paraId="3350711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300FD77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P-2164-16</w:t>
            </w:r>
          </w:p>
        </w:tc>
        <w:tc>
          <w:tcPr>
            <w:tcW w:w="1097" w:type="dxa"/>
            <w:noWrap/>
            <w:vAlign w:val="bottom"/>
            <w:hideMark/>
          </w:tcPr>
          <w:p w14:paraId="6AC92AE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428078E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B1AEF78" w14:textId="77777777" w:rsidTr="008B7C11">
        <w:trPr>
          <w:trHeight w:val="600"/>
        </w:trPr>
        <w:tc>
          <w:tcPr>
            <w:tcW w:w="958" w:type="dxa"/>
            <w:noWrap/>
            <w:vAlign w:val="center"/>
            <w:hideMark/>
          </w:tcPr>
          <w:p w14:paraId="19AE8F0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262</w:t>
            </w:r>
          </w:p>
        </w:tc>
        <w:tc>
          <w:tcPr>
            <w:tcW w:w="1718" w:type="dxa"/>
            <w:noWrap/>
            <w:vAlign w:val="bottom"/>
            <w:hideMark/>
          </w:tcPr>
          <w:p w14:paraId="58B1756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2AF2C2C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P-1792-16</w:t>
            </w:r>
          </w:p>
        </w:tc>
        <w:tc>
          <w:tcPr>
            <w:tcW w:w="1097" w:type="dxa"/>
            <w:noWrap/>
            <w:vAlign w:val="bottom"/>
            <w:hideMark/>
          </w:tcPr>
          <w:p w14:paraId="3E27CAA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17971C0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B1E65EE" w14:textId="77777777" w:rsidTr="008B7C11">
        <w:trPr>
          <w:trHeight w:val="600"/>
        </w:trPr>
        <w:tc>
          <w:tcPr>
            <w:tcW w:w="958" w:type="dxa"/>
            <w:noWrap/>
            <w:vAlign w:val="center"/>
            <w:hideMark/>
          </w:tcPr>
          <w:p w14:paraId="7361878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263</w:t>
            </w:r>
          </w:p>
        </w:tc>
        <w:tc>
          <w:tcPr>
            <w:tcW w:w="1718" w:type="dxa"/>
            <w:noWrap/>
            <w:vAlign w:val="bottom"/>
            <w:hideMark/>
          </w:tcPr>
          <w:p w14:paraId="7F9994C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41ED291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P-1794-16</w:t>
            </w:r>
          </w:p>
        </w:tc>
        <w:tc>
          <w:tcPr>
            <w:tcW w:w="1097" w:type="dxa"/>
            <w:noWrap/>
            <w:vAlign w:val="bottom"/>
            <w:hideMark/>
          </w:tcPr>
          <w:p w14:paraId="424E94B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5BAB711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503F863" w14:textId="77777777" w:rsidTr="008B7C11">
        <w:trPr>
          <w:trHeight w:val="600"/>
        </w:trPr>
        <w:tc>
          <w:tcPr>
            <w:tcW w:w="958" w:type="dxa"/>
            <w:noWrap/>
            <w:vAlign w:val="center"/>
            <w:hideMark/>
          </w:tcPr>
          <w:p w14:paraId="38394ED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264</w:t>
            </w:r>
          </w:p>
        </w:tc>
        <w:tc>
          <w:tcPr>
            <w:tcW w:w="1718" w:type="dxa"/>
            <w:noWrap/>
            <w:vAlign w:val="bottom"/>
            <w:hideMark/>
          </w:tcPr>
          <w:p w14:paraId="0992D08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60574C0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P-1325-14</w:t>
            </w:r>
          </w:p>
        </w:tc>
        <w:tc>
          <w:tcPr>
            <w:tcW w:w="1097" w:type="dxa"/>
            <w:noWrap/>
            <w:vAlign w:val="bottom"/>
            <w:hideMark/>
          </w:tcPr>
          <w:p w14:paraId="100D434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67D9AE6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C0BFFAB" w14:textId="77777777" w:rsidTr="008B7C11">
        <w:trPr>
          <w:trHeight w:val="600"/>
        </w:trPr>
        <w:tc>
          <w:tcPr>
            <w:tcW w:w="958" w:type="dxa"/>
            <w:noWrap/>
            <w:vAlign w:val="center"/>
            <w:hideMark/>
          </w:tcPr>
          <w:p w14:paraId="245CC17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265</w:t>
            </w:r>
          </w:p>
        </w:tc>
        <w:tc>
          <w:tcPr>
            <w:tcW w:w="1718" w:type="dxa"/>
            <w:noWrap/>
            <w:vAlign w:val="bottom"/>
            <w:hideMark/>
          </w:tcPr>
          <w:p w14:paraId="1575A68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5D815AE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P-712-17</w:t>
            </w:r>
          </w:p>
        </w:tc>
        <w:tc>
          <w:tcPr>
            <w:tcW w:w="1097" w:type="dxa"/>
            <w:noWrap/>
            <w:vAlign w:val="bottom"/>
            <w:hideMark/>
          </w:tcPr>
          <w:p w14:paraId="4689716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21CFCD8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F72B216" w14:textId="77777777" w:rsidTr="008B7C11">
        <w:trPr>
          <w:trHeight w:val="600"/>
        </w:trPr>
        <w:tc>
          <w:tcPr>
            <w:tcW w:w="958" w:type="dxa"/>
            <w:noWrap/>
            <w:vAlign w:val="center"/>
            <w:hideMark/>
          </w:tcPr>
          <w:p w14:paraId="335C1E3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266</w:t>
            </w:r>
          </w:p>
        </w:tc>
        <w:tc>
          <w:tcPr>
            <w:tcW w:w="1718" w:type="dxa"/>
            <w:noWrap/>
            <w:vAlign w:val="bottom"/>
            <w:hideMark/>
          </w:tcPr>
          <w:p w14:paraId="7000B8D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66BFF02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P-443-16</w:t>
            </w:r>
          </w:p>
        </w:tc>
        <w:tc>
          <w:tcPr>
            <w:tcW w:w="1097" w:type="dxa"/>
            <w:noWrap/>
            <w:vAlign w:val="bottom"/>
            <w:hideMark/>
          </w:tcPr>
          <w:p w14:paraId="6C6D500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38A2FA8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8C7D733" w14:textId="77777777" w:rsidTr="008B7C11">
        <w:trPr>
          <w:trHeight w:val="600"/>
        </w:trPr>
        <w:tc>
          <w:tcPr>
            <w:tcW w:w="958" w:type="dxa"/>
            <w:noWrap/>
            <w:vAlign w:val="center"/>
            <w:hideMark/>
          </w:tcPr>
          <w:p w14:paraId="4E26DF0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267</w:t>
            </w:r>
          </w:p>
        </w:tc>
        <w:tc>
          <w:tcPr>
            <w:tcW w:w="1718" w:type="dxa"/>
            <w:noWrap/>
            <w:vAlign w:val="bottom"/>
            <w:hideMark/>
          </w:tcPr>
          <w:p w14:paraId="444775C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47EF3E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P-905-14</w:t>
            </w:r>
          </w:p>
        </w:tc>
        <w:tc>
          <w:tcPr>
            <w:tcW w:w="1097" w:type="dxa"/>
            <w:noWrap/>
            <w:vAlign w:val="bottom"/>
            <w:hideMark/>
          </w:tcPr>
          <w:p w14:paraId="15604BE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2A4D768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352978B" w14:textId="77777777" w:rsidTr="008B7C11">
        <w:trPr>
          <w:trHeight w:val="600"/>
        </w:trPr>
        <w:tc>
          <w:tcPr>
            <w:tcW w:w="958" w:type="dxa"/>
            <w:noWrap/>
            <w:vAlign w:val="center"/>
            <w:hideMark/>
          </w:tcPr>
          <w:p w14:paraId="2597C36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268</w:t>
            </w:r>
          </w:p>
        </w:tc>
        <w:tc>
          <w:tcPr>
            <w:tcW w:w="1718" w:type="dxa"/>
            <w:noWrap/>
            <w:vAlign w:val="bottom"/>
            <w:hideMark/>
          </w:tcPr>
          <w:p w14:paraId="4A30144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31866A5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P-1410-16</w:t>
            </w:r>
          </w:p>
        </w:tc>
        <w:tc>
          <w:tcPr>
            <w:tcW w:w="1097" w:type="dxa"/>
            <w:noWrap/>
            <w:vAlign w:val="bottom"/>
            <w:hideMark/>
          </w:tcPr>
          <w:p w14:paraId="0CAA6C3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01054C7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27EAC46" w14:textId="77777777" w:rsidTr="008B7C11">
        <w:trPr>
          <w:trHeight w:val="600"/>
        </w:trPr>
        <w:tc>
          <w:tcPr>
            <w:tcW w:w="958" w:type="dxa"/>
            <w:noWrap/>
            <w:vAlign w:val="center"/>
            <w:hideMark/>
          </w:tcPr>
          <w:p w14:paraId="528C791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269</w:t>
            </w:r>
          </w:p>
        </w:tc>
        <w:tc>
          <w:tcPr>
            <w:tcW w:w="1718" w:type="dxa"/>
            <w:noWrap/>
            <w:vAlign w:val="bottom"/>
            <w:hideMark/>
          </w:tcPr>
          <w:p w14:paraId="720DC17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14C2E95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P-732-16</w:t>
            </w:r>
          </w:p>
        </w:tc>
        <w:tc>
          <w:tcPr>
            <w:tcW w:w="1097" w:type="dxa"/>
            <w:noWrap/>
            <w:vAlign w:val="bottom"/>
            <w:hideMark/>
          </w:tcPr>
          <w:p w14:paraId="147E67A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505A47B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36F98AC" w14:textId="77777777" w:rsidTr="008B7C11">
        <w:trPr>
          <w:trHeight w:val="600"/>
        </w:trPr>
        <w:tc>
          <w:tcPr>
            <w:tcW w:w="958" w:type="dxa"/>
            <w:noWrap/>
            <w:vAlign w:val="center"/>
            <w:hideMark/>
          </w:tcPr>
          <w:p w14:paraId="40A3BD0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270</w:t>
            </w:r>
          </w:p>
        </w:tc>
        <w:tc>
          <w:tcPr>
            <w:tcW w:w="1718" w:type="dxa"/>
            <w:noWrap/>
            <w:vAlign w:val="bottom"/>
            <w:hideMark/>
          </w:tcPr>
          <w:p w14:paraId="6497162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1339858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P-1224-14</w:t>
            </w:r>
          </w:p>
        </w:tc>
        <w:tc>
          <w:tcPr>
            <w:tcW w:w="1097" w:type="dxa"/>
            <w:noWrap/>
            <w:vAlign w:val="bottom"/>
            <w:hideMark/>
          </w:tcPr>
          <w:p w14:paraId="20C437B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229AB07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98E9418" w14:textId="77777777" w:rsidTr="008B7C11">
        <w:trPr>
          <w:trHeight w:val="600"/>
        </w:trPr>
        <w:tc>
          <w:tcPr>
            <w:tcW w:w="958" w:type="dxa"/>
            <w:noWrap/>
            <w:vAlign w:val="center"/>
            <w:hideMark/>
          </w:tcPr>
          <w:p w14:paraId="0B40CC1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271</w:t>
            </w:r>
          </w:p>
        </w:tc>
        <w:tc>
          <w:tcPr>
            <w:tcW w:w="1718" w:type="dxa"/>
            <w:noWrap/>
            <w:vAlign w:val="bottom"/>
            <w:hideMark/>
          </w:tcPr>
          <w:p w14:paraId="4FE32EE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598B40D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P-323-14</w:t>
            </w:r>
          </w:p>
        </w:tc>
        <w:tc>
          <w:tcPr>
            <w:tcW w:w="1097" w:type="dxa"/>
            <w:noWrap/>
            <w:vAlign w:val="bottom"/>
            <w:hideMark/>
          </w:tcPr>
          <w:p w14:paraId="4E443C2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2AC52E5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D086981" w14:textId="77777777" w:rsidTr="008B7C11">
        <w:trPr>
          <w:trHeight w:val="600"/>
        </w:trPr>
        <w:tc>
          <w:tcPr>
            <w:tcW w:w="958" w:type="dxa"/>
            <w:noWrap/>
            <w:vAlign w:val="center"/>
            <w:hideMark/>
          </w:tcPr>
          <w:p w14:paraId="1DD43F2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272</w:t>
            </w:r>
          </w:p>
        </w:tc>
        <w:tc>
          <w:tcPr>
            <w:tcW w:w="1718" w:type="dxa"/>
            <w:noWrap/>
            <w:vAlign w:val="bottom"/>
            <w:hideMark/>
          </w:tcPr>
          <w:p w14:paraId="72886EB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770D879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P-6-14</w:t>
            </w:r>
          </w:p>
        </w:tc>
        <w:tc>
          <w:tcPr>
            <w:tcW w:w="1097" w:type="dxa"/>
            <w:noWrap/>
            <w:vAlign w:val="bottom"/>
            <w:hideMark/>
          </w:tcPr>
          <w:p w14:paraId="5D170BB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582921F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7D6172B" w14:textId="77777777" w:rsidTr="008B7C11">
        <w:trPr>
          <w:trHeight w:val="600"/>
        </w:trPr>
        <w:tc>
          <w:tcPr>
            <w:tcW w:w="958" w:type="dxa"/>
            <w:noWrap/>
            <w:vAlign w:val="center"/>
            <w:hideMark/>
          </w:tcPr>
          <w:p w14:paraId="06C447D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273</w:t>
            </w:r>
          </w:p>
        </w:tc>
        <w:tc>
          <w:tcPr>
            <w:tcW w:w="1718" w:type="dxa"/>
            <w:noWrap/>
            <w:vAlign w:val="bottom"/>
            <w:hideMark/>
          </w:tcPr>
          <w:p w14:paraId="3305C67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7F9CCE7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P-400-15</w:t>
            </w:r>
          </w:p>
        </w:tc>
        <w:tc>
          <w:tcPr>
            <w:tcW w:w="1097" w:type="dxa"/>
            <w:noWrap/>
            <w:vAlign w:val="bottom"/>
            <w:hideMark/>
          </w:tcPr>
          <w:p w14:paraId="3DA9FE1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3D85248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75DB228" w14:textId="77777777" w:rsidTr="008B7C11">
        <w:trPr>
          <w:trHeight w:val="600"/>
        </w:trPr>
        <w:tc>
          <w:tcPr>
            <w:tcW w:w="958" w:type="dxa"/>
            <w:noWrap/>
            <w:vAlign w:val="center"/>
            <w:hideMark/>
          </w:tcPr>
          <w:p w14:paraId="2B43B03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274</w:t>
            </w:r>
          </w:p>
        </w:tc>
        <w:tc>
          <w:tcPr>
            <w:tcW w:w="1718" w:type="dxa"/>
            <w:noWrap/>
            <w:vAlign w:val="bottom"/>
            <w:hideMark/>
          </w:tcPr>
          <w:p w14:paraId="5ECB7DB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3FA3234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P-1042-17</w:t>
            </w:r>
          </w:p>
        </w:tc>
        <w:tc>
          <w:tcPr>
            <w:tcW w:w="1097" w:type="dxa"/>
            <w:noWrap/>
            <w:vAlign w:val="bottom"/>
            <w:hideMark/>
          </w:tcPr>
          <w:p w14:paraId="708E664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21F60D0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D66A3BC" w14:textId="77777777" w:rsidTr="008B7C11">
        <w:trPr>
          <w:trHeight w:val="600"/>
        </w:trPr>
        <w:tc>
          <w:tcPr>
            <w:tcW w:w="958" w:type="dxa"/>
            <w:noWrap/>
            <w:vAlign w:val="center"/>
            <w:hideMark/>
          </w:tcPr>
          <w:p w14:paraId="60889DB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275</w:t>
            </w:r>
          </w:p>
        </w:tc>
        <w:tc>
          <w:tcPr>
            <w:tcW w:w="1718" w:type="dxa"/>
            <w:noWrap/>
            <w:vAlign w:val="bottom"/>
            <w:hideMark/>
          </w:tcPr>
          <w:p w14:paraId="741778F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4389068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P-1203-14</w:t>
            </w:r>
          </w:p>
        </w:tc>
        <w:tc>
          <w:tcPr>
            <w:tcW w:w="1097" w:type="dxa"/>
            <w:noWrap/>
            <w:vAlign w:val="bottom"/>
            <w:hideMark/>
          </w:tcPr>
          <w:p w14:paraId="7ACD599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32F3C8A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EE294FE" w14:textId="77777777" w:rsidTr="008B7C11">
        <w:trPr>
          <w:trHeight w:val="600"/>
        </w:trPr>
        <w:tc>
          <w:tcPr>
            <w:tcW w:w="958" w:type="dxa"/>
            <w:noWrap/>
            <w:vAlign w:val="center"/>
            <w:hideMark/>
          </w:tcPr>
          <w:p w14:paraId="75A44C0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276</w:t>
            </w:r>
          </w:p>
        </w:tc>
        <w:tc>
          <w:tcPr>
            <w:tcW w:w="1718" w:type="dxa"/>
            <w:noWrap/>
            <w:vAlign w:val="bottom"/>
            <w:hideMark/>
          </w:tcPr>
          <w:p w14:paraId="3B063FA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79C4B4A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P-870-14</w:t>
            </w:r>
          </w:p>
        </w:tc>
        <w:tc>
          <w:tcPr>
            <w:tcW w:w="1097" w:type="dxa"/>
            <w:noWrap/>
            <w:vAlign w:val="bottom"/>
            <w:hideMark/>
          </w:tcPr>
          <w:p w14:paraId="0A53FD8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5331219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3A33EEA" w14:textId="77777777" w:rsidTr="008B7C11">
        <w:trPr>
          <w:trHeight w:val="600"/>
        </w:trPr>
        <w:tc>
          <w:tcPr>
            <w:tcW w:w="958" w:type="dxa"/>
            <w:noWrap/>
            <w:vAlign w:val="center"/>
            <w:hideMark/>
          </w:tcPr>
          <w:p w14:paraId="757AA6C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277</w:t>
            </w:r>
          </w:p>
        </w:tc>
        <w:tc>
          <w:tcPr>
            <w:tcW w:w="1718" w:type="dxa"/>
            <w:noWrap/>
            <w:vAlign w:val="bottom"/>
            <w:hideMark/>
          </w:tcPr>
          <w:p w14:paraId="7D5CACE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6761215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P-197-17</w:t>
            </w:r>
          </w:p>
        </w:tc>
        <w:tc>
          <w:tcPr>
            <w:tcW w:w="1097" w:type="dxa"/>
            <w:noWrap/>
            <w:vAlign w:val="bottom"/>
            <w:hideMark/>
          </w:tcPr>
          <w:p w14:paraId="1449966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661A8D1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3F59940" w14:textId="77777777" w:rsidTr="008B7C11">
        <w:trPr>
          <w:trHeight w:val="600"/>
        </w:trPr>
        <w:tc>
          <w:tcPr>
            <w:tcW w:w="958" w:type="dxa"/>
            <w:noWrap/>
            <w:vAlign w:val="center"/>
            <w:hideMark/>
          </w:tcPr>
          <w:p w14:paraId="48B15A2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278</w:t>
            </w:r>
          </w:p>
        </w:tc>
        <w:tc>
          <w:tcPr>
            <w:tcW w:w="1718" w:type="dxa"/>
            <w:noWrap/>
            <w:vAlign w:val="bottom"/>
            <w:hideMark/>
          </w:tcPr>
          <w:p w14:paraId="56DC0DB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5306076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P-825-18</w:t>
            </w:r>
          </w:p>
        </w:tc>
        <w:tc>
          <w:tcPr>
            <w:tcW w:w="1097" w:type="dxa"/>
            <w:noWrap/>
            <w:vAlign w:val="bottom"/>
            <w:hideMark/>
          </w:tcPr>
          <w:p w14:paraId="29560A6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18</w:t>
            </w:r>
          </w:p>
        </w:tc>
        <w:tc>
          <w:tcPr>
            <w:tcW w:w="2600" w:type="dxa"/>
            <w:vAlign w:val="center"/>
            <w:hideMark/>
          </w:tcPr>
          <w:p w14:paraId="64D9D60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815AE96" w14:textId="77777777" w:rsidTr="008B7C11">
        <w:trPr>
          <w:trHeight w:val="600"/>
        </w:trPr>
        <w:tc>
          <w:tcPr>
            <w:tcW w:w="958" w:type="dxa"/>
            <w:noWrap/>
            <w:vAlign w:val="center"/>
            <w:hideMark/>
          </w:tcPr>
          <w:p w14:paraId="5004EEA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279</w:t>
            </w:r>
          </w:p>
        </w:tc>
        <w:tc>
          <w:tcPr>
            <w:tcW w:w="1718" w:type="dxa"/>
            <w:noWrap/>
            <w:vAlign w:val="bottom"/>
            <w:hideMark/>
          </w:tcPr>
          <w:p w14:paraId="6843BA8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956D82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P-2042-15</w:t>
            </w:r>
          </w:p>
        </w:tc>
        <w:tc>
          <w:tcPr>
            <w:tcW w:w="1097" w:type="dxa"/>
            <w:noWrap/>
            <w:vAlign w:val="bottom"/>
            <w:hideMark/>
          </w:tcPr>
          <w:p w14:paraId="63AF429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559A35F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6EB2126" w14:textId="77777777" w:rsidTr="008B7C11">
        <w:trPr>
          <w:trHeight w:val="600"/>
        </w:trPr>
        <w:tc>
          <w:tcPr>
            <w:tcW w:w="958" w:type="dxa"/>
            <w:noWrap/>
            <w:vAlign w:val="center"/>
            <w:hideMark/>
          </w:tcPr>
          <w:p w14:paraId="12D7602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280</w:t>
            </w:r>
          </w:p>
        </w:tc>
        <w:tc>
          <w:tcPr>
            <w:tcW w:w="1718" w:type="dxa"/>
            <w:noWrap/>
            <w:vAlign w:val="bottom"/>
            <w:hideMark/>
          </w:tcPr>
          <w:p w14:paraId="6B90595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1BC10A2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P-1043-15</w:t>
            </w:r>
          </w:p>
        </w:tc>
        <w:tc>
          <w:tcPr>
            <w:tcW w:w="1097" w:type="dxa"/>
            <w:noWrap/>
            <w:vAlign w:val="bottom"/>
            <w:hideMark/>
          </w:tcPr>
          <w:p w14:paraId="57AFF54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14608C1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1CE069C" w14:textId="77777777" w:rsidTr="008B7C11">
        <w:trPr>
          <w:trHeight w:val="600"/>
        </w:trPr>
        <w:tc>
          <w:tcPr>
            <w:tcW w:w="958" w:type="dxa"/>
            <w:noWrap/>
            <w:vAlign w:val="center"/>
            <w:hideMark/>
          </w:tcPr>
          <w:p w14:paraId="1563A3F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281</w:t>
            </w:r>
          </w:p>
        </w:tc>
        <w:tc>
          <w:tcPr>
            <w:tcW w:w="1718" w:type="dxa"/>
            <w:noWrap/>
            <w:vAlign w:val="bottom"/>
            <w:hideMark/>
          </w:tcPr>
          <w:p w14:paraId="2A97246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35CA18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P-498-16</w:t>
            </w:r>
          </w:p>
        </w:tc>
        <w:tc>
          <w:tcPr>
            <w:tcW w:w="1097" w:type="dxa"/>
            <w:noWrap/>
            <w:vAlign w:val="bottom"/>
            <w:hideMark/>
          </w:tcPr>
          <w:p w14:paraId="13AD28D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7504521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27FF5FC" w14:textId="77777777" w:rsidTr="008B7C11">
        <w:trPr>
          <w:trHeight w:val="600"/>
        </w:trPr>
        <w:tc>
          <w:tcPr>
            <w:tcW w:w="958" w:type="dxa"/>
            <w:noWrap/>
            <w:vAlign w:val="center"/>
            <w:hideMark/>
          </w:tcPr>
          <w:p w14:paraId="17E068D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282</w:t>
            </w:r>
          </w:p>
        </w:tc>
        <w:tc>
          <w:tcPr>
            <w:tcW w:w="1718" w:type="dxa"/>
            <w:noWrap/>
            <w:vAlign w:val="bottom"/>
            <w:hideMark/>
          </w:tcPr>
          <w:p w14:paraId="1721BAB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0405FA4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P-1290-16</w:t>
            </w:r>
          </w:p>
        </w:tc>
        <w:tc>
          <w:tcPr>
            <w:tcW w:w="1097" w:type="dxa"/>
            <w:noWrap/>
            <w:vAlign w:val="bottom"/>
            <w:hideMark/>
          </w:tcPr>
          <w:p w14:paraId="745FDEF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1CF9B42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310CCE9" w14:textId="77777777" w:rsidTr="008B7C11">
        <w:trPr>
          <w:trHeight w:val="600"/>
        </w:trPr>
        <w:tc>
          <w:tcPr>
            <w:tcW w:w="958" w:type="dxa"/>
            <w:noWrap/>
            <w:vAlign w:val="center"/>
            <w:hideMark/>
          </w:tcPr>
          <w:p w14:paraId="720C8D8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283</w:t>
            </w:r>
          </w:p>
        </w:tc>
        <w:tc>
          <w:tcPr>
            <w:tcW w:w="1718" w:type="dxa"/>
            <w:noWrap/>
            <w:vAlign w:val="bottom"/>
            <w:hideMark/>
          </w:tcPr>
          <w:p w14:paraId="669E4AB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COLOMBIA</w:t>
            </w:r>
          </w:p>
        </w:tc>
        <w:tc>
          <w:tcPr>
            <w:tcW w:w="2712" w:type="dxa"/>
            <w:noWrap/>
            <w:vAlign w:val="bottom"/>
            <w:hideMark/>
          </w:tcPr>
          <w:p w14:paraId="61A5EE4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P-1303-16</w:t>
            </w:r>
          </w:p>
        </w:tc>
        <w:tc>
          <w:tcPr>
            <w:tcW w:w="1097" w:type="dxa"/>
            <w:noWrap/>
            <w:vAlign w:val="bottom"/>
            <w:hideMark/>
          </w:tcPr>
          <w:p w14:paraId="35B30DC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3124926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7673E83" w14:textId="77777777" w:rsidTr="008B7C11">
        <w:trPr>
          <w:trHeight w:val="600"/>
        </w:trPr>
        <w:tc>
          <w:tcPr>
            <w:tcW w:w="958" w:type="dxa"/>
            <w:noWrap/>
            <w:vAlign w:val="center"/>
            <w:hideMark/>
          </w:tcPr>
          <w:p w14:paraId="1691E48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284</w:t>
            </w:r>
          </w:p>
        </w:tc>
        <w:tc>
          <w:tcPr>
            <w:tcW w:w="1718" w:type="dxa"/>
            <w:noWrap/>
            <w:vAlign w:val="bottom"/>
            <w:hideMark/>
          </w:tcPr>
          <w:p w14:paraId="75F8FFB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COSTA RICA</w:t>
            </w:r>
          </w:p>
        </w:tc>
        <w:tc>
          <w:tcPr>
            <w:tcW w:w="2712" w:type="dxa"/>
            <w:noWrap/>
            <w:vAlign w:val="bottom"/>
            <w:hideMark/>
          </w:tcPr>
          <w:p w14:paraId="6C77B05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P-1980-17</w:t>
            </w:r>
          </w:p>
        </w:tc>
        <w:tc>
          <w:tcPr>
            <w:tcW w:w="1097" w:type="dxa"/>
            <w:noWrap/>
            <w:vAlign w:val="bottom"/>
            <w:hideMark/>
          </w:tcPr>
          <w:p w14:paraId="46B4690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122EC5C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092F320" w14:textId="77777777" w:rsidTr="008B7C11">
        <w:trPr>
          <w:trHeight w:val="600"/>
        </w:trPr>
        <w:tc>
          <w:tcPr>
            <w:tcW w:w="958" w:type="dxa"/>
            <w:noWrap/>
            <w:vAlign w:val="center"/>
            <w:hideMark/>
          </w:tcPr>
          <w:p w14:paraId="3ED5F6C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285</w:t>
            </w:r>
          </w:p>
        </w:tc>
        <w:tc>
          <w:tcPr>
            <w:tcW w:w="1718" w:type="dxa"/>
            <w:noWrap/>
            <w:vAlign w:val="bottom"/>
            <w:hideMark/>
          </w:tcPr>
          <w:p w14:paraId="31697D0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COSTA RICA</w:t>
            </w:r>
          </w:p>
        </w:tc>
        <w:tc>
          <w:tcPr>
            <w:tcW w:w="2712" w:type="dxa"/>
            <w:noWrap/>
            <w:vAlign w:val="bottom"/>
            <w:hideMark/>
          </w:tcPr>
          <w:p w14:paraId="36ED25C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P-252-17</w:t>
            </w:r>
          </w:p>
        </w:tc>
        <w:tc>
          <w:tcPr>
            <w:tcW w:w="1097" w:type="dxa"/>
            <w:noWrap/>
            <w:vAlign w:val="bottom"/>
            <w:hideMark/>
          </w:tcPr>
          <w:p w14:paraId="42CEB5F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F27451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CA38E90" w14:textId="77777777" w:rsidTr="008B7C11">
        <w:trPr>
          <w:trHeight w:val="600"/>
        </w:trPr>
        <w:tc>
          <w:tcPr>
            <w:tcW w:w="958" w:type="dxa"/>
            <w:noWrap/>
            <w:vAlign w:val="center"/>
            <w:hideMark/>
          </w:tcPr>
          <w:p w14:paraId="5085F60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286</w:t>
            </w:r>
          </w:p>
        </w:tc>
        <w:tc>
          <w:tcPr>
            <w:tcW w:w="1718" w:type="dxa"/>
            <w:noWrap/>
            <w:vAlign w:val="bottom"/>
            <w:hideMark/>
          </w:tcPr>
          <w:p w14:paraId="3E3D526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COSTA RICA</w:t>
            </w:r>
          </w:p>
        </w:tc>
        <w:tc>
          <w:tcPr>
            <w:tcW w:w="2712" w:type="dxa"/>
            <w:noWrap/>
            <w:vAlign w:val="bottom"/>
            <w:hideMark/>
          </w:tcPr>
          <w:p w14:paraId="518FE32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P-1687-17</w:t>
            </w:r>
          </w:p>
        </w:tc>
        <w:tc>
          <w:tcPr>
            <w:tcW w:w="1097" w:type="dxa"/>
            <w:noWrap/>
            <w:vAlign w:val="bottom"/>
            <w:hideMark/>
          </w:tcPr>
          <w:p w14:paraId="180B55C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5E63C4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C9715E8" w14:textId="77777777" w:rsidTr="008B7C11">
        <w:trPr>
          <w:trHeight w:val="600"/>
        </w:trPr>
        <w:tc>
          <w:tcPr>
            <w:tcW w:w="958" w:type="dxa"/>
            <w:noWrap/>
            <w:vAlign w:val="center"/>
            <w:hideMark/>
          </w:tcPr>
          <w:p w14:paraId="59A1268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287</w:t>
            </w:r>
          </w:p>
        </w:tc>
        <w:tc>
          <w:tcPr>
            <w:tcW w:w="1718" w:type="dxa"/>
            <w:noWrap/>
            <w:vAlign w:val="bottom"/>
            <w:hideMark/>
          </w:tcPr>
          <w:p w14:paraId="165082A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COSTA RICA</w:t>
            </w:r>
          </w:p>
        </w:tc>
        <w:tc>
          <w:tcPr>
            <w:tcW w:w="2712" w:type="dxa"/>
            <w:noWrap/>
            <w:vAlign w:val="bottom"/>
            <w:hideMark/>
          </w:tcPr>
          <w:p w14:paraId="29B0360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P-2528-12</w:t>
            </w:r>
          </w:p>
        </w:tc>
        <w:tc>
          <w:tcPr>
            <w:tcW w:w="1097" w:type="dxa"/>
            <w:noWrap/>
            <w:vAlign w:val="bottom"/>
            <w:hideMark/>
          </w:tcPr>
          <w:p w14:paraId="6816693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3ECF2A5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39520A2" w14:textId="77777777" w:rsidTr="008B7C11">
        <w:trPr>
          <w:trHeight w:val="600"/>
        </w:trPr>
        <w:tc>
          <w:tcPr>
            <w:tcW w:w="958" w:type="dxa"/>
            <w:noWrap/>
            <w:vAlign w:val="center"/>
            <w:hideMark/>
          </w:tcPr>
          <w:p w14:paraId="3B302CC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288</w:t>
            </w:r>
          </w:p>
        </w:tc>
        <w:tc>
          <w:tcPr>
            <w:tcW w:w="1718" w:type="dxa"/>
            <w:noWrap/>
            <w:vAlign w:val="bottom"/>
            <w:hideMark/>
          </w:tcPr>
          <w:p w14:paraId="4232199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COSTA RICA</w:t>
            </w:r>
          </w:p>
        </w:tc>
        <w:tc>
          <w:tcPr>
            <w:tcW w:w="2712" w:type="dxa"/>
            <w:noWrap/>
            <w:vAlign w:val="bottom"/>
            <w:hideMark/>
          </w:tcPr>
          <w:p w14:paraId="170DA80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P-1139-12</w:t>
            </w:r>
          </w:p>
        </w:tc>
        <w:tc>
          <w:tcPr>
            <w:tcW w:w="1097" w:type="dxa"/>
            <w:noWrap/>
            <w:vAlign w:val="bottom"/>
            <w:hideMark/>
          </w:tcPr>
          <w:p w14:paraId="01F2ED8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5F8F329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E557961" w14:textId="77777777" w:rsidTr="008B7C11">
        <w:trPr>
          <w:trHeight w:val="600"/>
        </w:trPr>
        <w:tc>
          <w:tcPr>
            <w:tcW w:w="958" w:type="dxa"/>
            <w:noWrap/>
            <w:vAlign w:val="center"/>
            <w:hideMark/>
          </w:tcPr>
          <w:p w14:paraId="5B11936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289</w:t>
            </w:r>
          </w:p>
        </w:tc>
        <w:tc>
          <w:tcPr>
            <w:tcW w:w="1718" w:type="dxa"/>
            <w:noWrap/>
            <w:vAlign w:val="bottom"/>
            <w:hideMark/>
          </w:tcPr>
          <w:p w14:paraId="4C51E61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COSTA RICA</w:t>
            </w:r>
          </w:p>
        </w:tc>
        <w:tc>
          <w:tcPr>
            <w:tcW w:w="2712" w:type="dxa"/>
            <w:noWrap/>
            <w:vAlign w:val="bottom"/>
            <w:hideMark/>
          </w:tcPr>
          <w:p w14:paraId="7CF4AEE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P-160-14</w:t>
            </w:r>
          </w:p>
        </w:tc>
        <w:tc>
          <w:tcPr>
            <w:tcW w:w="1097" w:type="dxa"/>
            <w:noWrap/>
            <w:vAlign w:val="bottom"/>
            <w:hideMark/>
          </w:tcPr>
          <w:p w14:paraId="51E60C9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017DB35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ABD9BC2" w14:textId="77777777" w:rsidTr="008B7C11">
        <w:trPr>
          <w:trHeight w:val="600"/>
        </w:trPr>
        <w:tc>
          <w:tcPr>
            <w:tcW w:w="958" w:type="dxa"/>
            <w:noWrap/>
            <w:vAlign w:val="center"/>
            <w:hideMark/>
          </w:tcPr>
          <w:p w14:paraId="401E4C3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290</w:t>
            </w:r>
          </w:p>
        </w:tc>
        <w:tc>
          <w:tcPr>
            <w:tcW w:w="1718" w:type="dxa"/>
            <w:noWrap/>
            <w:vAlign w:val="bottom"/>
            <w:hideMark/>
          </w:tcPr>
          <w:p w14:paraId="655FA8D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COSTA RICA</w:t>
            </w:r>
          </w:p>
        </w:tc>
        <w:tc>
          <w:tcPr>
            <w:tcW w:w="2712" w:type="dxa"/>
            <w:noWrap/>
            <w:vAlign w:val="bottom"/>
            <w:hideMark/>
          </w:tcPr>
          <w:p w14:paraId="21DCEA1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P-82-14</w:t>
            </w:r>
          </w:p>
        </w:tc>
        <w:tc>
          <w:tcPr>
            <w:tcW w:w="1097" w:type="dxa"/>
            <w:noWrap/>
            <w:vAlign w:val="bottom"/>
            <w:hideMark/>
          </w:tcPr>
          <w:p w14:paraId="330C5D3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7C6145B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86AF8DA" w14:textId="77777777" w:rsidTr="008B7C11">
        <w:trPr>
          <w:trHeight w:val="600"/>
        </w:trPr>
        <w:tc>
          <w:tcPr>
            <w:tcW w:w="958" w:type="dxa"/>
            <w:noWrap/>
            <w:vAlign w:val="center"/>
            <w:hideMark/>
          </w:tcPr>
          <w:p w14:paraId="170D468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291</w:t>
            </w:r>
          </w:p>
        </w:tc>
        <w:tc>
          <w:tcPr>
            <w:tcW w:w="1718" w:type="dxa"/>
            <w:noWrap/>
            <w:vAlign w:val="bottom"/>
            <w:hideMark/>
          </w:tcPr>
          <w:p w14:paraId="735890B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COSTA RICA</w:t>
            </w:r>
          </w:p>
        </w:tc>
        <w:tc>
          <w:tcPr>
            <w:tcW w:w="2712" w:type="dxa"/>
            <w:noWrap/>
            <w:vAlign w:val="bottom"/>
            <w:hideMark/>
          </w:tcPr>
          <w:p w14:paraId="27B3F81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P-272-17</w:t>
            </w:r>
          </w:p>
        </w:tc>
        <w:tc>
          <w:tcPr>
            <w:tcW w:w="1097" w:type="dxa"/>
            <w:noWrap/>
            <w:vAlign w:val="bottom"/>
            <w:hideMark/>
          </w:tcPr>
          <w:p w14:paraId="3E40AAA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51E0640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F25383A" w14:textId="77777777" w:rsidTr="008B7C11">
        <w:trPr>
          <w:trHeight w:val="600"/>
        </w:trPr>
        <w:tc>
          <w:tcPr>
            <w:tcW w:w="958" w:type="dxa"/>
            <w:noWrap/>
            <w:vAlign w:val="center"/>
            <w:hideMark/>
          </w:tcPr>
          <w:p w14:paraId="2AD98A8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292</w:t>
            </w:r>
          </w:p>
        </w:tc>
        <w:tc>
          <w:tcPr>
            <w:tcW w:w="1718" w:type="dxa"/>
            <w:noWrap/>
            <w:vAlign w:val="bottom"/>
            <w:hideMark/>
          </w:tcPr>
          <w:p w14:paraId="76A433E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COSTA RICA</w:t>
            </w:r>
          </w:p>
        </w:tc>
        <w:tc>
          <w:tcPr>
            <w:tcW w:w="2712" w:type="dxa"/>
            <w:noWrap/>
            <w:vAlign w:val="bottom"/>
            <w:hideMark/>
          </w:tcPr>
          <w:p w14:paraId="146752F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P-772-17</w:t>
            </w:r>
          </w:p>
        </w:tc>
        <w:tc>
          <w:tcPr>
            <w:tcW w:w="1097" w:type="dxa"/>
            <w:noWrap/>
            <w:vAlign w:val="bottom"/>
            <w:hideMark/>
          </w:tcPr>
          <w:p w14:paraId="5AE5F2D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42A215A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AFA36E2" w14:textId="77777777" w:rsidTr="008B7C11">
        <w:trPr>
          <w:trHeight w:val="600"/>
        </w:trPr>
        <w:tc>
          <w:tcPr>
            <w:tcW w:w="958" w:type="dxa"/>
            <w:noWrap/>
            <w:vAlign w:val="center"/>
            <w:hideMark/>
          </w:tcPr>
          <w:p w14:paraId="31EAE86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293</w:t>
            </w:r>
          </w:p>
        </w:tc>
        <w:tc>
          <w:tcPr>
            <w:tcW w:w="1718" w:type="dxa"/>
            <w:noWrap/>
            <w:vAlign w:val="bottom"/>
            <w:hideMark/>
          </w:tcPr>
          <w:p w14:paraId="1BE1ACE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COSTA RICA</w:t>
            </w:r>
          </w:p>
        </w:tc>
        <w:tc>
          <w:tcPr>
            <w:tcW w:w="2712" w:type="dxa"/>
            <w:noWrap/>
            <w:vAlign w:val="bottom"/>
            <w:hideMark/>
          </w:tcPr>
          <w:p w14:paraId="3BB1ECD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P-1101-12</w:t>
            </w:r>
          </w:p>
        </w:tc>
        <w:tc>
          <w:tcPr>
            <w:tcW w:w="1097" w:type="dxa"/>
            <w:noWrap/>
            <w:vAlign w:val="bottom"/>
            <w:hideMark/>
          </w:tcPr>
          <w:p w14:paraId="33D790F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6FE0B7D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6AD0D18" w14:textId="77777777" w:rsidTr="008B7C11">
        <w:trPr>
          <w:trHeight w:val="600"/>
        </w:trPr>
        <w:tc>
          <w:tcPr>
            <w:tcW w:w="958" w:type="dxa"/>
            <w:noWrap/>
            <w:vAlign w:val="center"/>
            <w:hideMark/>
          </w:tcPr>
          <w:p w14:paraId="0C184C5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294</w:t>
            </w:r>
          </w:p>
        </w:tc>
        <w:tc>
          <w:tcPr>
            <w:tcW w:w="1718" w:type="dxa"/>
            <w:noWrap/>
            <w:vAlign w:val="bottom"/>
            <w:hideMark/>
          </w:tcPr>
          <w:p w14:paraId="1B35E0C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COSTA RICA</w:t>
            </w:r>
          </w:p>
        </w:tc>
        <w:tc>
          <w:tcPr>
            <w:tcW w:w="2712" w:type="dxa"/>
            <w:noWrap/>
            <w:vAlign w:val="bottom"/>
            <w:hideMark/>
          </w:tcPr>
          <w:p w14:paraId="7CFD021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P-1460-11</w:t>
            </w:r>
          </w:p>
        </w:tc>
        <w:tc>
          <w:tcPr>
            <w:tcW w:w="1097" w:type="dxa"/>
            <w:noWrap/>
            <w:vAlign w:val="bottom"/>
            <w:hideMark/>
          </w:tcPr>
          <w:p w14:paraId="1146175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11</w:t>
            </w:r>
          </w:p>
        </w:tc>
        <w:tc>
          <w:tcPr>
            <w:tcW w:w="2600" w:type="dxa"/>
            <w:vAlign w:val="center"/>
            <w:hideMark/>
          </w:tcPr>
          <w:p w14:paraId="48FAC03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0D02950" w14:textId="77777777" w:rsidTr="008B7C11">
        <w:trPr>
          <w:trHeight w:val="600"/>
        </w:trPr>
        <w:tc>
          <w:tcPr>
            <w:tcW w:w="958" w:type="dxa"/>
            <w:noWrap/>
            <w:vAlign w:val="center"/>
            <w:hideMark/>
          </w:tcPr>
          <w:p w14:paraId="47DC290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295</w:t>
            </w:r>
          </w:p>
        </w:tc>
        <w:tc>
          <w:tcPr>
            <w:tcW w:w="1718" w:type="dxa"/>
            <w:noWrap/>
            <w:vAlign w:val="bottom"/>
            <w:hideMark/>
          </w:tcPr>
          <w:p w14:paraId="641E230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COSTA RICA</w:t>
            </w:r>
          </w:p>
        </w:tc>
        <w:tc>
          <w:tcPr>
            <w:tcW w:w="2712" w:type="dxa"/>
            <w:noWrap/>
            <w:vAlign w:val="bottom"/>
            <w:hideMark/>
          </w:tcPr>
          <w:p w14:paraId="733242D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P-1217-11</w:t>
            </w:r>
          </w:p>
        </w:tc>
        <w:tc>
          <w:tcPr>
            <w:tcW w:w="1097" w:type="dxa"/>
            <w:noWrap/>
            <w:vAlign w:val="bottom"/>
            <w:hideMark/>
          </w:tcPr>
          <w:p w14:paraId="6A3C267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11</w:t>
            </w:r>
          </w:p>
        </w:tc>
        <w:tc>
          <w:tcPr>
            <w:tcW w:w="2600" w:type="dxa"/>
            <w:vAlign w:val="center"/>
            <w:hideMark/>
          </w:tcPr>
          <w:p w14:paraId="209DCD0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93642F7" w14:textId="77777777" w:rsidTr="008B7C11">
        <w:trPr>
          <w:trHeight w:val="600"/>
        </w:trPr>
        <w:tc>
          <w:tcPr>
            <w:tcW w:w="958" w:type="dxa"/>
            <w:noWrap/>
            <w:vAlign w:val="center"/>
            <w:hideMark/>
          </w:tcPr>
          <w:p w14:paraId="2CCDC7B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296</w:t>
            </w:r>
          </w:p>
        </w:tc>
        <w:tc>
          <w:tcPr>
            <w:tcW w:w="1718" w:type="dxa"/>
            <w:noWrap/>
            <w:vAlign w:val="bottom"/>
            <w:hideMark/>
          </w:tcPr>
          <w:p w14:paraId="6D748A2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COSTA RICA</w:t>
            </w:r>
          </w:p>
        </w:tc>
        <w:tc>
          <w:tcPr>
            <w:tcW w:w="2712" w:type="dxa"/>
            <w:noWrap/>
            <w:vAlign w:val="bottom"/>
            <w:hideMark/>
          </w:tcPr>
          <w:p w14:paraId="2AE4FAF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P-815-10</w:t>
            </w:r>
          </w:p>
        </w:tc>
        <w:tc>
          <w:tcPr>
            <w:tcW w:w="1097" w:type="dxa"/>
            <w:noWrap/>
            <w:vAlign w:val="bottom"/>
            <w:hideMark/>
          </w:tcPr>
          <w:p w14:paraId="2D7CDF3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10</w:t>
            </w:r>
          </w:p>
        </w:tc>
        <w:tc>
          <w:tcPr>
            <w:tcW w:w="2600" w:type="dxa"/>
            <w:vAlign w:val="center"/>
            <w:hideMark/>
          </w:tcPr>
          <w:p w14:paraId="2A8C737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C2546A9" w14:textId="77777777" w:rsidTr="008B7C11">
        <w:trPr>
          <w:trHeight w:val="600"/>
        </w:trPr>
        <w:tc>
          <w:tcPr>
            <w:tcW w:w="958" w:type="dxa"/>
            <w:noWrap/>
            <w:vAlign w:val="center"/>
            <w:hideMark/>
          </w:tcPr>
          <w:p w14:paraId="61B3FA6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297</w:t>
            </w:r>
          </w:p>
        </w:tc>
        <w:tc>
          <w:tcPr>
            <w:tcW w:w="1718" w:type="dxa"/>
            <w:noWrap/>
            <w:vAlign w:val="bottom"/>
            <w:hideMark/>
          </w:tcPr>
          <w:p w14:paraId="509A719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COSTA RICA</w:t>
            </w:r>
          </w:p>
        </w:tc>
        <w:tc>
          <w:tcPr>
            <w:tcW w:w="2712" w:type="dxa"/>
            <w:noWrap/>
            <w:vAlign w:val="bottom"/>
            <w:hideMark/>
          </w:tcPr>
          <w:p w14:paraId="5003EFA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P-1004-14</w:t>
            </w:r>
          </w:p>
        </w:tc>
        <w:tc>
          <w:tcPr>
            <w:tcW w:w="1097" w:type="dxa"/>
            <w:noWrap/>
            <w:vAlign w:val="bottom"/>
            <w:hideMark/>
          </w:tcPr>
          <w:p w14:paraId="420E2FB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354A3D7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53D3498" w14:textId="77777777" w:rsidTr="008B7C11">
        <w:trPr>
          <w:trHeight w:val="600"/>
        </w:trPr>
        <w:tc>
          <w:tcPr>
            <w:tcW w:w="958" w:type="dxa"/>
            <w:noWrap/>
            <w:vAlign w:val="center"/>
            <w:hideMark/>
          </w:tcPr>
          <w:p w14:paraId="3D14BD5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298</w:t>
            </w:r>
          </w:p>
        </w:tc>
        <w:tc>
          <w:tcPr>
            <w:tcW w:w="1718" w:type="dxa"/>
            <w:noWrap/>
            <w:vAlign w:val="bottom"/>
            <w:hideMark/>
          </w:tcPr>
          <w:p w14:paraId="5FB003C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COSTA RICA</w:t>
            </w:r>
          </w:p>
        </w:tc>
        <w:tc>
          <w:tcPr>
            <w:tcW w:w="2712" w:type="dxa"/>
            <w:noWrap/>
            <w:vAlign w:val="bottom"/>
            <w:hideMark/>
          </w:tcPr>
          <w:p w14:paraId="7E8DAEF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P-2351-16</w:t>
            </w:r>
          </w:p>
        </w:tc>
        <w:tc>
          <w:tcPr>
            <w:tcW w:w="1097" w:type="dxa"/>
            <w:noWrap/>
            <w:vAlign w:val="bottom"/>
            <w:hideMark/>
          </w:tcPr>
          <w:p w14:paraId="1C7E83D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3C93980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0429D51" w14:textId="77777777" w:rsidTr="008B7C11">
        <w:trPr>
          <w:trHeight w:val="600"/>
        </w:trPr>
        <w:tc>
          <w:tcPr>
            <w:tcW w:w="958" w:type="dxa"/>
            <w:noWrap/>
            <w:vAlign w:val="center"/>
            <w:hideMark/>
          </w:tcPr>
          <w:p w14:paraId="1817671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299</w:t>
            </w:r>
          </w:p>
        </w:tc>
        <w:tc>
          <w:tcPr>
            <w:tcW w:w="1718" w:type="dxa"/>
            <w:noWrap/>
            <w:vAlign w:val="bottom"/>
            <w:hideMark/>
          </w:tcPr>
          <w:p w14:paraId="54DA95D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COSTA RICA</w:t>
            </w:r>
          </w:p>
        </w:tc>
        <w:tc>
          <w:tcPr>
            <w:tcW w:w="2712" w:type="dxa"/>
            <w:noWrap/>
            <w:vAlign w:val="bottom"/>
            <w:hideMark/>
          </w:tcPr>
          <w:p w14:paraId="60B3A46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P-1112-07</w:t>
            </w:r>
          </w:p>
        </w:tc>
        <w:tc>
          <w:tcPr>
            <w:tcW w:w="1097" w:type="dxa"/>
            <w:noWrap/>
            <w:vAlign w:val="bottom"/>
            <w:hideMark/>
          </w:tcPr>
          <w:p w14:paraId="66B63BC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7</w:t>
            </w:r>
          </w:p>
        </w:tc>
        <w:tc>
          <w:tcPr>
            <w:tcW w:w="2600" w:type="dxa"/>
            <w:vAlign w:val="center"/>
            <w:hideMark/>
          </w:tcPr>
          <w:p w14:paraId="7820755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677B26D" w14:textId="77777777" w:rsidTr="008B7C11">
        <w:trPr>
          <w:trHeight w:val="600"/>
        </w:trPr>
        <w:tc>
          <w:tcPr>
            <w:tcW w:w="958" w:type="dxa"/>
            <w:noWrap/>
            <w:vAlign w:val="center"/>
            <w:hideMark/>
          </w:tcPr>
          <w:p w14:paraId="6699F91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300</w:t>
            </w:r>
          </w:p>
        </w:tc>
        <w:tc>
          <w:tcPr>
            <w:tcW w:w="1718" w:type="dxa"/>
            <w:noWrap/>
            <w:vAlign w:val="bottom"/>
            <w:hideMark/>
          </w:tcPr>
          <w:p w14:paraId="3BF5472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COSTA RICA</w:t>
            </w:r>
          </w:p>
        </w:tc>
        <w:tc>
          <w:tcPr>
            <w:tcW w:w="2712" w:type="dxa"/>
            <w:noWrap/>
            <w:vAlign w:val="bottom"/>
            <w:hideMark/>
          </w:tcPr>
          <w:p w14:paraId="4BB6DF8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P-1822-11</w:t>
            </w:r>
          </w:p>
        </w:tc>
        <w:tc>
          <w:tcPr>
            <w:tcW w:w="1097" w:type="dxa"/>
            <w:noWrap/>
            <w:vAlign w:val="bottom"/>
            <w:hideMark/>
          </w:tcPr>
          <w:p w14:paraId="41A9573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11</w:t>
            </w:r>
          </w:p>
        </w:tc>
        <w:tc>
          <w:tcPr>
            <w:tcW w:w="2600" w:type="dxa"/>
            <w:vAlign w:val="center"/>
            <w:hideMark/>
          </w:tcPr>
          <w:p w14:paraId="1884B74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CC49F57" w14:textId="77777777" w:rsidTr="008B7C11">
        <w:trPr>
          <w:trHeight w:val="600"/>
        </w:trPr>
        <w:tc>
          <w:tcPr>
            <w:tcW w:w="958" w:type="dxa"/>
            <w:noWrap/>
            <w:vAlign w:val="center"/>
            <w:hideMark/>
          </w:tcPr>
          <w:p w14:paraId="2904C9B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301</w:t>
            </w:r>
          </w:p>
        </w:tc>
        <w:tc>
          <w:tcPr>
            <w:tcW w:w="1718" w:type="dxa"/>
            <w:noWrap/>
            <w:vAlign w:val="bottom"/>
            <w:hideMark/>
          </w:tcPr>
          <w:p w14:paraId="37BACA8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COSTA RICA</w:t>
            </w:r>
          </w:p>
        </w:tc>
        <w:tc>
          <w:tcPr>
            <w:tcW w:w="2712" w:type="dxa"/>
            <w:noWrap/>
            <w:vAlign w:val="bottom"/>
            <w:hideMark/>
          </w:tcPr>
          <w:p w14:paraId="13F818C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P-993-10</w:t>
            </w:r>
          </w:p>
        </w:tc>
        <w:tc>
          <w:tcPr>
            <w:tcW w:w="1097" w:type="dxa"/>
            <w:noWrap/>
            <w:vAlign w:val="bottom"/>
            <w:hideMark/>
          </w:tcPr>
          <w:p w14:paraId="2FDB303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10</w:t>
            </w:r>
          </w:p>
        </w:tc>
        <w:tc>
          <w:tcPr>
            <w:tcW w:w="2600" w:type="dxa"/>
            <w:vAlign w:val="center"/>
            <w:hideMark/>
          </w:tcPr>
          <w:p w14:paraId="06D537A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DD95BEA" w14:textId="77777777" w:rsidTr="008B7C11">
        <w:trPr>
          <w:trHeight w:val="600"/>
        </w:trPr>
        <w:tc>
          <w:tcPr>
            <w:tcW w:w="958" w:type="dxa"/>
            <w:noWrap/>
            <w:vAlign w:val="center"/>
            <w:hideMark/>
          </w:tcPr>
          <w:p w14:paraId="5E21A3B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302</w:t>
            </w:r>
          </w:p>
        </w:tc>
        <w:tc>
          <w:tcPr>
            <w:tcW w:w="1718" w:type="dxa"/>
            <w:noWrap/>
            <w:vAlign w:val="bottom"/>
            <w:hideMark/>
          </w:tcPr>
          <w:p w14:paraId="4B93B9B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CUBA</w:t>
            </w:r>
          </w:p>
        </w:tc>
        <w:tc>
          <w:tcPr>
            <w:tcW w:w="2712" w:type="dxa"/>
            <w:noWrap/>
            <w:vAlign w:val="bottom"/>
            <w:hideMark/>
          </w:tcPr>
          <w:p w14:paraId="7D49825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P-187-14</w:t>
            </w:r>
          </w:p>
        </w:tc>
        <w:tc>
          <w:tcPr>
            <w:tcW w:w="1097" w:type="dxa"/>
            <w:noWrap/>
            <w:vAlign w:val="bottom"/>
            <w:hideMark/>
          </w:tcPr>
          <w:p w14:paraId="0819448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4C66C67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766C87C" w14:textId="77777777" w:rsidTr="008B7C11">
        <w:trPr>
          <w:trHeight w:val="600"/>
        </w:trPr>
        <w:tc>
          <w:tcPr>
            <w:tcW w:w="958" w:type="dxa"/>
            <w:noWrap/>
            <w:vAlign w:val="center"/>
            <w:hideMark/>
          </w:tcPr>
          <w:p w14:paraId="36A7E3D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303</w:t>
            </w:r>
          </w:p>
        </w:tc>
        <w:tc>
          <w:tcPr>
            <w:tcW w:w="1718" w:type="dxa"/>
            <w:noWrap/>
            <w:vAlign w:val="bottom"/>
            <w:hideMark/>
          </w:tcPr>
          <w:p w14:paraId="61DBB18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ECUADOR</w:t>
            </w:r>
          </w:p>
        </w:tc>
        <w:tc>
          <w:tcPr>
            <w:tcW w:w="2712" w:type="dxa"/>
            <w:noWrap/>
            <w:vAlign w:val="bottom"/>
            <w:hideMark/>
          </w:tcPr>
          <w:p w14:paraId="4436516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P-1045-18</w:t>
            </w:r>
          </w:p>
        </w:tc>
        <w:tc>
          <w:tcPr>
            <w:tcW w:w="1097" w:type="dxa"/>
            <w:noWrap/>
            <w:vAlign w:val="bottom"/>
            <w:hideMark/>
          </w:tcPr>
          <w:p w14:paraId="72DD893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18</w:t>
            </w:r>
          </w:p>
        </w:tc>
        <w:tc>
          <w:tcPr>
            <w:tcW w:w="2600" w:type="dxa"/>
            <w:vAlign w:val="center"/>
            <w:hideMark/>
          </w:tcPr>
          <w:p w14:paraId="37E6416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1315797" w14:textId="77777777" w:rsidTr="008B7C11">
        <w:trPr>
          <w:trHeight w:val="600"/>
        </w:trPr>
        <w:tc>
          <w:tcPr>
            <w:tcW w:w="958" w:type="dxa"/>
            <w:noWrap/>
            <w:vAlign w:val="center"/>
            <w:hideMark/>
          </w:tcPr>
          <w:p w14:paraId="5D25F0E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304</w:t>
            </w:r>
          </w:p>
        </w:tc>
        <w:tc>
          <w:tcPr>
            <w:tcW w:w="1718" w:type="dxa"/>
            <w:noWrap/>
            <w:vAlign w:val="bottom"/>
            <w:hideMark/>
          </w:tcPr>
          <w:p w14:paraId="139775B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ECUADOR</w:t>
            </w:r>
          </w:p>
        </w:tc>
        <w:tc>
          <w:tcPr>
            <w:tcW w:w="2712" w:type="dxa"/>
            <w:noWrap/>
            <w:vAlign w:val="bottom"/>
            <w:hideMark/>
          </w:tcPr>
          <w:p w14:paraId="348B658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P-1108-11</w:t>
            </w:r>
          </w:p>
        </w:tc>
        <w:tc>
          <w:tcPr>
            <w:tcW w:w="1097" w:type="dxa"/>
            <w:noWrap/>
            <w:vAlign w:val="bottom"/>
            <w:hideMark/>
          </w:tcPr>
          <w:p w14:paraId="62C32F3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11</w:t>
            </w:r>
          </w:p>
        </w:tc>
        <w:tc>
          <w:tcPr>
            <w:tcW w:w="2600" w:type="dxa"/>
            <w:vAlign w:val="center"/>
            <w:hideMark/>
          </w:tcPr>
          <w:p w14:paraId="74F7CAF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1AE424A" w14:textId="77777777" w:rsidTr="008B7C11">
        <w:trPr>
          <w:trHeight w:val="600"/>
        </w:trPr>
        <w:tc>
          <w:tcPr>
            <w:tcW w:w="958" w:type="dxa"/>
            <w:noWrap/>
            <w:vAlign w:val="center"/>
            <w:hideMark/>
          </w:tcPr>
          <w:p w14:paraId="3CFA262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305</w:t>
            </w:r>
          </w:p>
        </w:tc>
        <w:tc>
          <w:tcPr>
            <w:tcW w:w="1718" w:type="dxa"/>
            <w:noWrap/>
            <w:vAlign w:val="bottom"/>
            <w:hideMark/>
          </w:tcPr>
          <w:p w14:paraId="639782E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ECUADOR</w:t>
            </w:r>
          </w:p>
        </w:tc>
        <w:tc>
          <w:tcPr>
            <w:tcW w:w="2712" w:type="dxa"/>
            <w:noWrap/>
            <w:vAlign w:val="bottom"/>
            <w:hideMark/>
          </w:tcPr>
          <w:p w14:paraId="4684FF9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P-642-15</w:t>
            </w:r>
          </w:p>
        </w:tc>
        <w:tc>
          <w:tcPr>
            <w:tcW w:w="1097" w:type="dxa"/>
            <w:noWrap/>
            <w:vAlign w:val="bottom"/>
            <w:hideMark/>
          </w:tcPr>
          <w:p w14:paraId="774DA4A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78B3B83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188F0F0" w14:textId="77777777" w:rsidTr="008B7C11">
        <w:trPr>
          <w:trHeight w:val="600"/>
        </w:trPr>
        <w:tc>
          <w:tcPr>
            <w:tcW w:w="958" w:type="dxa"/>
            <w:noWrap/>
            <w:vAlign w:val="center"/>
            <w:hideMark/>
          </w:tcPr>
          <w:p w14:paraId="3531C88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306</w:t>
            </w:r>
          </w:p>
        </w:tc>
        <w:tc>
          <w:tcPr>
            <w:tcW w:w="1718" w:type="dxa"/>
            <w:noWrap/>
            <w:vAlign w:val="bottom"/>
            <w:hideMark/>
          </w:tcPr>
          <w:p w14:paraId="51E7C7D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ECUADOR</w:t>
            </w:r>
          </w:p>
        </w:tc>
        <w:tc>
          <w:tcPr>
            <w:tcW w:w="2712" w:type="dxa"/>
            <w:noWrap/>
            <w:vAlign w:val="bottom"/>
            <w:hideMark/>
          </w:tcPr>
          <w:p w14:paraId="43EACEF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P-370-17</w:t>
            </w:r>
          </w:p>
        </w:tc>
        <w:tc>
          <w:tcPr>
            <w:tcW w:w="1097" w:type="dxa"/>
            <w:noWrap/>
            <w:vAlign w:val="bottom"/>
            <w:hideMark/>
          </w:tcPr>
          <w:p w14:paraId="22137CC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60A5BE7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569126A" w14:textId="77777777" w:rsidTr="008B7C11">
        <w:trPr>
          <w:trHeight w:val="600"/>
        </w:trPr>
        <w:tc>
          <w:tcPr>
            <w:tcW w:w="958" w:type="dxa"/>
            <w:noWrap/>
            <w:vAlign w:val="center"/>
            <w:hideMark/>
          </w:tcPr>
          <w:p w14:paraId="0D8FFDE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307</w:t>
            </w:r>
          </w:p>
        </w:tc>
        <w:tc>
          <w:tcPr>
            <w:tcW w:w="1718" w:type="dxa"/>
            <w:noWrap/>
            <w:vAlign w:val="bottom"/>
            <w:hideMark/>
          </w:tcPr>
          <w:p w14:paraId="680B80A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ECUADOR</w:t>
            </w:r>
          </w:p>
        </w:tc>
        <w:tc>
          <w:tcPr>
            <w:tcW w:w="2712" w:type="dxa"/>
            <w:noWrap/>
            <w:vAlign w:val="bottom"/>
            <w:hideMark/>
          </w:tcPr>
          <w:p w14:paraId="1C5326F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P-843-15</w:t>
            </w:r>
          </w:p>
        </w:tc>
        <w:tc>
          <w:tcPr>
            <w:tcW w:w="1097" w:type="dxa"/>
            <w:noWrap/>
            <w:vAlign w:val="bottom"/>
            <w:hideMark/>
          </w:tcPr>
          <w:p w14:paraId="3D0A903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594BA0E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06AD771" w14:textId="77777777" w:rsidTr="008B7C11">
        <w:trPr>
          <w:trHeight w:val="600"/>
        </w:trPr>
        <w:tc>
          <w:tcPr>
            <w:tcW w:w="958" w:type="dxa"/>
            <w:noWrap/>
            <w:vAlign w:val="center"/>
            <w:hideMark/>
          </w:tcPr>
          <w:p w14:paraId="6AF44B7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308</w:t>
            </w:r>
          </w:p>
        </w:tc>
        <w:tc>
          <w:tcPr>
            <w:tcW w:w="1718" w:type="dxa"/>
            <w:noWrap/>
            <w:vAlign w:val="bottom"/>
            <w:hideMark/>
          </w:tcPr>
          <w:p w14:paraId="38FF0D3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ECUADOR</w:t>
            </w:r>
          </w:p>
        </w:tc>
        <w:tc>
          <w:tcPr>
            <w:tcW w:w="2712" w:type="dxa"/>
            <w:noWrap/>
            <w:vAlign w:val="bottom"/>
            <w:hideMark/>
          </w:tcPr>
          <w:p w14:paraId="2BAA9E7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P-2456-16</w:t>
            </w:r>
          </w:p>
        </w:tc>
        <w:tc>
          <w:tcPr>
            <w:tcW w:w="1097" w:type="dxa"/>
            <w:noWrap/>
            <w:vAlign w:val="bottom"/>
            <w:hideMark/>
          </w:tcPr>
          <w:p w14:paraId="4B8E30D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28F5953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740C6C4" w14:textId="77777777" w:rsidTr="008B7C11">
        <w:trPr>
          <w:trHeight w:val="600"/>
        </w:trPr>
        <w:tc>
          <w:tcPr>
            <w:tcW w:w="958" w:type="dxa"/>
            <w:noWrap/>
            <w:vAlign w:val="center"/>
            <w:hideMark/>
          </w:tcPr>
          <w:p w14:paraId="4DD7F02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309</w:t>
            </w:r>
          </w:p>
        </w:tc>
        <w:tc>
          <w:tcPr>
            <w:tcW w:w="1718" w:type="dxa"/>
            <w:noWrap/>
            <w:vAlign w:val="bottom"/>
            <w:hideMark/>
          </w:tcPr>
          <w:p w14:paraId="7025DE5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ECUADOR</w:t>
            </w:r>
          </w:p>
        </w:tc>
        <w:tc>
          <w:tcPr>
            <w:tcW w:w="2712" w:type="dxa"/>
            <w:noWrap/>
            <w:vAlign w:val="bottom"/>
            <w:hideMark/>
          </w:tcPr>
          <w:p w14:paraId="77D084D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P-472-17</w:t>
            </w:r>
          </w:p>
        </w:tc>
        <w:tc>
          <w:tcPr>
            <w:tcW w:w="1097" w:type="dxa"/>
            <w:noWrap/>
            <w:vAlign w:val="bottom"/>
            <w:hideMark/>
          </w:tcPr>
          <w:p w14:paraId="15849A5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1B22206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316C2C1" w14:textId="77777777" w:rsidTr="008B7C11">
        <w:trPr>
          <w:trHeight w:val="600"/>
        </w:trPr>
        <w:tc>
          <w:tcPr>
            <w:tcW w:w="958" w:type="dxa"/>
            <w:noWrap/>
            <w:vAlign w:val="center"/>
            <w:hideMark/>
          </w:tcPr>
          <w:p w14:paraId="5B15F00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310</w:t>
            </w:r>
          </w:p>
        </w:tc>
        <w:tc>
          <w:tcPr>
            <w:tcW w:w="1718" w:type="dxa"/>
            <w:noWrap/>
            <w:vAlign w:val="bottom"/>
            <w:hideMark/>
          </w:tcPr>
          <w:p w14:paraId="73A6C19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ECUADOR</w:t>
            </w:r>
          </w:p>
        </w:tc>
        <w:tc>
          <w:tcPr>
            <w:tcW w:w="2712" w:type="dxa"/>
            <w:noWrap/>
            <w:vAlign w:val="bottom"/>
            <w:hideMark/>
          </w:tcPr>
          <w:p w14:paraId="5F5DB7C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P-831-16</w:t>
            </w:r>
          </w:p>
        </w:tc>
        <w:tc>
          <w:tcPr>
            <w:tcW w:w="1097" w:type="dxa"/>
            <w:noWrap/>
            <w:vAlign w:val="bottom"/>
            <w:hideMark/>
          </w:tcPr>
          <w:p w14:paraId="295FA21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54D8FAB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8DFD7DD" w14:textId="77777777" w:rsidTr="008B7C11">
        <w:trPr>
          <w:trHeight w:val="600"/>
        </w:trPr>
        <w:tc>
          <w:tcPr>
            <w:tcW w:w="958" w:type="dxa"/>
            <w:noWrap/>
            <w:vAlign w:val="center"/>
            <w:hideMark/>
          </w:tcPr>
          <w:p w14:paraId="3B3A272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311</w:t>
            </w:r>
          </w:p>
        </w:tc>
        <w:tc>
          <w:tcPr>
            <w:tcW w:w="1718" w:type="dxa"/>
            <w:noWrap/>
            <w:vAlign w:val="bottom"/>
            <w:hideMark/>
          </w:tcPr>
          <w:p w14:paraId="40FCD01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ECUADOR</w:t>
            </w:r>
          </w:p>
        </w:tc>
        <w:tc>
          <w:tcPr>
            <w:tcW w:w="2712" w:type="dxa"/>
            <w:noWrap/>
            <w:vAlign w:val="bottom"/>
            <w:hideMark/>
          </w:tcPr>
          <w:p w14:paraId="3DC8FDA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P-1159-16</w:t>
            </w:r>
          </w:p>
        </w:tc>
        <w:tc>
          <w:tcPr>
            <w:tcW w:w="1097" w:type="dxa"/>
            <w:noWrap/>
            <w:vAlign w:val="bottom"/>
            <w:hideMark/>
          </w:tcPr>
          <w:p w14:paraId="62B7684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312739C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AD30999" w14:textId="77777777" w:rsidTr="008B7C11">
        <w:trPr>
          <w:trHeight w:val="600"/>
        </w:trPr>
        <w:tc>
          <w:tcPr>
            <w:tcW w:w="958" w:type="dxa"/>
            <w:noWrap/>
            <w:vAlign w:val="center"/>
            <w:hideMark/>
          </w:tcPr>
          <w:p w14:paraId="4E6913F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312</w:t>
            </w:r>
          </w:p>
        </w:tc>
        <w:tc>
          <w:tcPr>
            <w:tcW w:w="1718" w:type="dxa"/>
            <w:noWrap/>
            <w:vAlign w:val="bottom"/>
            <w:hideMark/>
          </w:tcPr>
          <w:p w14:paraId="302F22E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ECUADOR</w:t>
            </w:r>
          </w:p>
        </w:tc>
        <w:tc>
          <w:tcPr>
            <w:tcW w:w="2712" w:type="dxa"/>
            <w:noWrap/>
            <w:vAlign w:val="bottom"/>
            <w:hideMark/>
          </w:tcPr>
          <w:p w14:paraId="1B59BDC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P-681-16</w:t>
            </w:r>
          </w:p>
        </w:tc>
        <w:tc>
          <w:tcPr>
            <w:tcW w:w="1097" w:type="dxa"/>
            <w:noWrap/>
            <w:vAlign w:val="bottom"/>
            <w:hideMark/>
          </w:tcPr>
          <w:p w14:paraId="5CD30D7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27B80CE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CFB456A" w14:textId="77777777" w:rsidTr="008B7C11">
        <w:trPr>
          <w:trHeight w:val="600"/>
        </w:trPr>
        <w:tc>
          <w:tcPr>
            <w:tcW w:w="958" w:type="dxa"/>
            <w:noWrap/>
            <w:vAlign w:val="center"/>
            <w:hideMark/>
          </w:tcPr>
          <w:p w14:paraId="6D24281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313</w:t>
            </w:r>
          </w:p>
        </w:tc>
        <w:tc>
          <w:tcPr>
            <w:tcW w:w="1718" w:type="dxa"/>
            <w:noWrap/>
            <w:vAlign w:val="bottom"/>
            <w:hideMark/>
          </w:tcPr>
          <w:p w14:paraId="1F220D3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ECUADOR</w:t>
            </w:r>
          </w:p>
        </w:tc>
        <w:tc>
          <w:tcPr>
            <w:tcW w:w="2712" w:type="dxa"/>
            <w:noWrap/>
            <w:vAlign w:val="bottom"/>
            <w:hideMark/>
          </w:tcPr>
          <w:p w14:paraId="7860AB6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P-1525-14</w:t>
            </w:r>
          </w:p>
        </w:tc>
        <w:tc>
          <w:tcPr>
            <w:tcW w:w="1097" w:type="dxa"/>
            <w:noWrap/>
            <w:vAlign w:val="bottom"/>
            <w:hideMark/>
          </w:tcPr>
          <w:p w14:paraId="2F9C546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1B5EC01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08DE93E" w14:textId="77777777" w:rsidTr="008B7C11">
        <w:trPr>
          <w:trHeight w:val="900"/>
        </w:trPr>
        <w:tc>
          <w:tcPr>
            <w:tcW w:w="958" w:type="dxa"/>
            <w:noWrap/>
            <w:vAlign w:val="center"/>
            <w:hideMark/>
          </w:tcPr>
          <w:p w14:paraId="6EA2A2E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314</w:t>
            </w:r>
          </w:p>
        </w:tc>
        <w:tc>
          <w:tcPr>
            <w:tcW w:w="1718" w:type="dxa"/>
            <w:vAlign w:val="bottom"/>
            <w:hideMark/>
          </w:tcPr>
          <w:p w14:paraId="7051AA3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United States</w:t>
            </w:r>
          </w:p>
        </w:tc>
        <w:tc>
          <w:tcPr>
            <w:tcW w:w="2712" w:type="dxa"/>
            <w:noWrap/>
            <w:vAlign w:val="bottom"/>
            <w:hideMark/>
          </w:tcPr>
          <w:p w14:paraId="07FB5EA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P-1310-17</w:t>
            </w:r>
          </w:p>
        </w:tc>
        <w:tc>
          <w:tcPr>
            <w:tcW w:w="1097" w:type="dxa"/>
            <w:noWrap/>
            <w:vAlign w:val="bottom"/>
            <w:hideMark/>
          </w:tcPr>
          <w:p w14:paraId="516A73A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7BE3786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2306B58" w14:textId="77777777" w:rsidTr="008B7C11">
        <w:trPr>
          <w:trHeight w:val="900"/>
        </w:trPr>
        <w:tc>
          <w:tcPr>
            <w:tcW w:w="958" w:type="dxa"/>
            <w:noWrap/>
            <w:vAlign w:val="center"/>
            <w:hideMark/>
          </w:tcPr>
          <w:p w14:paraId="3F39DEC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315</w:t>
            </w:r>
          </w:p>
        </w:tc>
        <w:tc>
          <w:tcPr>
            <w:tcW w:w="1718" w:type="dxa"/>
            <w:vAlign w:val="bottom"/>
            <w:hideMark/>
          </w:tcPr>
          <w:p w14:paraId="2A24E17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United States</w:t>
            </w:r>
          </w:p>
        </w:tc>
        <w:tc>
          <w:tcPr>
            <w:tcW w:w="2712" w:type="dxa"/>
            <w:noWrap/>
            <w:vAlign w:val="bottom"/>
            <w:hideMark/>
          </w:tcPr>
          <w:p w14:paraId="63EA9C9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P-1981-17</w:t>
            </w:r>
          </w:p>
        </w:tc>
        <w:tc>
          <w:tcPr>
            <w:tcW w:w="1097" w:type="dxa"/>
            <w:noWrap/>
            <w:vAlign w:val="bottom"/>
            <w:hideMark/>
          </w:tcPr>
          <w:p w14:paraId="3A876C6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7856BA2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0635D88" w14:textId="77777777" w:rsidTr="008B7C11">
        <w:trPr>
          <w:trHeight w:val="900"/>
        </w:trPr>
        <w:tc>
          <w:tcPr>
            <w:tcW w:w="958" w:type="dxa"/>
            <w:noWrap/>
            <w:vAlign w:val="center"/>
            <w:hideMark/>
          </w:tcPr>
          <w:p w14:paraId="0692EE8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316</w:t>
            </w:r>
          </w:p>
        </w:tc>
        <w:tc>
          <w:tcPr>
            <w:tcW w:w="1718" w:type="dxa"/>
            <w:vAlign w:val="bottom"/>
            <w:hideMark/>
          </w:tcPr>
          <w:p w14:paraId="4DD4950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United States</w:t>
            </w:r>
          </w:p>
        </w:tc>
        <w:tc>
          <w:tcPr>
            <w:tcW w:w="2712" w:type="dxa"/>
            <w:noWrap/>
            <w:vAlign w:val="bottom"/>
            <w:hideMark/>
          </w:tcPr>
          <w:p w14:paraId="6F669A1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P-107-17</w:t>
            </w:r>
          </w:p>
        </w:tc>
        <w:tc>
          <w:tcPr>
            <w:tcW w:w="1097" w:type="dxa"/>
            <w:noWrap/>
            <w:vAlign w:val="bottom"/>
            <w:hideMark/>
          </w:tcPr>
          <w:p w14:paraId="4E324F0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7B0F98B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7F29045" w14:textId="77777777" w:rsidTr="008B7C11">
        <w:trPr>
          <w:trHeight w:val="900"/>
        </w:trPr>
        <w:tc>
          <w:tcPr>
            <w:tcW w:w="958" w:type="dxa"/>
            <w:noWrap/>
            <w:vAlign w:val="center"/>
            <w:hideMark/>
          </w:tcPr>
          <w:p w14:paraId="1F08005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317</w:t>
            </w:r>
          </w:p>
        </w:tc>
        <w:tc>
          <w:tcPr>
            <w:tcW w:w="1718" w:type="dxa"/>
            <w:vAlign w:val="bottom"/>
            <w:hideMark/>
          </w:tcPr>
          <w:p w14:paraId="11023D4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United States</w:t>
            </w:r>
          </w:p>
        </w:tc>
        <w:tc>
          <w:tcPr>
            <w:tcW w:w="2712" w:type="dxa"/>
            <w:noWrap/>
            <w:vAlign w:val="bottom"/>
            <w:hideMark/>
          </w:tcPr>
          <w:p w14:paraId="1DF5E30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P-1400-15</w:t>
            </w:r>
          </w:p>
        </w:tc>
        <w:tc>
          <w:tcPr>
            <w:tcW w:w="1097" w:type="dxa"/>
            <w:noWrap/>
            <w:vAlign w:val="bottom"/>
            <w:hideMark/>
          </w:tcPr>
          <w:p w14:paraId="7D133E4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66495FF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F91691D" w14:textId="77777777" w:rsidTr="008B7C11">
        <w:trPr>
          <w:trHeight w:val="900"/>
        </w:trPr>
        <w:tc>
          <w:tcPr>
            <w:tcW w:w="958" w:type="dxa"/>
            <w:noWrap/>
            <w:vAlign w:val="center"/>
            <w:hideMark/>
          </w:tcPr>
          <w:p w14:paraId="1F957A3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318</w:t>
            </w:r>
          </w:p>
        </w:tc>
        <w:tc>
          <w:tcPr>
            <w:tcW w:w="1718" w:type="dxa"/>
            <w:vAlign w:val="bottom"/>
            <w:hideMark/>
          </w:tcPr>
          <w:p w14:paraId="447F417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United States</w:t>
            </w:r>
          </w:p>
        </w:tc>
        <w:tc>
          <w:tcPr>
            <w:tcW w:w="2712" w:type="dxa"/>
            <w:noWrap/>
            <w:vAlign w:val="bottom"/>
            <w:hideMark/>
          </w:tcPr>
          <w:p w14:paraId="60FF3AC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P-1157-14</w:t>
            </w:r>
          </w:p>
        </w:tc>
        <w:tc>
          <w:tcPr>
            <w:tcW w:w="1097" w:type="dxa"/>
            <w:noWrap/>
            <w:vAlign w:val="bottom"/>
            <w:hideMark/>
          </w:tcPr>
          <w:p w14:paraId="3A7E1E1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1355044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8E1A7A6" w14:textId="77777777" w:rsidTr="008B7C11">
        <w:trPr>
          <w:trHeight w:val="900"/>
        </w:trPr>
        <w:tc>
          <w:tcPr>
            <w:tcW w:w="958" w:type="dxa"/>
            <w:noWrap/>
            <w:vAlign w:val="center"/>
            <w:hideMark/>
          </w:tcPr>
          <w:p w14:paraId="487A512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319</w:t>
            </w:r>
          </w:p>
        </w:tc>
        <w:tc>
          <w:tcPr>
            <w:tcW w:w="1718" w:type="dxa"/>
            <w:vAlign w:val="bottom"/>
            <w:hideMark/>
          </w:tcPr>
          <w:p w14:paraId="17883A4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United States</w:t>
            </w:r>
          </w:p>
        </w:tc>
        <w:tc>
          <w:tcPr>
            <w:tcW w:w="2712" w:type="dxa"/>
            <w:noWrap/>
            <w:vAlign w:val="bottom"/>
            <w:hideMark/>
          </w:tcPr>
          <w:p w14:paraId="6030B25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P-2466-17</w:t>
            </w:r>
          </w:p>
        </w:tc>
        <w:tc>
          <w:tcPr>
            <w:tcW w:w="1097" w:type="dxa"/>
            <w:noWrap/>
            <w:vAlign w:val="bottom"/>
            <w:hideMark/>
          </w:tcPr>
          <w:p w14:paraId="4735EFA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7B37707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57FB9CD" w14:textId="77777777" w:rsidTr="008B7C11">
        <w:trPr>
          <w:trHeight w:val="900"/>
        </w:trPr>
        <w:tc>
          <w:tcPr>
            <w:tcW w:w="958" w:type="dxa"/>
            <w:noWrap/>
            <w:vAlign w:val="center"/>
            <w:hideMark/>
          </w:tcPr>
          <w:p w14:paraId="23E943E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320</w:t>
            </w:r>
          </w:p>
        </w:tc>
        <w:tc>
          <w:tcPr>
            <w:tcW w:w="1718" w:type="dxa"/>
            <w:vAlign w:val="bottom"/>
            <w:hideMark/>
          </w:tcPr>
          <w:p w14:paraId="46DDC78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United States</w:t>
            </w:r>
          </w:p>
        </w:tc>
        <w:tc>
          <w:tcPr>
            <w:tcW w:w="2712" w:type="dxa"/>
            <w:noWrap/>
            <w:vAlign w:val="bottom"/>
            <w:hideMark/>
          </w:tcPr>
          <w:p w14:paraId="453CA07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P-782-16</w:t>
            </w:r>
          </w:p>
        </w:tc>
        <w:tc>
          <w:tcPr>
            <w:tcW w:w="1097" w:type="dxa"/>
            <w:noWrap/>
            <w:vAlign w:val="bottom"/>
            <w:hideMark/>
          </w:tcPr>
          <w:p w14:paraId="41E5034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09BC3D1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DD7D7D4" w14:textId="77777777" w:rsidTr="008B7C11">
        <w:trPr>
          <w:trHeight w:val="900"/>
        </w:trPr>
        <w:tc>
          <w:tcPr>
            <w:tcW w:w="958" w:type="dxa"/>
            <w:noWrap/>
            <w:vAlign w:val="center"/>
            <w:hideMark/>
          </w:tcPr>
          <w:p w14:paraId="6007B44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321</w:t>
            </w:r>
          </w:p>
        </w:tc>
        <w:tc>
          <w:tcPr>
            <w:tcW w:w="1718" w:type="dxa"/>
            <w:vAlign w:val="bottom"/>
            <w:hideMark/>
          </w:tcPr>
          <w:p w14:paraId="229BFA9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United States</w:t>
            </w:r>
          </w:p>
        </w:tc>
        <w:tc>
          <w:tcPr>
            <w:tcW w:w="2712" w:type="dxa"/>
            <w:noWrap/>
            <w:vAlign w:val="bottom"/>
            <w:hideMark/>
          </w:tcPr>
          <w:p w14:paraId="54E90A7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P-1951-14</w:t>
            </w:r>
          </w:p>
        </w:tc>
        <w:tc>
          <w:tcPr>
            <w:tcW w:w="1097" w:type="dxa"/>
            <w:noWrap/>
            <w:vAlign w:val="bottom"/>
            <w:hideMark/>
          </w:tcPr>
          <w:p w14:paraId="0B430CA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2649874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05B3AB2" w14:textId="77777777" w:rsidTr="008B7C11">
        <w:trPr>
          <w:trHeight w:val="900"/>
        </w:trPr>
        <w:tc>
          <w:tcPr>
            <w:tcW w:w="958" w:type="dxa"/>
            <w:noWrap/>
            <w:vAlign w:val="center"/>
            <w:hideMark/>
          </w:tcPr>
          <w:p w14:paraId="0C7FD7D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322</w:t>
            </w:r>
          </w:p>
        </w:tc>
        <w:tc>
          <w:tcPr>
            <w:tcW w:w="1718" w:type="dxa"/>
            <w:vAlign w:val="bottom"/>
            <w:hideMark/>
          </w:tcPr>
          <w:p w14:paraId="1F87A49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United States</w:t>
            </w:r>
          </w:p>
        </w:tc>
        <w:tc>
          <w:tcPr>
            <w:tcW w:w="2712" w:type="dxa"/>
            <w:noWrap/>
            <w:vAlign w:val="bottom"/>
            <w:hideMark/>
          </w:tcPr>
          <w:p w14:paraId="31C17CF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P-2262-13</w:t>
            </w:r>
          </w:p>
        </w:tc>
        <w:tc>
          <w:tcPr>
            <w:tcW w:w="1097" w:type="dxa"/>
            <w:noWrap/>
            <w:vAlign w:val="bottom"/>
            <w:hideMark/>
          </w:tcPr>
          <w:p w14:paraId="66E3AFD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47DEFB4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ACAA8EC" w14:textId="77777777" w:rsidTr="008B7C11">
        <w:trPr>
          <w:trHeight w:val="900"/>
        </w:trPr>
        <w:tc>
          <w:tcPr>
            <w:tcW w:w="958" w:type="dxa"/>
            <w:noWrap/>
            <w:vAlign w:val="center"/>
            <w:hideMark/>
          </w:tcPr>
          <w:p w14:paraId="56E79F5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323</w:t>
            </w:r>
          </w:p>
        </w:tc>
        <w:tc>
          <w:tcPr>
            <w:tcW w:w="1718" w:type="dxa"/>
            <w:vAlign w:val="bottom"/>
            <w:hideMark/>
          </w:tcPr>
          <w:p w14:paraId="0ED7F2C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United States</w:t>
            </w:r>
          </w:p>
        </w:tc>
        <w:tc>
          <w:tcPr>
            <w:tcW w:w="2712" w:type="dxa"/>
            <w:noWrap/>
            <w:vAlign w:val="bottom"/>
            <w:hideMark/>
          </w:tcPr>
          <w:p w14:paraId="0D892B3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P-2390-16</w:t>
            </w:r>
          </w:p>
        </w:tc>
        <w:tc>
          <w:tcPr>
            <w:tcW w:w="1097" w:type="dxa"/>
            <w:noWrap/>
            <w:vAlign w:val="bottom"/>
            <w:hideMark/>
          </w:tcPr>
          <w:p w14:paraId="624B809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0590459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83208DE" w14:textId="77777777" w:rsidTr="008B7C11">
        <w:trPr>
          <w:trHeight w:val="900"/>
        </w:trPr>
        <w:tc>
          <w:tcPr>
            <w:tcW w:w="958" w:type="dxa"/>
            <w:noWrap/>
            <w:vAlign w:val="center"/>
            <w:hideMark/>
          </w:tcPr>
          <w:p w14:paraId="1BBF0AE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324</w:t>
            </w:r>
          </w:p>
        </w:tc>
        <w:tc>
          <w:tcPr>
            <w:tcW w:w="1718" w:type="dxa"/>
            <w:vAlign w:val="bottom"/>
            <w:hideMark/>
          </w:tcPr>
          <w:p w14:paraId="0B11F6F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United States</w:t>
            </w:r>
          </w:p>
        </w:tc>
        <w:tc>
          <w:tcPr>
            <w:tcW w:w="2712" w:type="dxa"/>
            <w:noWrap/>
            <w:vAlign w:val="bottom"/>
            <w:hideMark/>
          </w:tcPr>
          <w:p w14:paraId="4B3D352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P-1484-16</w:t>
            </w:r>
          </w:p>
        </w:tc>
        <w:tc>
          <w:tcPr>
            <w:tcW w:w="1097" w:type="dxa"/>
            <w:noWrap/>
            <w:vAlign w:val="bottom"/>
            <w:hideMark/>
          </w:tcPr>
          <w:p w14:paraId="062D12E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0A3BEE4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4EDFED7" w14:textId="77777777" w:rsidTr="008B7C11">
        <w:trPr>
          <w:trHeight w:val="600"/>
        </w:trPr>
        <w:tc>
          <w:tcPr>
            <w:tcW w:w="958" w:type="dxa"/>
            <w:noWrap/>
            <w:vAlign w:val="center"/>
            <w:hideMark/>
          </w:tcPr>
          <w:p w14:paraId="728B010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325</w:t>
            </w:r>
          </w:p>
        </w:tc>
        <w:tc>
          <w:tcPr>
            <w:tcW w:w="1718" w:type="dxa"/>
            <w:noWrap/>
            <w:vAlign w:val="bottom"/>
            <w:hideMark/>
          </w:tcPr>
          <w:p w14:paraId="59B2E48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GUATEMALA</w:t>
            </w:r>
          </w:p>
        </w:tc>
        <w:tc>
          <w:tcPr>
            <w:tcW w:w="2712" w:type="dxa"/>
            <w:noWrap/>
            <w:vAlign w:val="bottom"/>
            <w:hideMark/>
          </w:tcPr>
          <w:p w14:paraId="3EF5BC1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P-1990-18</w:t>
            </w:r>
          </w:p>
        </w:tc>
        <w:tc>
          <w:tcPr>
            <w:tcW w:w="1097" w:type="dxa"/>
            <w:noWrap/>
            <w:vAlign w:val="bottom"/>
            <w:hideMark/>
          </w:tcPr>
          <w:p w14:paraId="743D051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18</w:t>
            </w:r>
          </w:p>
        </w:tc>
        <w:tc>
          <w:tcPr>
            <w:tcW w:w="2600" w:type="dxa"/>
            <w:vAlign w:val="center"/>
            <w:hideMark/>
          </w:tcPr>
          <w:p w14:paraId="63F9E5B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35256E3" w14:textId="77777777" w:rsidTr="008B7C11">
        <w:trPr>
          <w:trHeight w:val="600"/>
        </w:trPr>
        <w:tc>
          <w:tcPr>
            <w:tcW w:w="958" w:type="dxa"/>
            <w:noWrap/>
            <w:vAlign w:val="center"/>
            <w:hideMark/>
          </w:tcPr>
          <w:p w14:paraId="3956266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326</w:t>
            </w:r>
          </w:p>
        </w:tc>
        <w:tc>
          <w:tcPr>
            <w:tcW w:w="1718" w:type="dxa"/>
            <w:noWrap/>
            <w:vAlign w:val="bottom"/>
            <w:hideMark/>
          </w:tcPr>
          <w:p w14:paraId="390CA61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GUATEMALA</w:t>
            </w:r>
          </w:p>
        </w:tc>
        <w:tc>
          <w:tcPr>
            <w:tcW w:w="2712" w:type="dxa"/>
            <w:noWrap/>
            <w:vAlign w:val="bottom"/>
            <w:hideMark/>
          </w:tcPr>
          <w:p w14:paraId="354BDA2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P-2076-17</w:t>
            </w:r>
          </w:p>
        </w:tc>
        <w:tc>
          <w:tcPr>
            <w:tcW w:w="1097" w:type="dxa"/>
            <w:noWrap/>
            <w:vAlign w:val="bottom"/>
            <w:hideMark/>
          </w:tcPr>
          <w:p w14:paraId="39FCED4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3728625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629289E" w14:textId="77777777" w:rsidTr="008B7C11">
        <w:trPr>
          <w:trHeight w:val="600"/>
        </w:trPr>
        <w:tc>
          <w:tcPr>
            <w:tcW w:w="958" w:type="dxa"/>
            <w:noWrap/>
            <w:vAlign w:val="center"/>
            <w:hideMark/>
          </w:tcPr>
          <w:p w14:paraId="28DC18C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327</w:t>
            </w:r>
          </w:p>
        </w:tc>
        <w:tc>
          <w:tcPr>
            <w:tcW w:w="1718" w:type="dxa"/>
            <w:noWrap/>
            <w:vAlign w:val="bottom"/>
            <w:hideMark/>
          </w:tcPr>
          <w:p w14:paraId="1EAF941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GUATEMALA</w:t>
            </w:r>
          </w:p>
        </w:tc>
        <w:tc>
          <w:tcPr>
            <w:tcW w:w="2712" w:type="dxa"/>
            <w:noWrap/>
            <w:vAlign w:val="bottom"/>
            <w:hideMark/>
          </w:tcPr>
          <w:p w14:paraId="50D0EB4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P-2273-17</w:t>
            </w:r>
          </w:p>
        </w:tc>
        <w:tc>
          <w:tcPr>
            <w:tcW w:w="1097" w:type="dxa"/>
            <w:noWrap/>
            <w:vAlign w:val="bottom"/>
            <w:hideMark/>
          </w:tcPr>
          <w:p w14:paraId="79DDFF9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54A3420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12E26B7" w14:textId="77777777" w:rsidTr="008B7C11">
        <w:trPr>
          <w:trHeight w:val="600"/>
        </w:trPr>
        <w:tc>
          <w:tcPr>
            <w:tcW w:w="958" w:type="dxa"/>
            <w:noWrap/>
            <w:vAlign w:val="center"/>
            <w:hideMark/>
          </w:tcPr>
          <w:p w14:paraId="4407E49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328</w:t>
            </w:r>
          </w:p>
        </w:tc>
        <w:tc>
          <w:tcPr>
            <w:tcW w:w="1718" w:type="dxa"/>
            <w:noWrap/>
            <w:vAlign w:val="bottom"/>
            <w:hideMark/>
          </w:tcPr>
          <w:p w14:paraId="7DD9D26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GUATEMALA</w:t>
            </w:r>
          </w:p>
        </w:tc>
        <w:tc>
          <w:tcPr>
            <w:tcW w:w="2712" w:type="dxa"/>
            <w:noWrap/>
            <w:vAlign w:val="bottom"/>
            <w:hideMark/>
          </w:tcPr>
          <w:p w14:paraId="286A30F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P-1020-14</w:t>
            </w:r>
          </w:p>
        </w:tc>
        <w:tc>
          <w:tcPr>
            <w:tcW w:w="1097" w:type="dxa"/>
            <w:noWrap/>
            <w:vAlign w:val="bottom"/>
            <w:hideMark/>
          </w:tcPr>
          <w:p w14:paraId="0CE5EC6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6BAB998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1744D50" w14:textId="77777777" w:rsidTr="008B7C11">
        <w:trPr>
          <w:trHeight w:val="600"/>
        </w:trPr>
        <w:tc>
          <w:tcPr>
            <w:tcW w:w="958" w:type="dxa"/>
            <w:noWrap/>
            <w:vAlign w:val="center"/>
            <w:hideMark/>
          </w:tcPr>
          <w:p w14:paraId="528FFD6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329</w:t>
            </w:r>
          </w:p>
        </w:tc>
        <w:tc>
          <w:tcPr>
            <w:tcW w:w="1718" w:type="dxa"/>
            <w:noWrap/>
            <w:vAlign w:val="bottom"/>
            <w:hideMark/>
          </w:tcPr>
          <w:p w14:paraId="78F8C70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GUATEMALA</w:t>
            </w:r>
          </w:p>
        </w:tc>
        <w:tc>
          <w:tcPr>
            <w:tcW w:w="2712" w:type="dxa"/>
            <w:noWrap/>
            <w:vAlign w:val="bottom"/>
            <w:hideMark/>
          </w:tcPr>
          <w:p w14:paraId="7AF878B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P-2539-12</w:t>
            </w:r>
          </w:p>
        </w:tc>
        <w:tc>
          <w:tcPr>
            <w:tcW w:w="1097" w:type="dxa"/>
            <w:noWrap/>
            <w:vAlign w:val="bottom"/>
            <w:hideMark/>
          </w:tcPr>
          <w:p w14:paraId="293BD33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772354A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EF01EA6" w14:textId="77777777" w:rsidTr="008B7C11">
        <w:trPr>
          <w:trHeight w:val="600"/>
        </w:trPr>
        <w:tc>
          <w:tcPr>
            <w:tcW w:w="958" w:type="dxa"/>
            <w:noWrap/>
            <w:vAlign w:val="center"/>
            <w:hideMark/>
          </w:tcPr>
          <w:p w14:paraId="05C6AF3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330</w:t>
            </w:r>
          </w:p>
        </w:tc>
        <w:tc>
          <w:tcPr>
            <w:tcW w:w="1718" w:type="dxa"/>
            <w:vAlign w:val="bottom"/>
            <w:hideMark/>
          </w:tcPr>
          <w:p w14:paraId="323D5AF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HAITI</w:t>
            </w:r>
            <w:r w:rsidRPr="00524435">
              <w:rPr>
                <w:rFonts w:ascii="Cambria" w:hAnsi="Cambria" w:cs="Calibri"/>
                <w:color w:val="000000"/>
                <w:sz w:val="20"/>
                <w:szCs w:val="20"/>
              </w:rPr>
              <w:br/>
            </w:r>
            <w:proofErr w:type="spellStart"/>
            <w:r w:rsidRPr="00524435">
              <w:rPr>
                <w:rFonts w:ascii="Cambria" w:hAnsi="Cambria" w:cs="Calibri"/>
                <w:i/>
                <w:iCs/>
                <w:color w:val="000000"/>
                <w:sz w:val="20"/>
                <w:szCs w:val="20"/>
              </w:rPr>
              <w:t>Haïti</w:t>
            </w:r>
            <w:proofErr w:type="spellEnd"/>
            <w:r w:rsidRPr="00524435">
              <w:rPr>
                <w:rFonts w:ascii="Cambria" w:hAnsi="Cambria" w:cs="Calibri"/>
                <w:color w:val="000000"/>
                <w:sz w:val="20"/>
                <w:szCs w:val="20"/>
              </w:rPr>
              <w:t xml:space="preserve"> </w:t>
            </w:r>
          </w:p>
        </w:tc>
        <w:tc>
          <w:tcPr>
            <w:tcW w:w="2712" w:type="dxa"/>
            <w:noWrap/>
            <w:vAlign w:val="bottom"/>
            <w:hideMark/>
          </w:tcPr>
          <w:p w14:paraId="76D7FBE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P-209-13</w:t>
            </w:r>
          </w:p>
        </w:tc>
        <w:tc>
          <w:tcPr>
            <w:tcW w:w="1097" w:type="dxa"/>
            <w:noWrap/>
            <w:vAlign w:val="bottom"/>
            <w:hideMark/>
          </w:tcPr>
          <w:p w14:paraId="56E82AB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23BB2E6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8E91669" w14:textId="77777777" w:rsidTr="008B7C11">
        <w:trPr>
          <w:trHeight w:val="600"/>
        </w:trPr>
        <w:tc>
          <w:tcPr>
            <w:tcW w:w="958" w:type="dxa"/>
            <w:noWrap/>
            <w:vAlign w:val="center"/>
            <w:hideMark/>
          </w:tcPr>
          <w:p w14:paraId="3CD4C27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331</w:t>
            </w:r>
          </w:p>
        </w:tc>
        <w:tc>
          <w:tcPr>
            <w:tcW w:w="1718" w:type="dxa"/>
            <w:noWrap/>
            <w:vAlign w:val="bottom"/>
            <w:hideMark/>
          </w:tcPr>
          <w:p w14:paraId="493501E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HONDURAS</w:t>
            </w:r>
          </w:p>
        </w:tc>
        <w:tc>
          <w:tcPr>
            <w:tcW w:w="2712" w:type="dxa"/>
            <w:noWrap/>
            <w:vAlign w:val="bottom"/>
            <w:hideMark/>
          </w:tcPr>
          <w:p w14:paraId="11960CD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P-851-09</w:t>
            </w:r>
          </w:p>
        </w:tc>
        <w:tc>
          <w:tcPr>
            <w:tcW w:w="1097" w:type="dxa"/>
            <w:noWrap/>
            <w:vAlign w:val="bottom"/>
            <w:hideMark/>
          </w:tcPr>
          <w:p w14:paraId="4477C13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9</w:t>
            </w:r>
          </w:p>
        </w:tc>
        <w:tc>
          <w:tcPr>
            <w:tcW w:w="2600" w:type="dxa"/>
            <w:vAlign w:val="center"/>
            <w:hideMark/>
          </w:tcPr>
          <w:p w14:paraId="413B3EE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4366303" w14:textId="77777777" w:rsidTr="008B7C11">
        <w:trPr>
          <w:trHeight w:val="600"/>
        </w:trPr>
        <w:tc>
          <w:tcPr>
            <w:tcW w:w="958" w:type="dxa"/>
            <w:noWrap/>
            <w:vAlign w:val="center"/>
            <w:hideMark/>
          </w:tcPr>
          <w:p w14:paraId="410D829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332</w:t>
            </w:r>
          </w:p>
        </w:tc>
        <w:tc>
          <w:tcPr>
            <w:tcW w:w="1718" w:type="dxa"/>
            <w:noWrap/>
            <w:vAlign w:val="bottom"/>
            <w:hideMark/>
          </w:tcPr>
          <w:p w14:paraId="3E581A3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HONDURAS</w:t>
            </w:r>
          </w:p>
        </w:tc>
        <w:tc>
          <w:tcPr>
            <w:tcW w:w="2712" w:type="dxa"/>
            <w:noWrap/>
            <w:vAlign w:val="bottom"/>
            <w:hideMark/>
          </w:tcPr>
          <w:p w14:paraId="54F2D31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P-102-16</w:t>
            </w:r>
          </w:p>
        </w:tc>
        <w:tc>
          <w:tcPr>
            <w:tcW w:w="1097" w:type="dxa"/>
            <w:noWrap/>
            <w:vAlign w:val="bottom"/>
            <w:hideMark/>
          </w:tcPr>
          <w:p w14:paraId="0299507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4EB155D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63E9565" w14:textId="77777777" w:rsidTr="008B7C11">
        <w:trPr>
          <w:trHeight w:val="600"/>
        </w:trPr>
        <w:tc>
          <w:tcPr>
            <w:tcW w:w="958" w:type="dxa"/>
            <w:noWrap/>
            <w:vAlign w:val="center"/>
            <w:hideMark/>
          </w:tcPr>
          <w:p w14:paraId="35812F0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333</w:t>
            </w:r>
          </w:p>
        </w:tc>
        <w:tc>
          <w:tcPr>
            <w:tcW w:w="1718" w:type="dxa"/>
            <w:noWrap/>
            <w:vAlign w:val="bottom"/>
            <w:hideMark/>
          </w:tcPr>
          <w:p w14:paraId="37F5D73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HONDURAS</w:t>
            </w:r>
          </w:p>
        </w:tc>
        <w:tc>
          <w:tcPr>
            <w:tcW w:w="2712" w:type="dxa"/>
            <w:noWrap/>
            <w:vAlign w:val="bottom"/>
            <w:hideMark/>
          </w:tcPr>
          <w:p w14:paraId="6D4E313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P-1057-08</w:t>
            </w:r>
          </w:p>
        </w:tc>
        <w:tc>
          <w:tcPr>
            <w:tcW w:w="1097" w:type="dxa"/>
            <w:noWrap/>
            <w:vAlign w:val="bottom"/>
            <w:hideMark/>
          </w:tcPr>
          <w:p w14:paraId="6BC416A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8</w:t>
            </w:r>
          </w:p>
        </w:tc>
        <w:tc>
          <w:tcPr>
            <w:tcW w:w="2600" w:type="dxa"/>
            <w:vAlign w:val="center"/>
            <w:hideMark/>
          </w:tcPr>
          <w:p w14:paraId="5CA6CE2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F1C7C4F" w14:textId="77777777" w:rsidTr="008B7C11">
        <w:trPr>
          <w:trHeight w:val="600"/>
        </w:trPr>
        <w:tc>
          <w:tcPr>
            <w:tcW w:w="958" w:type="dxa"/>
            <w:noWrap/>
            <w:vAlign w:val="center"/>
            <w:hideMark/>
          </w:tcPr>
          <w:p w14:paraId="29F5E92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334</w:t>
            </w:r>
          </w:p>
        </w:tc>
        <w:tc>
          <w:tcPr>
            <w:tcW w:w="1718" w:type="dxa"/>
            <w:noWrap/>
            <w:vAlign w:val="bottom"/>
            <w:hideMark/>
          </w:tcPr>
          <w:p w14:paraId="59FE767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HONDURAS</w:t>
            </w:r>
          </w:p>
        </w:tc>
        <w:tc>
          <w:tcPr>
            <w:tcW w:w="2712" w:type="dxa"/>
            <w:noWrap/>
            <w:vAlign w:val="bottom"/>
            <w:hideMark/>
          </w:tcPr>
          <w:p w14:paraId="1214031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P-850-09</w:t>
            </w:r>
          </w:p>
        </w:tc>
        <w:tc>
          <w:tcPr>
            <w:tcW w:w="1097" w:type="dxa"/>
            <w:noWrap/>
            <w:vAlign w:val="bottom"/>
            <w:hideMark/>
          </w:tcPr>
          <w:p w14:paraId="24C7118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9</w:t>
            </w:r>
          </w:p>
        </w:tc>
        <w:tc>
          <w:tcPr>
            <w:tcW w:w="2600" w:type="dxa"/>
            <w:vAlign w:val="center"/>
            <w:hideMark/>
          </w:tcPr>
          <w:p w14:paraId="03F813C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9F9E73D" w14:textId="77777777" w:rsidTr="008B7C11">
        <w:trPr>
          <w:trHeight w:val="600"/>
        </w:trPr>
        <w:tc>
          <w:tcPr>
            <w:tcW w:w="958" w:type="dxa"/>
            <w:noWrap/>
            <w:vAlign w:val="center"/>
            <w:hideMark/>
          </w:tcPr>
          <w:p w14:paraId="62D9BE8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335</w:t>
            </w:r>
          </w:p>
        </w:tc>
        <w:tc>
          <w:tcPr>
            <w:tcW w:w="1718" w:type="dxa"/>
            <w:noWrap/>
            <w:vAlign w:val="bottom"/>
            <w:hideMark/>
          </w:tcPr>
          <w:p w14:paraId="5670685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HONDURAS</w:t>
            </w:r>
          </w:p>
        </w:tc>
        <w:tc>
          <w:tcPr>
            <w:tcW w:w="2712" w:type="dxa"/>
            <w:noWrap/>
            <w:vAlign w:val="bottom"/>
            <w:hideMark/>
          </w:tcPr>
          <w:p w14:paraId="315EA24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P-1486-14</w:t>
            </w:r>
          </w:p>
        </w:tc>
        <w:tc>
          <w:tcPr>
            <w:tcW w:w="1097" w:type="dxa"/>
            <w:noWrap/>
            <w:vAlign w:val="bottom"/>
            <w:hideMark/>
          </w:tcPr>
          <w:p w14:paraId="16842FC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6829785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207D8A6" w14:textId="77777777" w:rsidTr="008B7C11">
        <w:trPr>
          <w:trHeight w:val="600"/>
        </w:trPr>
        <w:tc>
          <w:tcPr>
            <w:tcW w:w="958" w:type="dxa"/>
            <w:noWrap/>
            <w:vAlign w:val="center"/>
            <w:hideMark/>
          </w:tcPr>
          <w:p w14:paraId="2328D5E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336</w:t>
            </w:r>
          </w:p>
        </w:tc>
        <w:tc>
          <w:tcPr>
            <w:tcW w:w="1718" w:type="dxa"/>
            <w:noWrap/>
            <w:vAlign w:val="bottom"/>
            <w:hideMark/>
          </w:tcPr>
          <w:p w14:paraId="70A277A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HONDURAS</w:t>
            </w:r>
          </w:p>
        </w:tc>
        <w:tc>
          <w:tcPr>
            <w:tcW w:w="2712" w:type="dxa"/>
            <w:noWrap/>
            <w:vAlign w:val="bottom"/>
            <w:hideMark/>
          </w:tcPr>
          <w:p w14:paraId="23D503C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P-2182-15</w:t>
            </w:r>
          </w:p>
        </w:tc>
        <w:tc>
          <w:tcPr>
            <w:tcW w:w="1097" w:type="dxa"/>
            <w:noWrap/>
            <w:vAlign w:val="bottom"/>
            <w:hideMark/>
          </w:tcPr>
          <w:p w14:paraId="3DFDE50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5048C05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1258C0B" w14:textId="77777777" w:rsidTr="008B7C11">
        <w:trPr>
          <w:trHeight w:val="600"/>
        </w:trPr>
        <w:tc>
          <w:tcPr>
            <w:tcW w:w="958" w:type="dxa"/>
            <w:noWrap/>
            <w:vAlign w:val="center"/>
            <w:hideMark/>
          </w:tcPr>
          <w:p w14:paraId="520F024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337</w:t>
            </w:r>
          </w:p>
        </w:tc>
        <w:tc>
          <w:tcPr>
            <w:tcW w:w="1718" w:type="dxa"/>
            <w:noWrap/>
            <w:vAlign w:val="bottom"/>
            <w:hideMark/>
          </w:tcPr>
          <w:p w14:paraId="24D6B9C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HONDURAS</w:t>
            </w:r>
          </w:p>
        </w:tc>
        <w:tc>
          <w:tcPr>
            <w:tcW w:w="2712" w:type="dxa"/>
            <w:noWrap/>
            <w:vAlign w:val="bottom"/>
            <w:hideMark/>
          </w:tcPr>
          <w:p w14:paraId="5CA0ECC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P-131-11</w:t>
            </w:r>
          </w:p>
        </w:tc>
        <w:tc>
          <w:tcPr>
            <w:tcW w:w="1097" w:type="dxa"/>
            <w:noWrap/>
            <w:vAlign w:val="bottom"/>
            <w:hideMark/>
          </w:tcPr>
          <w:p w14:paraId="24A8ECC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11</w:t>
            </w:r>
          </w:p>
        </w:tc>
        <w:tc>
          <w:tcPr>
            <w:tcW w:w="2600" w:type="dxa"/>
            <w:vAlign w:val="center"/>
            <w:hideMark/>
          </w:tcPr>
          <w:p w14:paraId="7F8F8D1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0560ADF" w14:textId="77777777" w:rsidTr="008B7C11">
        <w:trPr>
          <w:trHeight w:val="600"/>
        </w:trPr>
        <w:tc>
          <w:tcPr>
            <w:tcW w:w="958" w:type="dxa"/>
            <w:noWrap/>
            <w:vAlign w:val="center"/>
            <w:hideMark/>
          </w:tcPr>
          <w:p w14:paraId="587A5B3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338</w:t>
            </w:r>
          </w:p>
        </w:tc>
        <w:tc>
          <w:tcPr>
            <w:tcW w:w="1718" w:type="dxa"/>
            <w:noWrap/>
            <w:vAlign w:val="bottom"/>
            <w:hideMark/>
          </w:tcPr>
          <w:p w14:paraId="690AF37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HONDURAS</w:t>
            </w:r>
          </w:p>
        </w:tc>
        <w:tc>
          <w:tcPr>
            <w:tcW w:w="2712" w:type="dxa"/>
            <w:noWrap/>
            <w:vAlign w:val="bottom"/>
            <w:hideMark/>
          </w:tcPr>
          <w:p w14:paraId="642A56C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P-679-17</w:t>
            </w:r>
          </w:p>
        </w:tc>
        <w:tc>
          <w:tcPr>
            <w:tcW w:w="1097" w:type="dxa"/>
            <w:noWrap/>
            <w:vAlign w:val="bottom"/>
            <w:hideMark/>
          </w:tcPr>
          <w:p w14:paraId="474FB52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57E5A77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01D10BD" w14:textId="77777777" w:rsidTr="008B7C11">
        <w:trPr>
          <w:trHeight w:val="600"/>
        </w:trPr>
        <w:tc>
          <w:tcPr>
            <w:tcW w:w="958" w:type="dxa"/>
            <w:noWrap/>
            <w:vAlign w:val="center"/>
            <w:hideMark/>
          </w:tcPr>
          <w:p w14:paraId="1FEBDEE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339</w:t>
            </w:r>
          </w:p>
        </w:tc>
        <w:tc>
          <w:tcPr>
            <w:tcW w:w="1718" w:type="dxa"/>
            <w:noWrap/>
            <w:vAlign w:val="bottom"/>
            <w:hideMark/>
          </w:tcPr>
          <w:p w14:paraId="36D3589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HONDURAS</w:t>
            </w:r>
          </w:p>
        </w:tc>
        <w:tc>
          <w:tcPr>
            <w:tcW w:w="2712" w:type="dxa"/>
            <w:noWrap/>
            <w:vAlign w:val="bottom"/>
            <w:hideMark/>
          </w:tcPr>
          <w:p w14:paraId="64F9E7A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P-1741-14</w:t>
            </w:r>
          </w:p>
        </w:tc>
        <w:tc>
          <w:tcPr>
            <w:tcW w:w="1097" w:type="dxa"/>
            <w:noWrap/>
            <w:vAlign w:val="bottom"/>
            <w:hideMark/>
          </w:tcPr>
          <w:p w14:paraId="6237D85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13744F9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2BE6A99" w14:textId="77777777" w:rsidTr="008B7C11">
        <w:trPr>
          <w:trHeight w:val="600"/>
        </w:trPr>
        <w:tc>
          <w:tcPr>
            <w:tcW w:w="958" w:type="dxa"/>
            <w:noWrap/>
            <w:vAlign w:val="center"/>
            <w:hideMark/>
          </w:tcPr>
          <w:p w14:paraId="2618232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340</w:t>
            </w:r>
          </w:p>
        </w:tc>
        <w:tc>
          <w:tcPr>
            <w:tcW w:w="1718" w:type="dxa"/>
            <w:noWrap/>
            <w:vAlign w:val="bottom"/>
            <w:hideMark/>
          </w:tcPr>
          <w:p w14:paraId="0709C98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HONDURAS</w:t>
            </w:r>
          </w:p>
        </w:tc>
        <w:tc>
          <w:tcPr>
            <w:tcW w:w="2712" w:type="dxa"/>
            <w:noWrap/>
            <w:vAlign w:val="bottom"/>
            <w:hideMark/>
          </w:tcPr>
          <w:p w14:paraId="1D849CD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P-1724-09</w:t>
            </w:r>
          </w:p>
        </w:tc>
        <w:tc>
          <w:tcPr>
            <w:tcW w:w="1097" w:type="dxa"/>
            <w:noWrap/>
            <w:vAlign w:val="bottom"/>
            <w:hideMark/>
          </w:tcPr>
          <w:p w14:paraId="03813C9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9</w:t>
            </w:r>
          </w:p>
        </w:tc>
        <w:tc>
          <w:tcPr>
            <w:tcW w:w="2600" w:type="dxa"/>
            <w:vAlign w:val="center"/>
            <w:hideMark/>
          </w:tcPr>
          <w:p w14:paraId="0FFF5DC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30062C5" w14:textId="77777777" w:rsidTr="008B7C11">
        <w:trPr>
          <w:trHeight w:val="600"/>
        </w:trPr>
        <w:tc>
          <w:tcPr>
            <w:tcW w:w="958" w:type="dxa"/>
            <w:noWrap/>
            <w:vAlign w:val="center"/>
            <w:hideMark/>
          </w:tcPr>
          <w:p w14:paraId="6E0C435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341</w:t>
            </w:r>
          </w:p>
        </w:tc>
        <w:tc>
          <w:tcPr>
            <w:tcW w:w="1718" w:type="dxa"/>
            <w:noWrap/>
            <w:vAlign w:val="bottom"/>
            <w:hideMark/>
          </w:tcPr>
          <w:p w14:paraId="6780B06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JAMAICA</w:t>
            </w:r>
          </w:p>
        </w:tc>
        <w:tc>
          <w:tcPr>
            <w:tcW w:w="2712" w:type="dxa"/>
            <w:noWrap/>
            <w:vAlign w:val="bottom"/>
            <w:hideMark/>
          </w:tcPr>
          <w:p w14:paraId="4EFB6D9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P-1922-15</w:t>
            </w:r>
          </w:p>
        </w:tc>
        <w:tc>
          <w:tcPr>
            <w:tcW w:w="1097" w:type="dxa"/>
            <w:noWrap/>
            <w:vAlign w:val="bottom"/>
            <w:hideMark/>
          </w:tcPr>
          <w:p w14:paraId="1EA88A2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42C8F8D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2F685CF" w14:textId="77777777" w:rsidTr="008B7C11">
        <w:trPr>
          <w:trHeight w:val="600"/>
        </w:trPr>
        <w:tc>
          <w:tcPr>
            <w:tcW w:w="958" w:type="dxa"/>
            <w:noWrap/>
            <w:vAlign w:val="center"/>
            <w:hideMark/>
          </w:tcPr>
          <w:p w14:paraId="30D9FEA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342</w:t>
            </w:r>
          </w:p>
        </w:tc>
        <w:tc>
          <w:tcPr>
            <w:tcW w:w="1718" w:type="dxa"/>
            <w:noWrap/>
            <w:vAlign w:val="bottom"/>
            <w:hideMark/>
          </w:tcPr>
          <w:p w14:paraId="360B136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1F41BE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P-10-14</w:t>
            </w:r>
          </w:p>
        </w:tc>
        <w:tc>
          <w:tcPr>
            <w:tcW w:w="1097" w:type="dxa"/>
            <w:noWrap/>
            <w:vAlign w:val="bottom"/>
            <w:hideMark/>
          </w:tcPr>
          <w:p w14:paraId="6CDE48D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269CA87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36F6787" w14:textId="77777777" w:rsidTr="008B7C11">
        <w:trPr>
          <w:trHeight w:val="600"/>
        </w:trPr>
        <w:tc>
          <w:tcPr>
            <w:tcW w:w="958" w:type="dxa"/>
            <w:noWrap/>
            <w:vAlign w:val="center"/>
            <w:hideMark/>
          </w:tcPr>
          <w:p w14:paraId="26784E1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343</w:t>
            </w:r>
          </w:p>
        </w:tc>
        <w:tc>
          <w:tcPr>
            <w:tcW w:w="1718" w:type="dxa"/>
            <w:noWrap/>
            <w:vAlign w:val="bottom"/>
            <w:hideMark/>
          </w:tcPr>
          <w:p w14:paraId="70586D7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B6B84E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P-1733-14</w:t>
            </w:r>
          </w:p>
        </w:tc>
        <w:tc>
          <w:tcPr>
            <w:tcW w:w="1097" w:type="dxa"/>
            <w:noWrap/>
            <w:vAlign w:val="bottom"/>
            <w:hideMark/>
          </w:tcPr>
          <w:p w14:paraId="36D59D4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3BFEA79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2284E9F" w14:textId="77777777" w:rsidTr="008B7C11">
        <w:trPr>
          <w:trHeight w:val="600"/>
        </w:trPr>
        <w:tc>
          <w:tcPr>
            <w:tcW w:w="958" w:type="dxa"/>
            <w:noWrap/>
            <w:vAlign w:val="center"/>
            <w:hideMark/>
          </w:tcPr>
          <w:p w14:paraId="53E3779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344</w:t>
            </w:r>
          </w:p>
        </w:tc>
        <w:tc>
          <w:tcPr>
            <w:tcW w:w="1718" w:type="dxa"/>
            <w:noWrap/>
            <w:vAlign w:val="bottom"/>
            <w:hideMark/>
          </w:tcPr>
          <w:p w14:paraId="586EC12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BF3E57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P-1063-16</w:t>
            </w:r>
          </w:p>
        </w:tc>
        <w:tc>
          <w:tcPr>
            <w:tcW w:w="1097" w:type="dxa"/>
            <w:noWrap/>
            <w:vAlign w:val="bottom"/>
            <w:hideMark/>
          </w:tcPr>
          <w:p w14:paraId="46B6848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6306423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172210B" w14:textId="77777777" w:rsidTr="008B7C11">
        <w:trPr>
          <w:trHeight w:val="600"/>
        </w:trPr>
        <w:tc>
          <w:tcPr>
            <w:tcW w:w="958" w:type="dxa"/>
            <w:noWrap/>
            <w:vAlign w:val="center"/>
            <w:hideMark/>
          </w:tcPr>
          <w:p w14:paraId="5F5CD42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345</w:t>
            </w:r>
          </w:p>
        </w:tc>
        <w:tc>
          <w:tcPr>
            <w:tcW w:w="1718" w:type="dxa"/>
            <w:noWrap/>
            <w:vAlign w:val="bottom"/>
            <w:hideMark/>
          </w:tcPr>
          <w:p w14:paraId="07446E7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74F550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P-1467-15</w:t>
            </w:r>
          </w:p>
        </w:tc>
        <w:tc>
          <w:tcPr>
            <w:tcW w:w="1097" w:type="dxa"/>
            <w:noWrap/>
            <w:vAlign w:val="bottom"/>
            <w:hideMark/>
          </w:tcPr>
          <w:p w14:paraId="697CC58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72B3A94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365E21A" w14:textId="77777777" w:rsidTr="008B7C11">
        <w:trPr>
          <w:trHeight w:val="600"/>
        </w:trPr>
        <w:tc>
          <w:tcPr>
            <w:tcW w:w="958" w:type="dxa"/>
            <w:noWrap/>
            <w:vAlign w:val="center"/>
            <w:hideMark/>
          </w:tcPr>
          <w:p w14:paraId="426AA6C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346</w:t>
            </w:r>
          </w:p>
        </w:tc>
        <w:tc>
          <w:tcPr>
            <w:tcW w:w="1718" w:type="dxa"/>
            <w:noWrap/>
            <w:vAlign w:val="bottom"/>
            <w:hideMark/>
          </w:tcPr>
          <w:p w14:paraId="108DA71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54F118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P-1554-16</w:t>
            </w:r>
          </w:p>
        </w:tc>
        <w:tc>
          <w:tcPr>
            <w:tcW w:w="1097" w:type="dxa"/>
            <w:noWrap/>
            <w:vAlign w:val="bottom"/>
            <w:hideMark/>
          </w:tcPr>
          <w:p w14:paraId="6560B73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4A61C24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5057AD5" w14:textId="77777777" w:rsidTr="008B7C11">
        <w:trPr>
          <w:trHeight w:val="600"/>
        </w:trPr>
        <w:tc>
          <w:tcPr>
            <w:tcW w:w="958" w:type="dxa"/>
            <w:noWrap/>
            <w:vAlign w:val="center"/>
            <w:hideMark/>
          </w:tcPr>
          <w:p w14:paraId="169FB28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347</w:t>
            </w:r>
          </w:p>
        </w:tc>
        <w:tc>
          <w:tcPr>
            <w:tcW w:w="1718" w:type="dxa"/>
            <w:noWrap/>
            <w:vAlign w:val="bottom"/>
            <w:hideMark/>
          </w:tcPr>
          <w:p w14:paraId="07917A0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730432B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P-1727-15</w:t>
            </w:r>
          </w:p>
        </w:tc>
        <w:tc>
          <w:tcPr>
            <w:tcW w:w="1097" w:type="dxa"/>
            <w:noWrap/>
            <w:vAlign w:val="bottom"/>
            <w:hideMark/>
          </w:tcPr>
          <w:p w14:paraId="031A893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2C0E209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12165F2" w14:textId="77777777" w:rsidTr="008B7C11">
        <w:trPr>
          <w:trHeight w:val="600"/>
        </w:trPr>
        <w:tc>
          <w:tcPr>
            <w:tcW w:w="958" w:type="dxa"/>
            <w:noWrap/>
            <w:vAlign w:val="center"/>
            <w:hideMark/>
          </w:tcPr>
          <w:p w14:paraId="2E46016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348</w:t>
            </w:r>
          </w:p>
        </w:tc>
        <w:tc>
          <w:tcPr>
            <w:tcW w:w="1718" w:type="dxa"/>
            <w:noWrap/>
            <w:vAlign w:val="bottom"/>
            <w:hideMark/>
          </w:tcPr>
          <w:p w14:paraId="4EB116A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7ABEC1A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P-1725-15</w:t>
            </w:r>
          </w:p>
        </w:tc>
        <w:tc>
          <w:tcPr>
            <w:tcW w:w="1097" w:type="dxa"/>
            <w:noWrap/>
            <w:vAlign w:val="bottom"/>
            <w:hideMark/>
          </w:tcPr>
          <w:p w14:paraId="031844B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550FFB1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4A79053" w14:textId="77777777" w:rsidTr="008B7C11">
        <w:trPr>
          <w:trHeight w:val="600"/>
        </w:trPr>
        <w:tc>
          <w:tcPr>
            <w:tcW w:w="958" w:type="dxa"/>
            <w:noWrap/>
            <w:vAlign w:val="center"/>
            <w:hideMark/>
          </w:tcPr>
          <w:p w14:paraId="5950E0A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349</w:t>
            </w:r>
          </w:p>
        </w:tc>
        <w:tc>
          <w:tcPr>
            <w:tcW w:w="1718" w:type="dxa"/>
            <w:noWrap/>
            <w:vAlign w:val="bottom"/>
            <w:hideMark/>
          </w:tcPr>
          <w:p w14:paraId="0EC794E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9A73B4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P-1614-15</w:t>
            </w:r>
          </w:p>
        </w:tc>
        <w:tc>
          <w:tcPr>
            <w:tcW w:w="1097" w:type="dxa"/>
            <w:noWrap/>
            <w:vAlign w:val="bottom"/>
            <w:hideMark/>
          </w:tcPr>
          <w:p w14:paraId="3F99EDD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0F45D27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22E76DB" w14:textId="77777777" w:rsidTr="008B7C11">
        <w:trPr>
          <w:trHeight w:val="600"/>
        </w:trPr>
        <w:tc>
          <w:tcPr>
            <w:tcW w:w="958" w:type="dxa"/>
            <w:noWrap/>
            <w:vAlign w:val="center"/>
            <w:hideMark/>
          </w:tcPr>
          <w:p w14:paraId="2B586E0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350</w:t>
            </w:r>
          </w:p>
        </w:tc>
        <w:tc>
          <w:tcPr>
            <w:tcW w:w="1718" w:type="dxa"/>
            <w:noWrap/>
            <w:vAlign w:val="bottom"/>
            <w:hideMark/>
          </w:tcPr>
          <w:p w14:paraId="7A8122D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7232D7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P-1959-13</w:t>
            </w:r>
          </w:p>
        </w:tc>
        <w:tc>
          <w:tcPr>
            <w:tcW w:w="1097" w:type="dxa"/>
            <w:noWrap/>
            <w:vAlign w:val="bottom"/>
            <w:hideMark/>
          </w:tcPr>
          <w:p w14:paraId="2B94C6B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0597233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463854A" w14:textId="77777777" w:rsidTr="008B7C11">
        <w:trPr>
          <w:trHeight w:val="600"/>
        </w:trPr>
        <w:tc>
          <w:tcPr>
            <w:tcW w:w="958" w:type="dxa"/>
            <w:noWrap/>
            <w:vAlign w:val="center"/>
            <w:hideMark/>
          </w:tcPr>
          <w:p w14:paraId="1B9277C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351</w:t>
            </w:r>
          </w:p>
        </w:tc>
        <w:tc>
          <w:tcPr>
            <w:tcW w:w="1718" w:type="dxa"/>
            <w:noWrap/>
            <w:vAlign w:val="bottom"/>
            <w:hideMark/>
          </w:tcPr>
          <w:p w14:paraId="5D0A5E1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71C987A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P-1596-15</w:t>
            </w:r>
          </w:p>
        </w:tc>
        <w:tc>
          <w:tcPr>
            <w:tcW w:w="1097" w:type="dxa"/>
            <w:noWrap/>
            <w:vAlign w:val="bottom"/>
            <w:hideMark/>
          </w:tcPr>
          <w:p w14:paraId="5B65FAF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7258D15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A229259" w14:textId="77777777" w:rsidTr="008B7C11">
        <w:trPr>
          <w:trHeight w:val="600"/>
        </w:trPr>
        <w:tc>
          <w:tcPr>
            <w:tcW w:w="958" w:type="dxa"/>
            <w:noWrap/>
            <w:vAlign w:val="center"/>
            <w:hideMark/>
          </w:tcPr>
          <w:p w14:paraId="08FD58C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352</w:t>
            </w:r>
          </w:p>
        </w:tc>
        <w:tc>
          <w:tcPr>
            <w:tcW w:w="1718" w:type="dxa"/>
            <w:noWrap/>
            <w:vAlign w:val="bottom"/>
            <w:hideMark/>
          </w:tcPr>
          <w:p w14:paraId="7A44800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0F1227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P-1556-14</w:t>
            </w:r>
          </w:p>
        </w:tc>
        <w:tc>
          <w:tcPr>
            <w:tcW w:w="1097" w:type="dxa"/>
            <w:noWrap/>
            <w:vAlign w:val="bottom"/>
            <w:hideMark/>
          </w:tcPr>
          <w:p w14:paraId="2DC38AB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41AE634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2B889D0" w14:textId="77777777" w:rsidTr="008B7C11">
        <w:trPr>
          <w:trHeight w:val="600"/>
        </w:trPr>
        <w:tc>
          <w:tcPr>
            <w:tcW w:w="958" w:type="dxa"/>
            <w:noWrap/>
            <w:vAlign w:val="center"/>
            <w:hideMark/>
          </w:tcPr>
          <w:p w14:paraId="7B55431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353</w:t>
            </w:r>
          </w:p>
        </w:tc>
        <w:tc>
          <w:tcPr>
            <w:tcW w:w="1718" w:type="dxa"/>
            <w:noWrap/>
            <w:vAlign w:val="bottom"/>
            <w:hideMark/>
          </w:tcPr>
          <w:p w14:paraId="10FB8C4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D40EE7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P-1608-15</w:t>
            </w:r>
          </w:p>
        </w:tc>
        <w:tc>
          <w:tcPr>
            <w:tcW w:w="1097" w:type="dxa"/>
            <w:noWrap/>
            <w:vAlign w:val="bottom"/>
            <w:hideMark/>
          </w:tcPr>
          <w:p w14:paraId="5F09E67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19DB076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3BD9765" w14:textId="77777777" w:rsidTr="008B7C11">
        <w:trPr>
          <w:trHeight w:val="600"/>
        </w:trPr>
        <w:tc>
          <w:tcPr>
            <w:tcW w:w="958" w:type="dxa"/>
            <w:noWrap/>
            <w:vAlign w:val="center"/>
            <w:hideMark/>
          </w:tcPr>
          <w:p w14:paraId="7C8BA04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354</w:t>
            </w:r>
          </w:p>
        </w:tc>
        <w:tc>
          <w:tcPr>
            <w:tcW w:w="1718" w:type="dxa"/>
            <w:noWrap/>
            <w:vAlign w:val="bottom"/>
            <w:hideMark/>
          </w:tcPr>
          <w:p w14:paraId="13912BC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349234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P-1622-15</w:t>
            </w:r>
          </w:p>
        </w:tc>
        <w:tc>
          <w:tcPr>
            <w:tcW w:w="1097" w:type="dxa"/>
            <w:noWrap/>
            <w:vAlign w:val="bottom"/>
            <w:hideMark/>
          </w:tcPr>
          <w:p w14:paraId="67DAEDD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54E296B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54DE7C4" w14:textId="77777777" w:rsidTr="008B7C11">
        <w:trPr>
          <w:trHeight w:val="600"/>
        </w:trPr>
        <w:tc>
          <w:tcPr>
            <w:tcW w:w="958" w:type="dxa"/>
            <w:noWrap/>
            <w:vAlign w:val="center"/>
            <w:hideMark/>
          </w:tcPr>
          <w:p w14:paraId="6B65C32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355</w:t>
            </w:r>
          </w:p>
        </w:tc>
        <w:tc>
          <w:tcPr>
            <w:tcW w:w="1718" w:type="dxa"/>
            <w:noWrap/>
            <w:vAlign w:val="bottom"/>
            <w:hideMark/>
          </w:tcPr>
          <w:p w14:paraId="39FC714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491AC8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P-1615-15</w:t>
            </w:r>
          </w:p>
        </w:tc>
        <w:tc>
          <w:tcPr>
            <w:tcW w:w="1097" w:type="dxa"/>
            <w:noWrap/>
            <w:vAlign w:val="bottom"/>
            <w:hideMark/>
          </w:tcPr>
          <w:p w14:paraId="039539D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0ED8FC2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DDD2E8D" w14:textId="77777777" w:rsidTr="008B7C11">
        <w:trPr>
          <w:trHeight w:val="600"/>
        </w:trPr>
        <w:tc>
          <w:tcPr>
            <w:tcW w:w="958" w:type="dxa"/>
            <w:noWrap/>
            <w:vAlign w:val="center"/>
            <w:hideMark/>
          </w:tcPr>
          <w:p w14:paraId="08C1194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356</w:t>
            </w:r>
          </w:p>
        </w:tc>
        <w:tc>
          <w:tcPr>
            <w:tcW w:w="1718" w:type="dxa"/>
            <w:noWrap/>
            <w:vAlign w:val="bottom"/>
            <w:hideMark/>
          </w:tcPr>
          <w:p w14:paraId="72F29E4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0AF684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P-1304-13</w:t>
            </w:r>
          </w:p>
        </w:tc>
        <w:tc>
          <w:tcPr>
            <w:tcW w:w="1097" w:type="dxa"/>
            <w:noWrap/>
            <w:vAlign w:val="bottom"/>
            <w:hideMark/>
          </w:tcPr>
          <w:p w14:paraId="443F6AB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4FECE36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4325233" w14:textId="77777777" w:rsidTr="008B7C11">
        <w:trPr>
          <w:trHeight w:val="600"/>
        </w:trPr>
        <w:tc>
          <w:tcPr>
            <w:tcW w:w="958" w:type="dxa"/>
            <w:noWrap/>
            <w:vAlign w:val="center"/>
            <w:hideMark/>
          </w:tcPr>
          <w:p w14:paraId="394FB74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357</w:t>
            </w:r>
          </w:p>
        </w:tc>
        <w:tc>
          <w:tcPr>
            <w:tcW w:w="1718" w:type="dxa"/>
            <w:noWrap/>
            <w:vAlign w:val="bottom"/>
            <w:hideMark/>
          </w:tcPr>
          <w:p w14:paraId="423719C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6E3B75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P-545-15</w:t>
            </w:r>
          </w:p>
        </w:tc>
        <w:tc>
          <w:tcPr>
            <w:tcW w:w="1097" w:type="dxa"/>
            <w:noWrap/>
            <w:vAlign w:val="bottom"/>
            <w:hideMark/>
          </w:tcPr>
          <w:p w14:paraId="78FE31B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4AC7206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632384E" w14:textId="77777777" w:rsidTr="008B7C11">
        <w:trPr>
          <w:trHeight w:val="600"/>
        </w:trPr>
        <w:tc>
          <w:tcPr>
            <w:tcW w:w="958" w:type="dxa"/>
            <w:noWrap/>
            <w:vAlign w:val="center"/>
            <w:hideMark/>
          </w:tcPr>
          <w:p w14:paraId="29885F5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358</w:t>
            </w:r>
          </w:p>
        </w:tc>
        <w:tc>
          <w:tcPr>
            <w:tcW w:w="1718" w:type="dxa"/>
            <w:noWrap/>
            <w:vAlign w:val="bottom"/>
            <w:hideMark/>
          </w:tcPr>
          <w:p w14:paraId="6FBF881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1D5C11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P-1399-09</w:t>
            </w:r>
          </w:p>
        </w:tc>
        <w:tc>
          <w:tcPr>
            <w:tcW w:w="1097" w:type="dxa"/>
            <w:noWrap/>
            <w:vAlign w:val="bottom"/>
            <w:hideMark/>
          </w:tcPr>
          <w:p w14:paraId="205E43B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9</w:t>
            </w:r>
          </w:p>
        </w:tc>
        <w:tc>
          <w:tcPr>
            <w:tcW w:w="2600" w:type="dxa"/>
            <w:vAlign w:val="center"/>
            <w:hideMark/>
          </w:tcPr>
          <w:p w14:paraId="5B577BB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C17A757" w14:textId="77777777" w:rsidTr="008B7C11">
        <w:trPr>
          <w:trHeight w:val="600"/>
        </w:trPr>
        <w:tc>
          <w:tcPr>
            <w:tcW w:w="958" w:type="dxa"/>
            <w:noWrap/>
            <w:vAlign w:val="center"/>
            <w:hideMark/>
          </w:tcPr>
          <w:p w14:paraId="0FA6E8D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359</w:t>
            </w:r>
          </w:p>
        </w:tc>
        <w:tc>
          <w:tcPr>
            <w:tcW w:w="1718" w:type="dxa"/>
            <w:noWrap/>
            <w:vAlign w:val="bottom"/>
            <w:hideMark/>
          </w:tcPr>
          <w:p w14:paraId="113F7E8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BE52B7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P-1712-15</w:t>
            </w:r>
          </w:p>
        </w:tc>
        <w:tc>
          <w:tcPr>
            <w:tcW w:w="1097" w:type="dxa"/>
            <w:noWrap/>
            <w:vAlign w:val="bottom"/>
            <w:hideMark/>
          </w:tcPr>
          <w:p w14:paraId="31C1B08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6E9DF04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0907368" w14:textId="77777777" w:rsidTr="008B7C11">
        <w:trPr>
          <w:trHeight w:val="600"/>
        </w:trPr>
        <w:tc>
          <w:tcPr>
            <w:tcW w:w="958" w:type="dxa"/>
            <w:noWrap/>
            <w:vAlign w:val="center"/>
            <w:hideMark/>
          </w:tcPr>
          <w:p w14:paraId="727B7C7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360</w:t>
            </w:r>
          </w:p>
        </w:tc>
        <w:tc>
          <w:tcPr>
            <w:tcW w:w="1718" w:type="dxa"/>
            <w:noWrap/>
            <w:vAlign w:val="bottom"/>
            <w:hideMark/>
          </w:tcPr>
          <w:p w14:paraId="06629C2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00C48C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P-502-15</w:t>
            </w:r>
          </w:p>
        </w:tc>
        <w:tc>
          <w:tcPr>
            <w:tcW w:w="1097" w:type="dxa"/>
            <w:noWrap/>
            <w:vAlign w:val="bottom"/>
            <w:hideMark/>
          </w:tcPr>
          <w:p w14:paraId="4250A2E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2A8662F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5E10BA9" w14:textId="77777777" w:rsidTr="008B7C11">
        <w:trPr>
          <w:trHeight w:val="600"/>
        </w:trPr>
        <w:tc>
          <w:tcPr>
            <w:tcW w:w="958" w:type="dxa"/>
            <w:noWrap/>
            <w:vAlign w:val="center"/>
            <w:hideMark/>
          </w:tcPr>
          <w:p w14:paraId="40A81B0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361</w:t>
            </w:r>
          </w:p>
        </w:tc>
        <w:tc>
          <w:tcPr>
            <w:tcW w:w="1718" w:type="dxa"/>
            <w:noWrap/>
            <w:vAlign w:val="bottom"/>
            <w:hideMark/>
          </w:tcPr>
          <w:p w14:paraId="0C22730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0A3A66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P-2-15</w:t>
            </w:r>
          </w:p>
        </w:tc>
        <w:tc>
          <w:tcPr>
            <w:tcW w:w="1097" w:type="dxa"/>
            <w:noWrap/>
            <w:vAlign w:val="bottom"/>
            <w:hideMark/>
          </w:tcPr>
          <w:p w14:paraId="4134064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03E290F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4D8E551" w14:textId="77777777" w:rsidTr="008B7C11">
        <w:trPr>
          <w:trHeight w:val="600"/>
        </w:trPr>
        <w:tc>
          <w:tcPr>
            <w:tcW w:w="958" w:type="dxa"/>
            <w:noWrap/>
            <w:vAlign w:val="center"/>
            <w:hideMark/>
          </w:tcPr>
          <w:p w14:paraId="45890C6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362</w:t>
            </w:r>
          </w:p>
        </w:tc>
        <w:tc>
          <w:tcPr>
            <w:tcW w:w="1718" w:type="dxa"/>
            <w:noWrap/>
            <w:vAlign w:val="bottom"/>
            <w:hideMark/>
          </w:tcPr>
          <w:p w14:paraId="35AD226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E0EC87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P-697-15</w:t>
            </w:r>
          </w:p>
        </w:tc>
        <w:tc>
          <w:tcPr>
            <w:tcW w:w="1097" w:type="dxa"/>
            <w:noWrap/>
            <w:vAlign w:val="bottom"/>
            <w:hideMark/>
          </w:tcPr>
          <w:p w14:paraId="282CD29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5A9803D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241801E" w14:textId="77777777" w:rsidTr="008B7C11">
        <w:trPr>
          <w:trHeight w:val="600"/>
        </w:trPr>
        <w:tc>
          <w:tcPr>
            <w:tcW w:w="958" w:type="dxa"/>
            <w:noWrap/>
            <w:vAlign w:val="center"/>
            <w:hideMark/>
          </w:tcPr>
          <w:p w14:paraId="5FE2187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363</w:t>
            </w:r>
          </w:p>
        </w:tc>
        <w:tc>
          <w:tcPr>
            <w:tcW w:w="1718" w:type="dxa"/>
            <w:noWrap/>
            <w:vAlign w:val="bottom"/>
            <w:hideMark/>
          </w:tcPr>
          <w:p w14:paraId="7FD13E0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944B61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P-627-15</w:t>
            </w:r>
          </w:p>
        </w:tc>
        <w:tc>
          <w:tcPr>
            <w:tcW w:w="1097" w:type="dxa"/>
            <w:noWrap/>
            <w:vAlign w:val="bottom"/>
            <w:hideMark/>
          </w:tcPr>
          <w:p w14:paraId="7C0A181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2A4A5F9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0899A02" w14:textId="77777777" w:rsidTr="008B7C11">
        <w:trPr>
          <w:trHeight w:val="600"/>
        </w:trPr>
        <w:tc>
          <w:tcPr>
            <w:tcW w:w="958" w:type="dxa"/>
            <w:noWrap/>
            <w:vAlign w:val="center"/>
            <w:hideMark/>
          </w:tcPr>
          <w:p w14:paraId="25DCC01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364</w:t>
            </w:r>
          </w:p>
        </w:tc>
        <w:tc>
          <w:tcPr>
            <w:tcW w:w="1718" w:type="dxa"/>
            <w:noWrap/>
            <w:vAlign w:val="bottom"/>
            <w:hideMark/>
          </w:tcPr>
          <w:p w14:paraId="20C1E6E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9C3433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P-1958-16</w:t>
            </w:r>
          </w:p>
        </w:tc>
        <w:tc>
          <w:tcPr>
            <w:tcW w:w="1097" w:type="dxa"/>
            <w:noWrap/>
            <w:vAlign w:val="bottom"/>
            <w:hideMark/>
          </w:tcPr>
          <w:p w14:paraId="62F784E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4CB1800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830D23D" w14:textId="77777777" w:rsidTr="008B7C11">
        <w:trPr>
          <w:trHeight w:val="600"/>
        </w:trPr>
        <w:tc>
          <w:tcPr>
            <w:tcW w:w="958" w:type="dxa"/>
            <w:noWrap/>
            <w:vAlign w:val="center"/>
            <w:hideMark/>
          </w:tcPr>
          <w:p w14:paraId="49E6162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365</w:t>
            </w:r>
          </w:p>
        </w:tc>
        <w:tc>
          <w:tcPr>
            <w:tcW w:w="1718" w:type="dxa"/>
            <w:noWrap/>
            <w:vAlign w:val="bottom"/>
            <w:hideMark/>
          </w:tcPr>
          <w:p w14:paraId="1AED487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C02A73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P-78-15</w:t>
            </w:r>
          </w:p>
        </w:tc>
        <w:tc>
          <w:tcPr>
            <w:tcW w:w="1097" w:type="dxa"/>
            <w:noWrap/>
            <w:vAlign w:val="bottom"/>
            <w:hideMark/>
          </w:tcPr>
          <w:p w14:paraId="2CD5F7F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2795C84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F25E928" w14:textId="77777777" w:rsidTr="008B7C11">
        <w:trPr>
          <w:trHeight w:val="600"/>
        </w:trPr>
        <w:tc>
          <w:tcPr>
            <w:tcW w:w="958" w:type="dxa"/>
            <w:noWrap/>
            <w:vAlign w:val="center"/>
            <w:hideMark/>
          </w:tcPr>
          <w:p w14:paraId="43FE397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366</w:t>
            </w:r>
          </w:p>
        </w:tc>
        <w:tc>
          <w:tcPr>
            <w:tcW w:w="1718" w:type="dxa"/>
            <w:noWrap/>
            <w:vAlign w:val="bottom"/>
            <w:hideMark/>
          </w:tcPr>
          <w:p w14:paraId="0AEF52C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A46D61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P-1020-16</w:t>
            </w:r>
          </w:p>
        </w:tc>
        <w:tc>
          <w:tcPr>
            <w:tcW w:w="1097" w:type="dxa"/>
            <w:noWrap/>
            <w:vAlign w:val="bottom"/>
            <w:hideMark/>
          </w:tcPr>
          <w:p w14:paraId="2A8FDC4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6C01E11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E2B1BCC" w14:textId="77777777" w:rsidTr="008B7C11">
        <w:trPr>
          <w:trHeight w:val="600"/>
        </w:trPr>
        <w:tc>
          <w:tcPr>
            <w:tcW w:w="958" w:type="dxa"/>
            <w:noWrap/>
            <w:vAlign w:val="center"/>
            <w:hideMark/>
          </w:tcPr>
          <w:p w14:paraId="0C6E724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367</w:t>
            </w:r>
          </w:p>
        </w:tc>
        <w:tc>
          <w:tcPr>
            <w:tcW w:w="1718" w:type="dxa"/>
            <w:noWrap/>
            <w:vAlign w:val="bottom"/>
            <w:hideMark/>
          </w:tcPr>
          <w:p w14:paraId="04230A5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F4FE7A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P-110-16</w:t>
            </w:r>
          </w:p>
        </w:tc>
        <w:tc>
          <w:tcPr>
            <w:tcW w:w="1097" w:type="dxa"/>
            <w:noWrap/>
            <w:vAlign w:val="bottom"/>
            <w:hideMark/>
          </w:tcPr>
          <w:p w14:paraId="4776887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295D5FA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384C35D" w14:textId="77777777" w:rsidTr="008B7C11">
        <w:trPr>
          <w:trHeight w:val="600"/>
        </w:trPr>
        <w:tc>
          <w:tcPr>
            <w:tcW w:w="958" w:type="dxa"/>
            <w:noWrap/>
            <w:vAlign w:val="center"/>
            <w:hideMark/>
          </w:tcPr>
          <w:p w14:paraId="56D65FA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368</w:t>
            </w:r>
          </w:p>
        </w:tc>
        <w:tc>
          <w:tcPr>
            <w:tcW w:w="1718" w:type="dxa"/>
            <w:noWrap/>
            <w:vAlign w:val="bottom"/>
            <w:hideMark/>
          </w:tcPr>
          <w:p w14:paraId="7920CEA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7AA4CAF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P-202-16</w:t>
            </w:r>
          </w:p>
        </w:tc>
        <w:tc>
          <w:tcPr>
            <w:tcW w:w="1097" w:type="dxa"/>
            <w:noWrap/>
            <w:vAlign w:val="bottom"/>
            <w:hideMark/>
          </w:tcPr>
          <w:p w14:paraId="1F0B279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09FABF2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714343C" w14:textId="77777777" w:rsidTr="008B7C11">
        <w:trPr>
          <w:trHeight w:val="600"/>
        </w:trPr>
        <w:tc>
          <w:tcPr>
            <w:tcW w:w="958" w:type="dxa"/>
            <w:noWrap/>
            <w:vAlign w:val="center"/>
            <w:hideMark/>
          </w:tcPr>
          <w:p w14:paraId="4747B27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369</w:t>
            </w:r>
          </w:p>
        </w:tc>
        <w:tc>
          <w:tcPr>
            <w:tcW w:w="1718" w:type="dxa"/>
            <w:noWrap/>
            <w:vAlign w:val="bottom"/>
            <w:hideMark/>
          </w:tcPr>
          <w:p w14:paraId="24960D1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B811C5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P-46-13</w:t>
            </w:r>
          </w:p>
        </w:tc>
        <w:tc>
          <w:tcPr>
            <w:tcW w:w="1097" w:type="dxa"/>
            <w:noWrap/>
            <w:vAlign w:val="bottom"/>
            <w:hideMark/>
          </w:tcPr>
          <w:p w14:paraId="132958E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34435B5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52B798F" w14:textId="77777777" w:rsidTr="008B7C11">
        <w:trPr>
          <w:trHeight w:val="600"/>
        </w:trPr>
        <w:tc>
          <w:tcPr>
            <w:tcW w:w="958" w:type="dxa"/>
            <w:noWrap/>
            <w:vAlign w:val="center"/>
            <w:hideMark/>
          </w:tcPr>
          <w:p w14:paraId="7D249F8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370</w:t>
            </w:r>
          </w:p>
        </w:tc>
        <w:tc>
          <w:tcPr>
            <w:tcW w:w="1718" w:type="dxa"/>
            <w:noWrap/>
            <w:vAlign w:val="bottom"/>
            <w:hideMark/>
          </w:tcPr>
          <w:p w14:paraId="01093E6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AAB19E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P-653-15</w:t>
            </w:r>
          </w:p>
        </w:tc>
        <w:tc>
          <w:tcPr>
            <w:tcW w:w="1097" w:type="dxa"/>
            <w:noWrap/>
            <w:vAlign w:val="bottom"/>
            <w:hideMark/>
          </w:tcPr>
          <w:p w14:paraId="710EA19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595B0DC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B26A2F4" w14:textId="77777777" w:rsidTr="008B7C11">
        <w:trPr>
          <w:trHeight w:val="600"/>
        </w:trPr>
        <w:tc>
          <w:tcPr>
            <w:tcW w:w="958" w:type="dxa"/>
            <w:noWrap/>
            <w:vAlign w:val="center"/>
            <w:hideMark/>
          </w:tcPr>
          <w:p w14:paraId="3FE331A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371</w:t>
            </w:r>
          </w:p>
        </w:tc>
        <w:tc>
          <w:tcPr>
            <w:tcW w:w="1718" w:type="dxa"/>
            <w:noWrap/>
            <w:vAlign w:val="bottom"/>
            <w:hideMark/>
          </w:tcPr>
          <w:p w14:paraId="09F3965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0DAC7C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P-691-15</w:t>
            </w:r>
          </w:p>
        </w:tc>
        <w:tc>
          <w:tcPr>
            <w:tcW w:w="1097" w:type="dxa"/>
            <w:noWrap/>
            <w:vAlign w:val="bottom"/>
            <w:hideMark/>
          </w:tcPr>
          <w:p w14:paraId="442E8D5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48F0DBA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BD3B67A" w14:textId="77777777" w:rsidTr="008B7C11">
        <w:trPr>
          <w:trHeight w:val="600"/>
        </w:trPr>
        <w:tc>
          <w:tcPr>
            <w:tcW w:w="958" w:type="dxa"/>
            <w:noWrap/>
            <w:vAlign w:val="center"/>
            <w:hideMark/>
          </w:tcPr>
          <w:p w14:paraId="744640F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372</w:t>
            </w:r>
          </w:p>
        </w:tc>
        <w:tc>
          <w:tcPr>
            <w:tcW w:w="1718" w:type="dxa"/>
            <w:noWrap/>
            <w:vAlign w:val="bottom"/>
            <w:hideMark/>
          </w:tcPr>
          <w:p w14:paraId="4636DA6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166AFA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P-2529-16</w:t>
            </w:r>
          </w:p>
        </w:tc>
        <w:tc>
          <w:tcPr>
            <w:tcW w:w="1097" w:type="dxa"/>
            <w:noWrap/>
            <w:vAlign w:val="bottom"/>
            <w:hideMark/>
          </w:tcPr>
          <w:p w14:paraId="1B6DD05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5EDE93A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72448B1" w14:textId="77777777" w:rsidTr="008B7C11">
        <w:trPr>
          <w:trHeight w:val="600"/>
        </w:trPr>
        <w:tc>
          <w:tcPr>
            <w:tcW w:w="958" w:type="dxa"/>
            <w:noWrap/>
            <w:vAlign w:val="center"/>
            <w:hideMark/>
          </w:tcPr>
          <w:p w14:paraId="240C385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373</w:t>
            </w:r>
          </w:p>
        </w:tc>
        <w:tc>
          <w:tcPr>
            <w:tcW w:w="1718" w:type="dxa"/>
            <w:noWrap/>
            <w:vAlign w:val="bottom"/>
            <w:hideMark/>
          </w:tcPr>
          <w:p w14:paraId="03DB440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DCD2D7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P-209-16</w:t>
            </w:r>
          </w:p>
        </w:tc>
        <w:tc>
          <w:tcPr>
            <w:tcW w:w="1097" w:type="dxa"/>
            <w:noWrap/>
            <w:vAlign w:val="bottom"/>
            <w:hideMark/>
          </w:tcPr>
          <w:p w14:paraId="1354EF5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3C6DB0C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27F8B5C" w14:textId="77777777" w:rsidTr="008B7C11">
        <w:trPr>
          <w:trHeight w:val="600"/>
        </w:trPr>
        <w:tc>
          <w:tcPr>
            <w:tcW w:w="958" w:type="dxa"/>
            <w:noWrap/>
            <w:vAlign w:val="center"/>
            <w:hideMark/>
          </w:tcPr>
          <w:p w14:paraId="26058C3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374</w:t>
            </w:r>
          </w:p>
        </w:tc>
        <w:tc>
          <w:tcPr>
            <w:tcW w:w="1718" w:type="dxa"/>
            <w:noWrap/>
            <w:vAlign w:val="bottom"/>
            <w:hideMark/>
          </w:tcPr>
          <w:p w14:paraId="3DDFD7C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F655B3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P-2222-15</w:t>
            </w:r>
          </w:p>
        </w:tc>
        <w:tc>
          <w:tcPr>
            <w:tcW w:w="1097" w:type="dxa"/>
            <w:noWrap/>
            <w:vAlign w:val="bottom"/>
            <w:hideMark/>
          </w:tcPr>
          <w:p w14:paraId="7E69EF4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410C5E0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1B953D8" w14:textId="77777777" w:rsidTr="008B7C11">
        <w:trPr>
          <w:trHeight w:val="600"/>
        </w:trPr>
        <w:tc>
          <w:tcPr>
            <w:tcW w:w="958" w:type="dxa"/>
            <w:noWrap/>
            <w:vAlign w:val="center"/>
            <w:hideMark/>
          </w:tcPr>
          <w:p w14:paraId="4211FBF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375</w:t>
            </w:r>
          </w:p>
        </w:tc>
        <w:tc>
          <w:tcPr>
            <w:tcW w:w="1718" w:type="dxa"/>
            <w:noWrap/>
            <w:vAlign w:val="bottom"/>
            <w:hideMark/>
          </w:tcPr>
          <w:p w14:paraId="46FC581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9CC8C5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P-230-16</w:t>
            </w:r>
          </w:p>
        </w:tc>
        <w:tc>
          <w:tcPr>
            <w:tcW w:w="1097" w:type="dxa"/>
            <w:noWrap/>
            <w:vAlign w:val="bottom"/>
            <w:hideMark/>
          </w:tcPr>
          <w:p w14:paraId="1731274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53BD56D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8D17EE8" w14:textId="77777777" w:rsidTr="008B7C11">
        <w:trPr>
          <w:trHeight w:val="600"/>
        </w:trPr>
        <w:tc>
          <w:tcPr>
            <w:tcW w:w="958" w:type="dxa"/>
            <w:noWrap/>
            <w:vAlign w:val="center"/>
            <w:hideMark/>
          </w:tcPr>
          <w:p w14:paraId="5DD241D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376</w:t>
            </w:r>
          </w:p>
        </w:tc>
        <w:tc>
          <w:tcPr>
            <w:tcW w:w="1718" w:type="dxa"/>
            <w:noWrap/>
            <w:vAlign w:val="bottom"/>
            <w:hideMark/>
          </w:tcPr>
          <w:p w14:paraId="66357E3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D3725D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P-1676-15</w:t>
            </w:r>
          </w:p>
        </w:tc>
        <w:tc>
          <w:tcPr>
            <w:tcW w:w="1097" w:type="dxa"/>
            <w:noWrap/>
            <w:vAlign w:val="bottom"/>
            <w:hideMark/>
          </w:tcPr>
          <w:p w14:paraId="37B4B07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29E2472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4CA7115" w14:textId="77777777" w:rsidTr="008B7C11">
        <w:trPr>
          <w:trHeight w:val="600"/>
        </w:trPr>
        <w:tc>
          <w:tcPr>
            <w:tcW w:w="958" w:type="dxa"/>
            <w:noWrap/>
            <w:vAlign w:val="center"/>
            <w:hideMark/>
          </w:tcPr>
          <w:p w14:paraId="47FE8A4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377</w:t>
            </w:r>
          </w:p>
        </w:tc>
        <w:tc>
          <w:tcPr>
            <w:tcW w:w="1718" w:type="dxa"/>
            <w:noWrap/>
            <w:vAlign w:val="bottom"/>
            <w:hideMark/>
          </w:tcPr>
          <w:p w14:paraId="0B0AE91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C9D969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P-2185-15</w:t>
            </w:r>
          </w:p>
        </w:tc>
        <w:tc>
          <w:tcPr>
            <w:tcW w:w="1097" w:type="dxa"/>
            <w:noWrap/>
            <w:vAlign w:val="bottom"/>
            <w:hideMark/>
          </w:tcPr>
          <w:p w14:paraId="04A5DF6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6A78BBD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E839778" w14:textId="77777777" w:rsidTr="008B7C11">
        <w:trPr>
          <w:trHeight w:val="600"/>
        </w:trPr>
        <w:tc>
          <w:tcPr>
            <w:tcW w:w="958" w:type="dxa"/>
            <w:noWrap/>
            <w:vAlign w:val="center"/>
            <w:hideMark/>
          </w:tcPr>
          <w:p w14:paraId="55610DE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378</w:t>
            </w:r>
          </w:p>
        </w:tc>
        <w:tc>
          <w:tcPr>
            <w:tcW w:w="1718" w:type="dxa"/>
            <w:noWrap/>
            <w:vAlign w:val="bottom"/>
            <w:hideMark/>
          </w:tcPr>
          <w:p w14:paraId="075EC6D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9FDCB0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P-968-15</w:t>
            </w:r>
          </w:p>
        </w:tc>
        <w:tc>
          <w:tcPr>
            <w:tcW w:w="1097" w:type="dxa"/>
            <w:noWrap/>
            <w:vAlign w:val="bottom"/>
            <w:hideMark/>
          </w:tcPr>
          <w:p w14:paraId="78622DC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6983C0A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CF400C5" w14:textId="77777777" w:rsidTr="008B7C11">
        <w:trPr>
          <w:trHeight w:val="600"/>
        </w:trPr>
        <w:tc>
          <w:tcPr>
            <w:tcW w:w="958" w:type="dxa"/>
            <w:noWrap/>
            <w:vAlign w:val="center"/>
            <w:hideMark/>
          </w:tcPr>
          <w:p w14:paraId="1956C2A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379</w:t>
            </w:r>
          </w:p>
        </w:tc>
        <w:tc>
          <w:tcPr>
            <w:tcW w:w="1718" w:type="dxa"/>
            <w:noWrap/>
            <w:vAlign w:val="bottom"/>
            <w:hideMark/>
          </w:tcPr>
          <w:p w14:paraId="3075E4B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5D44A3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P-458-15</w:t>
            </w:r>
          </w:p>
        </w:tc>
        <w:tc>
          <w:tcPr>
            <w:tcW w:w="1097" w:type="dxa"/>
            <w:noWrap/>
            <w:vAlign w:val="bottom"/>
            <w:hideMark/>
          </w:tcPr>
          <w:p w14:paraId="2C2F5AD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2FBC116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8F950E4" w14:textId="77777777" w:rsidTr="008B7C11">
        <w:trPr>
          <w:trHeight w:val="600"/>
        </w:trPr>
        <w:tc>
          <w:tcPr>
            <w:tcW w:w="958" w:type="dxa"/>
            <w:noWrap/>
            <w:vAlign w:val="center"/>
            <w:hideMark/>
          </w:tcPr>
          <w:p w14:paraId="17CE5E6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380</w:t>
            </w:r>
          </w:p>
        </w:tc>
        <w:tc>
          <w:tcPr>
            <w:tcW w:w="1718" w:type="dxa"/>
            <w:noWrap/>
            <w:vAlign w:val="bottom"/>
            <w:hideMark/>
          </w:tcPr>
          <w:p w14:paraId="63098C2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051DCF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P-135-14</w:t>
            </w:r>
          </w:p>
        </w:tc>
        <w:tc>
          <w:tcPr>
            <w:tcW w:w="1097" w:type="dxa"/>
            <w:noWrap/>
            <w:vAlign w:val="bottom"/>
            <w:hideMark/>
          </w:tcPr>
          <w:p w14:paraId="5F9645F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23081AD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A0C91EA" w14:textId="77777777" w:rsidTr="008B7C11">
        <w:trPr>
          <w:trHeight w:val="600"/>
        </w:trPr>
        <w:tc>
          <w:tcPr>
            <w:tcW w:w="958" w:type="dxa"/>
            <w:noWrap/>
            <w:vAlign w:val="center"/>
            <w:hideMark/>
          </w:tcPr>
          <w:p w14:paraId="5FA0FE9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381</w:t>
            </w:r>
          </w:p>
        </w:tc>
        <w:tc>
          <w:tcPr>
            <w:tcW w:w="1718" w:type="dxa"/>
            <w:noWrap/>
            <w:vAlign w:val="bottom"/>
            <w:hideMark/>
          </w:tcPr>
          <w:p w14:paraId="3E52BBF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701006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P-383-14</w:t>
            </w:r>
          </w:p>
        </w:tc>
        <w:tc>
          <w:tcPr>
            <w:tcW w:w="1097" w:type="dxa"/>
            <w:noWrap/>
            <w:vAlign w:val="bottom"/>
            <w:hideMark/>
          </w:tcPr>
          <w:p w14:paraId="4C78CF2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51AECD7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2945C79" w14:textId="77777777" w:rsidTr="008B7C11">
        <w:trPr>
          <w:trHeight w:val="600"/>
        </w:trPr>
        <w:tc>
          <w:tcPr>
            <w:tcW w:w="958" w:type="dxa"/>
            <w:noWrap/>
            <w:vAlign w:val="center"/>
            <w:hideMark/>
          </w:tcPr>
          <w:p w14:paraId="0F468F6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382</w:t>
            </w:r>
          </w:p>
        </w:tc>
        <w:tc>
          <w:tcPr>
            <w:tcW w:w="1718" w:type="dxa"/>
            <w:noWrap/>
            <w:vAlign w:val="bottom"/>
            <w:hideMark/>
          </w:tcPr>
          <w:p w14:paraId="20F7601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D2F3D9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P-2380-16</w:t>
            </w:r>
          </w:p>
        </w:tc>
        <w:tc>
          <w:tcPr>
            <w:tcW w:w="1097" w:type="dxa"/>
            <w:noWrap/>
            <w:vAlign w:val="bottom"/>
            <w:hideMark/>
          </w:tcPr>
          <w:p w14:paraId="285B53E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52AF852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BE6DF2C" w14:textId="77777777" w:rsidTr="008B7C11">
        <w:trPr>
          <w:trHeight w:val="600"/>
        </w:trPr>
        <w:tc>
          <w:tcPr>
            <w:tcW w:w="958" w:type="dxa"/>
            <w:noWrap/>
            <w:vAlign w:val="center"/>
            <w:hideMark/>
          </w:tcPr>
          <w:p w14:paraId="00AC5AF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383</w:t>
            </w:r>
          </w:p>
        </w:tc>
        <w:tc>
          <w:tcPr>
            <w:tcW w:w="1718" w:type="dxa"/>
            <w:noWrap/>
            <w:vAlign w:val="bottom"/>
            <w:hideMark/>
          </w:tcPr>
          <w:p w14:paraId="6F2B44E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9FEECB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P-1786-15</w:t>
            </w:r>
          </w:p>
        </w:tc>
        <w:tc>
          <w:tcPr>
            <w:tcW w:w="1097" w:type="dxa"/>
            <w:noWrap/>
            <w:vAlign w:val="bottom"/>
            <w:hideMark/>
          </w:tcPr>
          <w:p w14:paraId="73CD1B7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1EA2F03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4C2927F" w14:textId="77777777" w:rsidTr="008B7C11">
        <w:trPr>
          <w:trHeight w:val="600"/>
        </w:trPr>
        <w:tc>
          <w:tcPr>
            <w:tcW w:w="958" w:type="dxa"/>
            <w:noWrap/>
            <w:vAlign w:val="center"/>
            <w:hideMark/>
          </w:tcPr>
          <w:p w14:paraId="130C8FB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384</w:t>
            </w:r>
          </w:p>
        </w:tc>
        <w:tc>
          <w:tcPr>
            <w:tcW w:w="1718" w:type="dxa"/>
            <w:noWrap/>
            <w:vAlign w:val="bottom"/>
            <w:hideMark/>
          </w:tcPr>
          <w:p w14:paraId="63F2860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A0D4C0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P-318-12</w:t>
            </w:r>
          </w:p>
        </w:tc>
        <w:tc>
          <w:tcPr>
            <w:tcW w:w="1097" w:type="dxa"/>
            <w:noWrap/>
            <w:vAlign w:val="bottom"/>
            <w:hideMark/>
          </w:tcPr>
          <w:p w14:paraId="1B2AA84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4E8739D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B79A9E9" w14:textId="77777777" w:rsidTr="008B7C11">
        <w:trPr>
          <w:trHeight w:val="600"/>
        </w:trPr>
        <w:tc>
          <w:tcPr>
            <w:tcW w:w="958" w:type="dxa"/>
            <w:noWrap/>
            <w:vAlign w:val="center"/>
            <w:hideMark/>
          </w:tcPr>
          <w:p w14:paraId="277ADE1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385</w:t>
            </w:r>
          </w:p>
        </w:tc>
        <w:tc>
          <w:tcPr>
            <w:tcW w:w="1718" w:type="dxa"/>
            <w:noWrap/>
            <w:vAlign w:val="bottom"/>
            <w:hideMark/>
          </w:tcPr>
          <w:p w14:paraId="2FA7DF6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632E06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P-1568-15</w:t>
            </w:r>
          </w:p>
        </w:tc>
        <w:tc>
          <w:tcPr>
            <w:tcW w:w="1097" w:type="dxa"/>
            <w:noWrap/>
            <w:vAlign w:val="bottom"/>
            <w:hideMark/>
          </w:tcPr>
          <w:p w14:paraId="78D731F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72A4E88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7489C00" w14:textId="77777777" w:rsidTr="008B7C11">
        <w:trPr>
          <w:trHeight w:val="600"/>
        </w:trPr>
        <w:tc>
          <w:tcPr>
            <w:tcW w:w="958" w:type="dxa"/>
            <w:noWrap/>
            <w:vAlign w:val="center"/>
            <w:hideMark/>
          </w:tcPr>
          <w:p w14:paraId="457816E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386</w:t>
            </w:r>
          </w:p>
        </w:tc>
        <w:tc>
          <w:tcPr>
            <w:tcW w:w="1718" w:type="dxa"/>
            <w:noWrap/>
            <w:vAlign w:val="bottom"/>
            <w:hideMark/>
          </w:tcPr>
          <w:p w14:paraId="2B136BC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31B165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P-1018-14</w:t>
            </w:r>
          </w:p>
        </w:tc>
        <w:tc>
          <w:tcPr>
            <w:tcW w:w="1097" w:type="dxa"/>
            <w:noWrap/>
            <w:vAlign w:val="bottom"/>
            <w:hideMark/>
          </w:tcPr>
          <w:p w14:paraId="613538B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51CE6D6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28956F6" w14:textId="77777777" w:rsidTr="008B7C11">
        <w:trPr>
          <w:trHeight w:val="600"/>
        </w:trPr>
        <w:tc>
          <w:tcPr>
            <w:tcW w:w="958" w:type="dxa"/>
            <w:noWrap/>
            <w:vAlign w:val="center"/>
            <w:hideMark/>
          </w:tcPr>
          <w:p w14:paraId="3795AF0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387</w:t>
            </w:r>
          </w:p>
        </w:tc>
        <w:tc>
          <w:tcPr>
            <w:tcW w:w="1718" w:type="dxa"/>
            <w:noWrap/>
            <w:vAlign w:val="bottom"/>
            <w:hideMark/>
          </w:tcPr>
          <w:p w14:paraId="046953B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7BDBD6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P-740-13</w:t>
            </w:r>
          </w:p>
        </w:tc>
        <w:tc>
          <w:tcPr>
            <w:tcW w:w="1097" w:type="dxa"/>
            <w:noWrap/>
            <w:vAlign w:val="bottom"/>
            <w:hideMark/>
          </w:tcPr>
          <w:p w14:paraId="25188A3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397B196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D603DEE" w14:textId="77777777" w:rsidTr="008B7C11">
        <w:trPr>
          <w:trHeight w:val="600"/>
        </w:trPr>
        <w:tc>
          <w:tcPr>
            <w:tcW w:w="958" w:type="dxa"/>
            <w:noWrap/>
            <w:vAlign w:val="center"/>
            <w:hideMark/>
          </w:tcPr>
          <w:p w14:paraId="29D9E21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388</w:t>
            </w:r>
          </w:p>
        </w:tc>
        <w:tc>
          <w:tcPr>
            <w:tcW w:w="1718" w:type="dxa"/>
            <w:noWrap/>
            <w:vAlign w:val="bottom"/>
            <w:hideMark/>
          </w:tcPr>
          <w:p w14:paraId="26C3C4E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F65BA5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P-1788-15</w:t>
            </w:r>
          </w:p>
        </w:tc>
        <w:tc>
          <w:tcPr>
            <w:tcW w:w="1097" w:type="dxa"/>
            <w:noWrap/>
            <w:vAlign w:val="bottom"/>
            <w:hideMark/>
          </w:tcPr>
          <w:p w14:paraId="3CAB89E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1BD74AE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601231C" w14:textId="77777777" w:rsidTr="008B7C11">
        <w:trPr>
          <w:trHeight w:val="600"/>
        </w:trPr>
        <w:tc>
          <w:tcPr>
            <w:tcW w:w="958" w:type="dxa"/>
            <w:noWrap/>
            <w:vAlign w:val="center"/>
            <w:hideMark/>
          </w:tcPr>
          <w:p w14:paraId="6034A30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389</w:t>
            </w:r>
          </w:p>
        </w:tc>
        <w:tc>
          <w:tcPr>
            <w:tcW w:w="1718" w:type="dxa"/>
            <w:noWrap/>
            <w:vAlign w:val="bottom"/>
            <w:hideMark/>
          </w:tcPr>
          <w:p w14:paraId="5E5F665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CE6CC5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P-1833-14</w:t>
            </w:r>
          </w:p>
        </w:tc>
        <w:tc>
          <w:tcPr>
            <w:tcW w:w="1097" w:type="dxa"/>
            <w:noWrap/>
            <w:vAlign w:val="bottom"/>
            <w:hideMark/>
          </w:tcPr>
          <w:p w14:paraId="0D38DA5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591C840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0170205" w14:textId="77777777" w:rsidTr="008B7C11">
        <w:trPr>
          <w:trHeight w:val="600"/>
        </w:trPr>
        <w:tc>
          <w:tcPr>
            <w:tcW w:w="958" w:type="dxa"/>
            <w:noWrap/>
            <w:vAlign w:val="center"/>
            <w:hideMark/>
          </w:tcPr>
          <w:p w14:paraId="64ACAF9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390</w:t>
            </w:r>
          </w:p>
        </w:tc>
        <w:tc>
          <w:tcPr>
            <w:tcW w:w="1718" w:type="dxa"/>
            <w:noWrap/>
            <w:vAlign w:val="bottom"/>
            <w:hideMark/>
          </w:tcPr>
          <w:p w14:paraId="4FD99D4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A72BF8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P-415-16</w:t>
            </w:r>
          </w:p>
        </w:tc>
        <w:tc>
          <w:tcPr>
            <w:tcW w:w="1097" w:type="dxa"/>
            <w:noWrap/>
            <w:vAlign w:val="bottom"/>
            <w:hideMark/>
          </w:tcPr>
          <w:p w14:paraId="4F2B3E2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48FBD49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470EEFC" w14:textId="77777777" w:rsidTr="008B7C11">
        <w:trPr>
          <w:trHeight w:val="600"/>
        </w:trPr>
        <w:tc>
          <w:tcPr>
            <w:tcW w:w="958" w:type="dxa"/>
            <w:noWrap/>
            <w:vAlign w:val="center"/>
            <w:hideMark/>
          </w:tcPr>
          <w:p w14:paraId="0DB51B8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391</w:t>
            </w:r>
          </w:p>
        </w:tc>
        <w:tc>
          <w:tcPr>
            <w:tcW w:w="1718" w:type="dxa"/>
            <w:noWrap/>
            <w:vAlign w:val="bottom"/>
            <w:hideMark/>
          </w:tcPr>
          <w:p w14:paraId="77EE269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64A815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P-2331-16</w:t>
            </w:r>
          </w:p>
        </w:tc>
        <w:tc>
          <w:tcPr>
            <w:tcW w:w="1097" w:type="dxa"/>
            <w:noWrap/>
            <w:vAlign w:val="bottom"/>
            <w:hideMark/>
          </w:tcPr>
          <w:p w14:paraId="7350567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6C131DF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9B7994E" w14:textId="77777777" w:rsidTr="008B7C11">
        <w:trPr>
          <w:trHeight w:val="600"/>
        </w:trPr>
        <w:tc>
          <w:tcPr>
            <w:tcW w:w="958" w:type="dxa"/>
            <w:noWrap/>
            <w:vAlign w:val="center"/>
            <w:hideMark/>
          </w:tcPr>
          <w:p w14:paraId="6B8D0F3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392</w:t>
            </w:r>
          </w:p>
        </w:tc>
        <w:tc>
          <w:tcPr>
            <w:tcW w:w="1718" w:type="dxa"/>
            <w:noWrap/>
            <w:vAlign w:val="bottom"/>
            <w:hideMark/>
          </w:tcPr>
          <w:p w14:paraId="1D8C95E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55EB2E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P-423-16</w:t>
            </w:r>
          </w:p>
        </w:tc>
        <w:tc>
          <w:tcPr>
            <w:tcW w:w="1097" w:type="dxa"/>
            <w:noWrap/>
            <w:vAlign w:val="bottom"/>
            <w:hideMark/>
          </w:tcPr>
          <w:p w14:paraId="0D0128E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008BAEA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DFC73C1" w14:textId="77777777" w:rsidTr="008B7C11">
        <w:trPr>
          <w:trHeight w:val="600"/>
        </w:trPr>
        <w:tc>
          <w:tcPr>
            <w:tcW w:w="958" w:type="dxa"/>
            <w:noWrap/>
            <w:vAlign w:val="center"/>
            <w:hideMark/>
          </w:tcPr>
          <w:p w14:paraId="6381030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393</w:t>
            </w:r>
          </w:p>
        </w:tc>
        <w:tc>
          <w:tcPr>
            <w:tcW w:w="1718" w:type="dxa"/>
            <w:noWrap/>
            <w:vAlign w:val="bottom"/>
            <w:hideMark/>
          </w:tcPr>
          <w:p w14:paraId="675D0F2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781AF56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P-1160-14</w:t>
            </w:r>
          </w:p>
        </w:tc>
        <w:tc>
          <w:tcPr>
            <w:tcW w:w="1097" w:type="dxa"/>
            <w:noWrap/>
            <w:vAlign w:val="bottom"/>
            <w:hideMark/>
          </w:tcPr>
          <w:p w14:paraId="3D46418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4B4C6CF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4CA1D31" w14:textId="77777777" w:rsidTr="008B7C11">
        <w:trPr>
          <w:trHeight w:val="600"/>
        </w:trPr>
        <w:tc>
          <w:tcPr>
            <w:tcW w:w="958" w:type="dxa"/>
            <w:noWrap/>
            <w:vAlign w:val="center"/>
            <w:hideMark/>
          </w:tcPr>
          <w:p w14:paraId="68F185E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394</w:t>
            </w:r>
          </w:p>
        </w:tc>
        <w:tc>
          <w:tcPr>
            <w:tcW w:w="1718" w:type="dxa"/>
            <w:noWrap/>
            <w:vAlign w:val="bottom"/>
            <w:hideMark/>
          </w:tcPr>
          <w:p w14:paraId="14AB0A7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0BD7AB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P-44-17</w:t>
            </w:r>
          </w:p>
        </w:tc>
        <w:tc>
          <w:tcPr>
            <w:tcW w:w="1097" w:type="dxa"/>
            <w:noWrap/>
            <w:vAlign w:val="bottom"/>
            <w:hideMark/>
          </w:tcPr>
          <w:p w14:paraId="001A294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6AF793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D07BE1F" w14:textId="77777777" w:rsidTr="008B7C11">
        <w:trPr>
          <w:trHeight w:val="600"/>
        </w:trPr>
        <w:tc>
          <w:tcPr>
            <w:tcW w:w="958" w:type="dxa"/>
            <w:noWrap/>
            <w:vAlign w:val="center"/>
            <w:hideMark/>
          </w:tcPr>
          <w:p w14:paraId="28CEA59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395</w:t>
            </w:r>
          </w:p>
        </w:tc>
        <w:tc>
          <w:tcPr>
            <w:tcW w:w="1718" w:type="dxa"/>
            <w:noWrap/>
            <w:vAlign w:val="bottom"/>
            <w:hideMark/>
          </w:tcPr>
          <w:p w14:paraId="1AB33B9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901F05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P-1174-14</w:t>
            </w:r>
          </w:p>
        </w:tc>
        <w:tc>
          <w:tcPr>
            <w:tcW w:w="1097" w:type="dxa"/>
            <w:noWrap/>
            <w:vAlign w:val="bottom"/>
            <w:hideMark/>
          </w:tcPr>
          <w:p w14:paraId="0A6EF7D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5E2643E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05F36E8" w14:textId="77777777" w:rsidTr="008B7C11">
        <w:trPr>
          <w:trHeight w:val="600"/>
        </w:trPr>
        <w:tc>
          <w:tcPr>
            <w:tcW w:w="958" w:type="dxa"/>
            <w:noWrap/>
            <w:vAlign w:val="center"/>
            <w:hideMark/>
          </w:tcPr>
          <w:p w14:paraId="2D1596D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396</w:t>
            </w:r>
          </w:p>
        </w:tc>
        <w:tc>
          <w:tcPr>
            <w:tcW w:w="1718" w:type="dxa"/>
            <w:noWrap/>
            <w:vAlign w:val="bottom"/>
            <w:hideMark/>
          </w:tcPr>
          <w:p w14:paraId="3049497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694486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P-268-14</w:t>
            </w:r>
          </w:p>
        </w:tc>
        <w:tc>
          <w:tcPr>
            <w:tcW w:w="1097" w:type="dxa"/>
            <w:noWrap/>
            <w:vAlign w:val="bottom"/>
            <w:hideMark/>
          </w:tcPr>
          <w:p w14:paraId="01A9652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5A9AD16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3B409FE" w14:textId="77777777" w:rsidTr="008B7C11">
        <w:trPr>
          <w:trHeight w:val="600"/>
        </w:trPr>
        <w:tc>
          <w:tcPr>
            <w:tcW w:w="958" w:type="dxa"/>
            <w:noWrap/>
            <w:vAlign w:val="center"/>
            <w:hideMark/>
          </w:tcPr>
          <w:p w14:paraId="5FCA17D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397</w:t>
            </w:r>
          </w:p>
        </w:tc>
        <w:tc>
          <w:tcPr>
            <w:tcW w:w="1718" w:type="dxa"/>
            <w:noWrap/>
            <w:vAlign w:val="bottom"/>
            <w:hideMark/>
          </w:tcPr>
          <w:p w14:paraId="6702018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3017F8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P-1924-14</w:t>
            </w:r>
          </w:p>
        </w:tc>
        <w:tc>
          <w:tcPr>
            <w:tcW w:w="1097" w:type="dxa"/>
            <w:noWrap/>
            <w:vAlign w:val="bottom"/>
            <w:hideMark/>
          </w:tcPr>
          <w:p w14:paraId="7B85E53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5AB8196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AFF3EB5" w14:textId="77777777" w:rsidTr="008B7C11">
        <w:trPr>
          <w:trHeight w:val="600"/>
        </w:trPr>
        <w:tc>
          <w:tcPr>
            <w:tcW w:w="958" w:type="dxa"/>
            <w:noWrap/>
            <w:vAlign w:val="center"/>
            <w:hideMark/>
          </w:tcPr>
          <w:p w14:paraId="0CF0333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398</w:t>
            </w:r>
          </w:p>
        </w:tc>
        <w:tc>
          <w:tcPr>
            <w:tcW w:w="1718" w:type="dxa"/>
            <w:noWrap/>
            <w:vAlign w:val="bottom"/>
            <w:hideMark/>
          </w:tcPr>
          <w:p w14:paraId="75EA561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9F5B3A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P-422-16</w:t>
            </w:r>
          </w:p>
        </w:tc>
        <w:tc>
          <w:tcPr>
            <w:tcW w:w="1097" w:type="dxa"/>
            <w:noWrap/>
            <w:vAlign w:val="bottom"/>
            <w:hideMark/>
          </w:tcPr>
          <w:p w14:paraId="21F90A5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6A0DB5A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28331FD" w14:textId="77777777" w:rsidTr="008B7C11">
        <w:trPr>
          <w:trHeight w:val="600"/>
        </w:trPr>
        <w:tc>
          <w:tcPr>
            <w:tcW w:w="958" w:type="dxa"/>
            <w:noWrap/>
            <w:vAlign w:val="center"/>
            <w:hideMark/>
          </w:tcPr>
          <w:p w14:paraId="1D157A9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399</w:t>
            </w:r>
          </w:p>
        </w:tc>
        <w:tc>
          <w:tcPr>
            <w:tcW w:w="1718" w:type="dxa"/>
            <w:noWrap/>
            <w:vAlign w:val="bottom"/>
            <w:hideMark/>
          </w:tcPr>
          <w:p w14:paraId="5C0C248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8E33C8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P-252-16</w:t>
            </w:r>
          </w:p>
        </w:tc>
        <w:tc>
          <w:tcPr>
            <w:tcW w:w="1097" w:type="dxa"/>
            <w:noWrap/>
            <w:vAlign w:val="bottom"/>
            <w:hideMark/>
          </w:tcPr>
          <w:p w14:paraId="20967BF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481F441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B09B2CC" w14:textId="77777777" w:rsidTr="008B7C11">
        <w:trPr>
          <w:trHeight w:val="600"/>
        </w:trPr>
        <w:tc>
          <w:tcPr>
            <w:tcW w:w="958" w:type="dxa"/>
            <w:noWrap/>
            <w:vAlign w:val="center"/>
            <w:hideMark/>
          </w:tcPr>
          <w:p w14:paraId="2E21B3B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400</w:t>
            </w:r>
          </w:p>
        </w:tc>
        <w:tc>
          <w:tcPr>
            <w:tcW w:w="1718" w:type="dxa"/>
            <w:noWrap/>
            <w:vAlign w:val="bottom"/>
            <w:hideMark/>
          </w:tcPr>
          <w:p w14:paraId="5DF94B2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FC5DE4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P-596-16</w:t>
            </w:r>
          </w:p>
        </w:tc>
        <w:tc>
          <w:tcPr>
            <w:tcW w:w="1097" w:type="dxa"/>
            <w:noWrap/>
            <w:vAlign w:val="bottom"/>
            <w:hideMark/>
          </w:tcPr>
          <w:p w14:paraId="24EE31D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60FA3D2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BD1EF4F" w14:textId="77777777" w:rsidTr="008B7C11">
        <w:trPr>
          <w:trHeight w:val="600"/>
        </w:trPr>
        <w:tc>
          <w:tcPr>
            <w:tcW w:w="958" w:type="dxa"/>
            <w:noWrap/>
            <w:vAlign w:val="center"/>
            <w:hideMark/>
          </w:tcPr>
          <w:p w14:paraId="3E1D38F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401</w:t>
            </w:r>
          </w:p>
        </w:tc>
        <w:tc>
          <w:tcPr>
            <w:tcW w:w="1718" w:type="dxa"/>
            <w:noWrap/>
            <w:vAlign w:val="bottom"/>
            <w:hideMark/>
          </w:tcPr>
          <w:p w14:paraId="021E40B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DA51A5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P-500-16</w:t>
            </w:r>
          </w:p>
        </w:tc>
        <w:tc>
          <w:tcPr>
            <w:tcW w:w="1097" w:type="dxa"/>
            <w:noWrap/>
            <w:vAlign w:val="bottom"/>
            <w:hideMark/>
          </w:tcPr>
          <w:p w14:paraId="21F0A3D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27C997D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6EAD869" w14:textId="77777777" w:rsidTr="008B7C11">
        <w:trPr>
          <w:trHeight w:val="600"/>
        </w:trPr>
        <w:tc>
          <w:tcPr>
            <w:tcW w:w="958" w:type="dxa"/>
            <w:noWrap/>
            <w:vAlign w:val="center"/>
            <w:hideMark/>
          </w:tcPr>
          <w:p w14:paraId="3FD6A75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402</w:t>
            </w:r>
          </w:p>
        </w:tc>
        <w:tc>
          <w:tcPr>
            <w:tcW w:w="1718" w:type="dxa"/>
            <w:noWrap/>
            <w:vAlign w:val="bottom"/>
            <w:hideMark/>
          </w:tcPr>
          <w:p w14:paraId="28DF191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1D14DD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P-476-16</w:t>
            </w:r>
          </w:p>
        </w:tc>
        <w:tc>
          <w:tcPr>
            <w:tcW w:w="1097" w:type="dxa"/>
            <w:noWrap/>
            <w:vAlign w:val="bottom"/>
            <w:hideMark/>
          </w:tcPr>
          <w:p w14:paraId="25A3C81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1740AAF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BE322F5" w14:textId="77777777" w:rsidTr="008B7C11">
        <w:trPr>
          <w:trHeight w:val="600"/>
        </w:trPr>
        <w:tc>
          <w:tcPr>
            <w:tcW w:w="958" w:type="dxa"/>
            <w:noWrap/>
            <w:vAlign w:val="center"/>
            <w:hideMark/>
          </w:tcPr>
          <w:p w14:paraId="1A7D0D7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403</w:t>
            </w:r>
          </w:p>
        </w:tc>
        <w:tc>
          <w:tcPr>
            <w:tcW w:w="1718" w:type="dxa"/>
            <w:noWrap/>
            <w:vAlign w:val="bottom"/>
            <w:hideMark/>
          </w:tcPr>
          <w:p w14:paraId="4A7A2F2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C6EAE8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P-2417-17</w:t>
            </w:r>
          </w:p>
        </w:tc>
        <w:tc>
          <w:tcPr>
            <w:tcW w:w="1097" w:type="dxa"/>
            <w:noWrap/>
            <w:vAlign w:val="bottom"/>
            <w:hideMark/>
          </w:tcPr>
          <w:p w14:paraId="4D29301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402739D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1E0D38D" w14:textId="77777777" w:rsidTr="008B7C11">
        <w:trPr>
          <w:trHeight w:val="600"/>
        </w:trPr>
        <w:tc>
          <w:tcPr>
            <w:tcW w:w="958" w:type="dxa"/>
            <w:noWrap/>
            <w:vAlign w:val="center"/>
            <w:hideMark/>
          </w:tcPr>
          <w:p w14:paraId="13C0E4C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404</w:t>
            </w:r>
          </w:p>
        </w:tc>
        <w:tc>
          <w:tcPr>
            <w:tcW w:w="1718" w:type="dxa"/>
            <w:noWrap/>
            <w:vAlign w:val="bottom"/>
            <w:hideMark/>
          </w:tcPr>
          <w:p w14:paraId="6A155C9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08EE75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P-2536-16</w:t>
            </w:r>
          </w:p>
        </w:tc>
        <w:tc>
          <w:tcPr>
            <w:tcW w:w="1097" w:type="dxa"/>
            <w:noWrap/>
            <w:vAlign w:val="bottom"/>
            <w:hideMark/>
          </w:tcPr>
          <w:p w14:paraId="154D316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4D6CCC2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53251E0" w14:textId="77777777" w:rsidTr="008B7C11">
        <w:trPr>
          <w:trHeight w:val="600"/>
        </w:trPr>
        <w:tc>
          <w:tcPr>
            <w:tcW w:w="958" w:type="dxa"/>
            <w:noWrap/>
            <w:vAlign w:val="center"/>
            <w:hideMark/>
          </w:tcPr>
          <w:p w14:paraId="0920AAD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405</w:t>
            </w:r>
          </w:p>
        </w:tc>
        <w:tc>
          <w:tcPr>
            <w:tcW w:w="1718" w:type="dxa"/>
            <w:noWrap/>
            <w:vAlign w:val="bottom"/>
            <w:hideMark/>
          </w:tcPr>
          <w:p w14:paraId="4546625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83800A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P-717-16</w:t>
            </w:r>
          </w:p>
        </w:tc>
        <w:tc>
          <w:tcPr>
            <w:tcW w:w="1097" w:type="dxa"/>
            <w:noWrap/>
            <w:vAlign w:val="bottom"/>
            <w:hideMark/>
          </w:tcPr>
          <w:p w14:paraId="577D8DA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06AF7BF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37BD9EF" w14:textId="77777777" w:rsidTr="008B7C11">
        <w:trPr>
          <w:trHeight w:val="600"/>
        </w:trPr>
        <w:tc>
          <w:tcPr>
            <w:tcW w:w="958" w:type="dxa"/>
            <w:noWrap/>
            <w:vAlign w:val="center"/>
            <w:hideMark/>
          </w:tcPr>
          <w:p w14:paraId="467BADE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406</w:t>
            </w:r>
          </w:p>
        </w:tc>
        <w:tc>
          <w:tcPr>
            <w:tcW w:w="1718" w:type="dxa"/>
            <w:noWrap/>
            <w:vAlign w:val="bottom"/>
            <w:hideMark/>
          </w:tcPr>
          <w:p w14:paraId="11CA70B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E5336D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P-1627-16</w:t>
            </w:r>
          </w:p>
        </w:tc>
        <w:tc>
          <w:tcPr>
            <w:tcW w:w="1097" w:type="dxa"/>
            <w:noWrap/>
            <w:vAlign w:val="bottom"/>
            <w:hideMark/>
          </w:tcPr>
          <w:p w14:paraId="796B6A1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28D2A11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44F805A" w14:textId="77777777" w:rsidTr="008B7C11">
        <w:trPr>
          <w:trHeight w:val="600"/>
        </w:trPr>
        <w:tc>
          <w:tcPr>
            <w:tcW w:w="958" w:type="dxa"/>
            <w:noWrap/>
            <w:vAlign w:val="center"/>
            <w:hideMark/>
          </w:tcPr>
          <w:p w14:paraId="31647E1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407</w:t>
            </w:r>
          </w:p>
        </w:tc>
        <w:tc>
          <w:tcPr>
            <w:tcW w:w="1718" w:type="dxa"/>
            <w:noWrap/>
            <w:vAlign w:val="bottom"/>
            <w:hideMark/>
          </w:tcPr>
          <w:p w14:paraId="7746112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60C9BA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P-1864-14</w:t>
            </w:r>
          </w:p>
        </w:tc>
        <w:tc>
          <w:tcPr>
            <w:tcW w:w="1097" w:type="dxa"/>
            <w:noWrap/>
            <w:vAlign w:val="bottom"/>
            <w:hideMark/>
          </w:tcPr>
          <w:p w14:paraId="3CBBF5A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11CC43B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2875942" w14:textId="77777777" w:rsidTr="008B7C11">
        <w:trPr>
          <w:trHeight w:val="600"/>
        </w:trPr>
        <w:tc>
          <w:tcPr>
            <w:tcW w:w="958" w:type="dxa"/>
            <w:noWrap/>
            <w:vAlign w:val="center"/>
            <w:hideMark/>
          </w:tcPr>
          <w:p w14:paraId="58FBDC9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408</w:t>
            </w:r>
          </w:p>
        </w:tc>
        <w:tc>
          <w:tcPr>
            <w:tcW w:w="1718" w:type="dxa"/>
            <w:noWrap/>
            <w:vAlign w:val="bottom"/>
            <w:hideMark/>
          </w:tcPr>
          <w:p w14:paraId="514AECF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271A49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P-1763-15</w:t>
            </w:r>
          </w:p>
        </w:tc>
        <w:tc>
          <w:tcPr>
            <w:tcW w:w="1097" w:type="dxa"/>
            <w:noWrap/>
            <w:vAlign w:val="bottom"/>
            <w:hideMark/>
          </w:tcPr>
          <w:p w14:paraId="1CC3D4B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1FC3B87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2C16AD9" w14:textId="77777777" w:rsidTr="008B7C11">
        <w:trPr>
          <w:trHeight w:val="600"/>
        </w:trPr>
        <w:tc>
          <w:tcPr>
            <w:tcW w:w="958" w:type="dxa"/>
            <w:noWrap/>
            <w:vAlign w:val="center"/>
            <w:hideMark/>
          </w:tcPr>
          <w:p w14:paraId="0D78182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409</w:t>
            </w:r>
          </w:p>
        </w:tc>
        <w:tc>
          <w:tcPr>
            <w:tcW w:w="1718" w:type="dxa"/>
            <w:noWrap/>
            <w:vAlign w:val="bottom"/>
            <w:hideMark/>
          </w:tcPr>
          <w:p w14:paraId="5342C46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375FE3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P-176-14</w:t>
            </w:r>
          </w:p>
        </w:tc>
        <w:tc>
          <w:tcPr>
            <w:tcW w:w="1097" w:type="dxa"/>
            <w:noWrap/>
            <w:vAlign w:val="bottom"/>
            <w:hideMark/>
          </w:tcPr>
          <w:p w14:paraId="20A6201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20297D8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EE8956E" w14:textId="77777777" w:rsidTr="008B7C11">
        <w:trPr>
          <w:trHeight w:val="600"/>
        </w:trPr>
        <w:tc>
          <w:tcPr>
            <w:tcW w:w="958" w:type="dxa"/>
            <w:noWrap/>
            <w:vAlign w:val="center"/>
            <w:hideMark/>
          </w:tcPr>
          <w:p w14:paraId="012CF9A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410</w:t>
            </w:r>
          </w:p>
        </w:tc>
        <w:tc>
          <w:tcPr>
            <w:tcW w:w="1718" w:type="dxa"/>
            <w:noWrap/>
            <w:vAlign w:val="bottom"/>
            <w:hideMark/>
          </w:tcPr>
          <w:p w14:paraId="35712D1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1DBAD8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P-1589-14</w:t>
            </w:r>
          </w:p>
        </w:tc>
        <w:tc>
          <w:tcPr>
            <w:tcW w:w="1097" w:type="dxa"/>
            <w:noWrap/>
            <w:vAlign w:val="bottom"/>
            <w:hideMark/>
          </w:tcPr>
          <w:p w14:paraId="739C5DF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50CCE13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8044DF4" w14:textId="77777777" w:rsidTr="008B7C11">
        <w:trPr>
          <w:trHeight w:val="600"/>
        </w:trPr>
        <w:tc>
          <w:tcPr>
            <w:tcW w:w="958" w:type="dxa"/>
            <w:noWrap/>
            <w:vAlign w:val="center"/>
            <w:hideMark/>
          </w:tcPr>
          <w:p w14:paraId="1BB97B6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411</w:t>
            </w:r>
          </w:p>
        </w:tc>
        <w:tc>
          <w:tcPr>
            <w:tcW w:w="1718" w:type="dxa"/>
            <w:noWrap/>
            <w:vAlign w:val="bottom"/>
            <w:hideMark/>
          </w:tcPr>
          <w:p w14:paraId="35BEC04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71E2682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P-169-15</w:t>
            </w:r>
          </w:p>
        </w:tc>
        <w:tc>
          <w:tcPr>
            <w:tcW w:w="1097" w:type="dxa"/>
            <w:noWrap/>
            <w:vAlign w:val="bottom"/>
            <w:hideMark/>
          </w:tcPr>
          <w:p w14:paraId="15C2D1F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6DFE18A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0591D25" w14:textId="77777777" w:rsidTr="008B7C11">
        <w:trPr>
          <w:trHeight w:val="600"/>
        </w:trPr>
        <w:tc>
          <w:tcPr>
            <w:tcW w:w="958" w:type="dxa"/>
            <w:noWrap/>
            <w:vAlign w:val="center"/>
            <w:hideMark/>
          </w:tcPr>
          <w:p w14:paraId="682F659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412</w:t>
            </w:r>
          </w:p>
        </w:tc>
        <w:tc>
          <w:tcPr>
            <w:tcW w:w="1718" w:type="dxa"/>
            <w:noWrap/>
            <w:vAlign w:val="bottom"/>
            <w:hideMark/>
          </w:tcPr>
          <w:p w14:paraId="7D58B3B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EF40C6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P-547-15</w:t>
            </w:r>
          </w:p>
        </w:tc>
        <w:tc>
          <w:tcPr>
            <w:tcW w:w="1097" w:type="dxa"/>
            <w:noWrap/>
            <w:vAlign w:val="bottom"/>
            <w:hideMark/>
          </w:tcPr>
          <w:p w14:paraId="038C0AC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2E85715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A9D6FD0" w14:textId="77777777" w:rsidTr="008B7C11">
        <w:trPr>
          <w:trHeight w:val="600"/>
        </w:trPr>
        <w:tc>
          <w:tcPr>
            <w:tcW w:w="958" w:type="dxa"/>
            <w:noWrap/>
            <w:vAlign w:val="center"/>
            <w:hideMark/>
          </w:tcPr>
          <w:p w14:paraId="05C003C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413</w:t>
            </w:r>
          </w:p>
        </w:tc>
        <w:tc>
          <w:tcPr>
            <w:tcW w:w="1718" w:type="dxa"/>
            <w:noWrap/>
            <w:vAlign w:val="bottom"/>
            <w:hideMark/>
          </w:tcPr>
          <w:p w14:paraId="325E0CB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D1A820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P-2102-15</w:t>
            </w:r>
          </w:p>
        </w:tc>
        <w:tc>
          <w:tcPr>
            <w:tcW w:w="1097" w:type="dxa"/>
            <w:noWrap/>
            <w:vAlign w:val="bottom"/>
            <w:hideMark/>
          </w:tcPr>
          <w:p w14:paraId="5CFB0D3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2636426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E7905D1" w14:textId="77777777" w:rsidTr="008B7C11">
        <w:trPr>
          <w:trHeight w:val="600"/>
        </w:trPr>
        <w:tc>
          <w:tcPr>
            <w:tcW w:w="958" w:type="dxa"/>
            <w:noWrap/>
            <w:vAlign w:val="center"/>
            <w:hideMark/>
          </w:tcPr>
          <w:p w14:paraId="54D7399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414</w:t>
            </w:r>
          </w:p>
        </w:tc>
        <w:tc>
          <w:tcPr>
            <w:tcW w:w="1718" w:type="dxa"/>
            <w:noWrap/>
            <w:vAlign w:val="bottom"/>
            <w:hideMark/>
          </w:tcPr>
          <w:p w14:paraId="5FC9CE3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BF9FFA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P-416-17</w:t>
            </w:r>
          </w:p>
        </w:tc>
        <w:tc>
          <w:tcPr>
            <w:tcW w:w="1097" w:type="dxa"/>
            <w:noWrap/>
            <w:vAlign w:val="bottom"/>
            <w:hideMark/>
          </w:tcPr>
          <w:p w14:paraId="20D2AA4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4CDB272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28981FE" w14:textId="77777777" w:rsidTr="008B7C11">
        <w:trPr>
          <w:trHeight w:val="600"/>
        </w:trPr>
        <w:tc>
          <w:tcPr>
            <w:tcW w:w="958" w:type="dxa"/>
            <w:noWrap/>
            <w:vAlign w:val="center"/>
            <w:hideMark/>
          </w:tcPr>
          <w:p w14:paraId="53E0DAD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415</w:t>
            </w:r>
          </w:p>
        </w:tc>
        <w:tc>
          <w:tcPr>
            <w:tcW w:w="1718" w:type="dxa"/>
            <w:noWrap/>
            <w:vAlign w:val="bottom"/>
            <w:hideMark/>
          </w:tcPr>
          <w:p w14:paraId="7437977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3BA564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P-2426-16</w:t>
            </w:r>
          </w:p>
        </w:tc>
        <w:tc>
          <w:tcPr>
            <w:tcW w:w="1097" w:type="dxa"/>
            <w:noWrap/>
            <w:vAlign w:val="bottom"/>
            <w:hideMark/>
          </w:tcPr>
          <w:p w14:paraId="6E8D5F9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40986C8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C550344" w14:textId="77777777" w:rsidTr="008B7C11">
        <w:trPr>
          <w:trHeight w:val="600"/>
        </w:trPr>
        <w:tc>
          <w:tcPr>
            <w:tcW w:w="958" w:type="dxa"/>
            <w:noWrap/>
            <w:vAlign w:val="center"/>
            <w:hideMark/>
          </w:tcPr>
          <w:p w14:paraId="604CB12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416</w:t>
            </w:r>
          </w:p>
        </w:tc>
        <w:tc>
          <w:tcPr>
            <w:tcW w:w="1718" w:type="dxa"/>
            <w:noWrap/>
            <w:vAlign w:val="bottom"/>
            <w:hideMark/>
          </w:tcPr>
          <w:p w14:paraId="79353B1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A2919A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P-1463-17</w:t>
            </w:r>
          </w:p>
        </w:tc>
        <w:tc>
          <w:tcPr>
            <w:tcW w:w="1097" w:type="dxa"/>
            <w:noWrap/>
            <w:vAlign w:val="bottom"/>
            <w:hideMark/>
          </w:tcPr>
          <w:p w14:paraId="65CAFBC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3729094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77B9F96" w14:textId="77777777" w:rsidTr="008B7C11">
        <w:trPr>
          <w:trHeight w:val="600"/>
        </w:trPr>
        <w:tc>
          <w:tcPr>
            <w:tcW w:w="958" w:type="dxa"/>
            <w:noWrap/>
            <w:vAlign w:val="center"/>
            <w:hideMark/>
          </w:tcPr>
          <w:p w14:paraId="246B1CD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417</w:t>
            </w:r>
          </w:p>
        </w:tc>
        <w:tc>
          <w:tcPr>
            <w:tcW w:w="1718" w:type="dxa"/>
            <w:noWrap/>
            <w:vAlign w:val="bottom"/>
            <w:hideMark/>
          </w:tcPr>
          <w:p w14:paraId="3C3D8B5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01672E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P-315-13</w:t>
            </w:r>
          </w:p>
        </w:tc>
        <w:tc>
          <w:tcPr>
            <w:tcW w:w="1097" w:type="dxa"/>
            <w:noWrap/>
            <w:vAlign w:val="bottom"/>
            <w:hideMark/>
          </w:tcPr>
          <w:p w14:paraId="1842BE8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53949DE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E7A8A73" w14:textId="77777777" w:rsidTr="008B7C11">
        <w:trPr>
          <w:trHeight w:val="600"/>
        </w:trPr>
        <w:tc>
          <w:tcPr>
            <w:tcW w:w="958" w:type="dxa"/>
            <w:noWrap/>
            <w:vAlign w:val="center"/>
            <w:hideMark/>
          </w:tcPr>
          <w:p w14:paraId="2CA5F51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418</w:t>
            </w:r>
          </w:p>
        </w:tc>
        <w:tc>
          <w:tcPr>
            <w:tcW w:w="1718" w:type="dxa"/>
            <w:noWrap/>
            <w:vAlign w:val="bottom"/>
            <w:hideMark/>
          </w:tcPr>
          <w:p w14:paraId="75B844A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92E979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P-1599-16</w:t>
            </w:r>
          </w:p>
        </w:tc>
        <w:tc>
          <w:tcPr>
            <w:tcW w:w="1097" w:type="dxa"/>
            <w:noWrap/>
            <w:vAlign w:val="bottom"/>
            <w:hideMark/>
          </w:tcPr>
          <w:p w14:paraId="4B79EB9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1F50167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553C7A6" w14:textId="77777777" w:rsidTr="008B7C11">
        <w:trPr>
          <w:trHeight w:val="600"/>
        </w:trPr>
        <w:tc>
          <w:tcPr>
            <w:tcW w:w="958" w:type="dxa"/>
            <w:noWrap/>
            <w:vAlign w:val="center"/>
            <w:hideMark/>
          </w:tcPr>
          <w:p w14:paraId="1E1E58F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419</w:t>
            </w:r>
          </w:p>
        </w:tc>
        <w:tc>
          <w:tcPr>
            <w:tcW w:w="1718" w:type="dxa"/>
            <w:noWrap/>
            <w:vAlign w:val="bottom"/>
            <w:hideMark/>
          </w:tcPr>
          <w:p w14:paraId="0D47A08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FE5EF4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P-405-15</w:t>
            </w:r>
          </w:p>
        </w:tc>
        <w:tc>
          <w:tcPr>
            <w:tcW w:w="1097" w:type="dxa"/>
            <w:noWrap/>
            <w:vAlign w:val="bottom"/>
            <w:hideMark/>
          </w:tcPr>
          <w:p w14:paraId="03192BE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77B6A7E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4294D65" w14:textId="77777777" w:rsidTr="008B7C11">
        <w:trPr>
          <w:trHeight w:val="600"/>
        </w:trPr>
        <w:tc>
          <w:tcPr>
            <w:tcW w:w="958" w:type="dxa"/>
            <w:noWrap/>
            <w:vAlign w:val="center"/>
            <w:hideMark/>
          </w:tcPr>
          <w:p w14:paraId="6A1EF26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420</w:t>
            </w:r>
          </w:p>
        </w:tc>
        <w:tc>
          <w:tcPr>
            <w:tcW w:w="1718" w:type="dxa"/>
            <w:noWrap/>
            <w:vAlign w:val="bottom"/>
            <w:hideMark/>
          </w:tcPr>
          <w:p w14:paraId="40468E7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DD37F4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P-41-15</w:t>
            </w:r>
          </w:p>
        </w:tc>
        <w:tc>
          <w:tcPr>
            <w:tcW w:w="1097" w:type="dxa"/>
            <w:noWrap/>
            <w:vAlign w:val="bottom"/>
            <w:hideMark/>
          </w:tcPr>
          <w:p w14:paraId="65C5EAA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74C712C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B4BF709" w14:textId="77777777" w:rsidTr="008B7C11">
        <w:trPr>
          <w:trHeight w:val="600"/>
        </w:trPr>
        <w:tc>
          <w:tcPr>
            <w:tcW w:w="958" w:type="dxa"/>
            <w:noWrap/>
            <w:vAlign w:val="center"/>
            <w:hideMark/>
          </w:tcPr>
          <w:p w14:paraId="0F8AC62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421</w:t>
            </w:r>
          </w:p>
        </w:tc>
        <w:tc>
          <w:tcPr>
            <w:tcW w:w="1718" w:type="dxa"/>
            <w:noWrap/>
            <w:vAlign w:val="bottom"/>
            <w:hideMark/>
          </w:tcPr>
          <w:p w14:paraId="59E185D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BD751C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P-568-14</w:t>
            </w:r>
          </w:p>
        </w:tc>
        <w:tc>
          <w:tcPr>
            <w:tcW w:w="1097" w:type="dxa"/>
            <w:noWrap/>
            <w:vAlign w:val="bottom"/>
            <w:hideMark/>
          </w:tcPr>
          <w:p w14:paraId="4E68471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117CC98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BA2FEDE" w14:textId="77777777" w:rsidTr="008B7C11">
        <w:trPr>
          <w:trHeight w:val="600"/>
        </w:trPr>
        <w:tc>
          <w:tcPr>
            <w:tcW w:w="958" w:type="dxa"/>
            <w:noWrap/>
            <w:vAlign w:val="center"/>
            <w:hideMark/>
          </w:tcPr>
          <w:p w14:paraId="2C5120E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422</w:t>
            </w:r>
          </w:p>
        </w:tc>
        <w:tc>
          <w:tcPr>
            <w:tcW w:w="1718" w:type="dxa"/>
            <w:noWrap/>
            <w:vAlign w:val="bottom"/>
            <w:hideMark/>
          </w:tcPr>
          <w:p w14:paraId="3F68623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28D7E9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P-1420-16</w:t>
            </w:r>
          </w:p>
        </w:tc>
        <w:tc>
          <w:tcPr>
            <w:tcW w:w="1097" w:type="dxa"/>
            <w:noWrap/>
            <w:vAlign w:val="bottom"/>
            <w:hideMark/>
          </w:tcPr>
          <w:p w14:paraId="293E958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60FAABF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B71C783" w14:textId="77777777" w:rsidTr="008B7C11">
        <w:trPr>
          <w:trHeight w:val="600"/>
        </w:trPr>
        <w:tc>
          <w:tcPr>
            <w:tcW w:w="958" w:type="dxa"/>
            <w:noWrap/>
            <w:vAlign w:val="center"/>
            <w:hideMark/>
          </w:tcPr>
          <w:p w14:paraId="0718349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423</w:t>
            </w:r>
          </w:p>
        </w:tc>
        <w:tc>
          <w:tcPr>
            <w:tcW w:w="1718" w:type="dxa"/>
            <w:noWrap/>
            <w:vAlign w:val="bottom"/>
            <w:hideMark/>
          </w:tcPr>
          <w:p w14:paraId="46A713B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2AC6BE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P-2136-16</w:t>
            </w:r>
          </w:p>
        </w:tc>
        <w:tc>
          <w:tcPr>
            <w:tcW w:w="1097" w:type="dxa"/>
            <w:noWrap/>
            <w:vAlign w:val="bottom"/>
            <w:hideMark/>
          </w:tcPr>
          <w:p w14:paraId="7BB3A87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36530EF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F0B16AF" w14:textId="77777777" w:rsidTr="008B7C11">
        <w:trPr>
          <w:trHeight w:val="600"/>
        </w:trPr>
        <w:tc>
          <w:tcPr>
            <w:tcW w:w="958" w:type="dxa"/>
            <w:noWrap/>
            <w:vAlign w:val="center"/>
            <w:hideMark/>
          </w:tcPr>
          <w:p w14:paraId="46FFC5C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424</w:t>
            </w:r>
          </w:p>
        </w:tc>
        <w:tc>
          <w:tcPr>
            <w:tcW w:w="1718" w:type="dxa"/>
            <w:noWrap/>
            <w:vAlign w:val="bottom"/>
            <w:hideMark/>
          </w:tcPr>
          <w:p w14:paraId="5D525CC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BBED63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P-793-16</w:t>
            </w:r>
          </w:p>
        </w:tc>
        <w:tc>
          <w:tcPr>
            <w:tcW w:w="1097" w:type="dxa"/>
            <w:noWrap/>
            <w:vAlign w:val="bottom"/>
            <w:hideMark/>
          </w:tcPr>
          <w:p w14:paraId="232D39E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1913FE2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A77AF65" w14:textId="77777777" w:rsidTr="008B7C11">
        <w:trPr>
          <w:trHeight w:val="600"/>
        </w:trPr>
        <w:tc>
          <w:tcPr>
            <w:tcW w:w="958" w:type="dxa"/>
            <w:noWrap/>
            <w:vAlign w:val="center"/>
            <w:hideMark/>
          </w:tcPr>
          <w:p w14:paraId="5772079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425</w:t>
            </w:r>
          </w:p>
        </w:tc>
        <w:tc>
          <w:tcPr>
            <w:tcW w:w="1718" w:type="dxa"/>
            <w:noWrap/>
            <w:vAlign w:val="bottom"/>
            <w:hideMark/>
          </w:tcPr>
          <w:p w14:paraId="4C9A521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74D4B6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P-75-14</w:t>
            </w:r>
          </w:p>
        </w:tc>
        <w:tc>
          <w:tcPr>
            <w:tcW w:w="1097" w:type="dxa"/>
            <w:noWrap/>
            <w:vAlign w:val="bottom"/>
            <w:hideMark/>
          </w:tcPr>
          <w:p w14:paraId="4B53581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5767F6E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D10F334" w14:textId="77777777" w:rsidTr="008B7C11">
        <w:trPr>
          <w:trHeight w:val="600"/>
        </w:trPr>
        <w:tc>
          <w:tcPr>
            <w:tcW w:w="958" w:type="dxa"/>
            <w:noWrap/>
            <w:vAlign w:val="center"/>
            <w:hideMark/>
          </w:tcPr>
          <w:p w14:paraId="6C90875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426</w:t>
            </w:r>
          </w:p>
        </w:tc>
        <w:tc>
          <w:tcPr>
            <w:tcW w:w="1718" w:type="dxa"/>
            <w:noWrap/>
            <w:vAlign w:val="bottom"/>
            <w:hideMark/>
          </w:tcPr>
          <w:p w14:paraId="7FA5D42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7C990A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P-1171-15</w:t>
            </w:r>
          </w:p>
        </w:tc>
        <w:tc>
          <w:tcPr>
            <w:tcW w:w="1097" w:type="dxa"/>
            <w:noWrap/>
            <w:vAlign w:val="bottom"/>
            <w:hideMark/>
          </w:tcPr>
          <w:p w14:paraId="2ABF031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7CE6CB4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8E63F9A" w14:textId="77777777" w:rsidTr="008B7C11">
        <w:trPr>
          <w:trHeight w:val="600"/>
        </w:trPr>
        <w:tc>
          <w:tcPr>
            <w:tcW w:w="958" w:type="dxa"/>
            <w:noWrap/>
            <w:vAlign w:val="center"/>
            <w:hideMark/>
          </w:tcPr>
          <w:p w14:paraId="4E4EE35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427</w:t>
            </w:r>
          </w:p>
        </w:tc>
        <w:tc>
          <w:tcPr>
            <w:tcW w:w="1718" w:type="dxa"/>
            <w:noWrap/>
            <w:vAlign w:val="bottom"/>
            <w:hideMark/>
          </w:tcPr>
          <w:p w14:paraId="4374451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E8B5DF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P-1962-18</w:t>
            </w:r>
          </w:p>
        </w:tc>
        <w:tc>
          <w:tcPr>
            <w:tcW w:w="1097" w:type="dxa"/>
            <w:noWrap/>
            <w:vAlign w:val="bottom"/>
            <w:hideMark/>
          </w:tcPr>
          <w:p w14:paraId="239FD78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18</w:t>
            </w:r>
          </w:p>
        </w:tc>
        <w:tc>
          <w:tcPr>
            <w:tcW w:w="2600" w:type="dxa"/>
            <w:vAlign w:val="center"/>
            <w:hideMark/>
          </w:tcPr>
          <w:p w14:paraId="461CC60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6BC82D9" w14:textId="77777777" w:rsidTr="008B7C11">
        <w:trPr>
          <w:trHeight w:val="600"/>
        </w:trPr>
        <w:tc>
          <w:tcPr>
            <w:tcW w:w="958" w:type="dxa"/>
            <w:noWrap/>
            <w:vAlign w:val="center"/>
            <w:hideMark/>
          </w:tcPr>
          <w:p w14:paraId="1422EC3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428</w:t>
            </w:r>
          </w:p>
        </w:tc>
        <w:tc>
          <w:tcPr>
            <w:tcW w:w="1718" w:type="dxa"/>
            <w:noWrap/>
            <w:vAlign w:val="bottom"/>
            <w:hideMark/>
          </w:tcPr>
          <w:p w14:paraId="1ACC915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4F143A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P-1199-16</w:t>
            </w:r>
          </w:p>
        </w:tc>
        <w:tc>
          <w:tcPr>
            <w:tcW w:w="1097" w:type="dxa"/>
            <w:noWrap/>
            <w:vAlign w:val="bottom"/>
            <w:hideMark/>
          </w:tcPr>
          <w:p w14:paraId="26BE01B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62558AD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77D1D85" w14:textId="77777777" w:rsidTr="008B7C11">
        <w:trPr>
          <w:trHeight w:val="600"/>
        </w:trPr>
        <w:tc>
          <w:tcPr>
            <w:tcW w:w="958" w:type="dxa"/>
            <w:noWrap/>
            <w:vAlign w:val="center"/>
            <w:hideMark/>
          </w:tcPr>
          <w:p w14:paraId="08F4746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429</w:t>
            </w:r>
          </w:p>
        </w:tc>
        <w:tc>
          <w:tcPr>
            <w:tcW w:w="1718" w:type="dxa"/>
            <w:noWrap/>
            <w:vAlign w:val="bottom"/>
            <w:hideMark/>
          </w:tcPr>
          <w:p w14:paraId="25228EC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9CB34D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P-798-18</w:t>
            </w:r>
          </w:p>
        </w:tc>
        <w:tc>
          <w:tcPr>
            <w:tcW w:w="1097" w:type="dxa"/>
            <w:noWrap/>
            <w:vAlign w:val="bottom"/>
            <w:hideMark/>
          </w:tcPr>
          <w:p w14:paraId="43B6F4D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18</w:t>
            </w:r>
          </w:p>
        </w:tc>
        <w:tc>
          <w:tcPr>
            <w:tcW w:w="2600" w:type="dxa"/>
            <w:vAlign w:val="center"/>
            <w:hideMark/>
          </w:tcPr>
          <w:p w14:paraId="5CDAF88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5502AA7" w14:textId="77777777" w:rsidTr="008B7C11">
        <w:trPr>
          <w:trHeight w:val="600"/>
        </w:trPr>
        <w:tc>
          <w:tcPr>
            <w:tcW w:w="958" w:type="dxa"/>
            <w:noWrap/>
            <w:vAlign w:val="center"/>
            <w:hideMark/>
          </w:tcPr>
          <w:p w14:paraId="75E2664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430</w:t>
            </w:r>
          </w:p>
        </w:tc>
        <w:tc>
          <w:tcPr>
            <w:tcW w:w="1718" w:type="dxa"/>
            <w:noWrap/>
            <w:vAlign w:val="bottom"/>
            <w:hideMark/>
          </w:tcPr>
          <w:p w14:paraId="097AD8B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8D9727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P-2393-17</w:t>
            </w:r>
          </w:p>
        </w:tc>
        <w:tc>
          <w:tcPr>
            <w:tcW w:w="1097" w:type="dxa"/>
            <w:noWrap/>
            <w:vAlign w:val="bottom"/>
            <w:hideMark/>
          </w:tcPr>
          <w:p w14:paraId="59086A8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32ECE66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A06199A" w14:textId="77777777" w:rsidTr="008B7C11">
        <w:trPr>
          <w:trHeight w:val="600"/>
        </w:trPr>
        <w:tc>
          <w:tcPr>
            <w:tcW w:w="958" w:type="dxa"/>
            <w:noWrap/>
            <w:vAlign w:val="center"/>
            <w:hideMark/>
          </w:tcPr>
          <w:p w14:paraId="2F8120B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431</w:t>
            </w:r>
          </w:p>
        </w:tc>
        <w:tc>
          <w:tcPr>
            <w:tcW w:w="1718" w:type="dxa"/>
            <w:noWrap/>
            <w:vAlign w:val="bottom"/>
            <w:hideMark/>
          </w:tcPr>
          <w:p w14:paraId="07D0AA0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B16B19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P-2116-15</w:t>
            </w:r>
          </w:p>
        </w:tc>
        <w:tc>
          <w:tcPr>
            <w:tcW w:w="1097" w:type="dxa"/>
            <w:noWrap/>
            <w:vAlign w:val="bottom"/>
            <w:hideMark/>
          </w:tcPr>
          <w:p w14:paraId="60A6F34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7FCF97F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6F73C58" w14:textId="77777777" w:rsidTr="008B7C11">
        <w:trPr>
          <w:trHeight w:val="600"/>
        </w:trPr>
        <w:tc>
          <w:tcPr>
            <w:tcW w:w="958" w:type="dxa"/>
            <w:noWrap/>
            <w:vAlign w:val="center"/>
            <w:hideMark/>
          </w:tcPr>
          <w:p w14:paraId="3711036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432</w:t>
            </w:r>
          </w:p>
        </w:tc>
        <w:tc>
          <w:tcPr>
            <w:tcW w:w="1718" w:type="dxa"/>
            <w:noWrap/>
            <w:vAlign w:val="bottom"/>
            <w:hideMark/>
          </w:tcPr>
          <w:p w14:paraId="22BBA9A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46870D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P-649-15</w:t>
            </w:r>
          </w:p>
        </w:tc>
        <w:tc>
          <w:tcPr>
            <w:tcW w:w="1097" w:type="dxa"/>
            <w:noWrap/>
            <w:vAlign w:val="bottom"/>
            <w:hideMark/>
          </w:tcPr>
          <w:p w14:paraId="05BCD32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37FD2EC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4ACDFAF" w14:textId="77777777" w:rsidTr="008B7C11">
        <w:trPr>
          <w:trHeight w:val="600"/>
        </w:trPr>
        <w:tc>
          <w:tcPr>
            <w:tcW w:w="958" w:type="dxa"/>
            <w:noWrap/>
            <w:vAlign w:val="center"/>
            <w:hideMark/>
          </w:tcPr>
          <w:p w14:paraId="55D29F1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433</w:t>
            </w:r>
          </w:p>
        </w:tc>
        <w:tc>
          <w:tcPr>
            <w:tcW w:w="1718" w:type="dxa"/>
            <w:noWrap/>
            <w:vAlign w:val="bottom"/>
            <w:hideMark/>
          </w:tcPr>
          <w:p w14:paraId="0C2ED64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7BDF4B3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P-1543-14</w:t>
            </w:r>
          </w:p>
        </w:tc>
        <w:tc>
          <w:tcPr>
            <w:tcW w:w="1097" w:type="dxa"/>
            <w:noWrap/>
            <w:vAlign w:val="bottom"/>
            <w:hideMark/>
          </w:tcPr>
          <w:p w14:paraId="40556CA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2835027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7F88967" w14:textId="77777777" w:rsidTr="008B7C11">
        <w:trPr>
          <w:trHeight w:val="600"/>
        </w:trPr>
        <w:tc>
          <w:tcPr>
            <w:tcW w:w="958" w:type="dxa"/>
            <w:noWrap/>
            <w:vAlign w:val="center"/>
            <w:hideMark/>
          </w:tcPr>
          <w:p w14:paraId="470DFC7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434</w:t>
            </w:r>
          </w:p>
        </w:tc>
        <w:tc>
          <w:tcPr>
            <w:tcW w:w="1718" w:type="dxa"/>
            <w:noWrap/>
            <w:vAlign w:val="bottom"/>
            <w:hideMark/>
          </w:tcPr>
          <w:p w14:paraId="7E9C1EE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65B49E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P-1439-16</w:t>
            </w:r>
          </w:p>
        </w:tc>
        <w:tc>
          <w:tcPr>
            <w:tcW w:w="1097" w:type="dxa"/>
            <w:noWrap/>
            <w:vAlign w:val="bottom"/>
            <w:hideMark/>
          </w:tcPr>
          <w:p w14:paraId="3730159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4AB90B6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564AC90" w14:textId="77777777" w:rsidTr="008B7C11">
        <w:trPr>
          <w:trHeight w:val="600"/>
        </w:trPr>
        <w:tc>
          <w:tcPr>
            <w:tcW w:w="958" w:type="dxa"/>
            <w:noWrap/>
            <w:vAlign w:val="center"/>
            <w:hideMark/>
          </w:tcPr>
          <w:p w14:paraId="54BBF35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435</w:t>
            </w:r>
          </w:p>
        </w:tc>
        <w:tc>
          <w:tcPr>
            <w:tcW w:w="1718" w:type="dxa"/>
            <w:noWrap/>
            <w:vAlign w:val="bottom"/>
            <w:hideMark/>
          </w:tcPr>
          <w:p w14:paraId="4973DA1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7C81F9F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P-2020-16</w:t>
            </w:r>
          </w:p>
        </w:tc>
        <w:tc>
          <w:tcPr>
            <w:tcW w:w="1097" w:type="dxa"/>
            <w:noWrap/>
            <w:vAlign w:val="bottom"/>
            <w:hideMark/>
          </w:tcPr>
          <w:p w14:paraId="215E9A1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454A7B3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9108CEA" w14:textId="77777777" w:rsidTr="008B7C11">
        <w:trPr>
          <w:trHeight w:val="600"/>
        </w:trPr>
        <w:tc>
          <w:tcPr>
            <w:tcW w:w="958" w:type="dxa"/>
            <w:noWrap/>
            <w:vAlign w:val="center"/>
            <w:hideMark/>
          </w:tcPr>
          <w:p w14:paraId="123CFF2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436</w:t>
            </w:r>
          </w:p>
        </w:tc>
        <w:tc>
          <w:tcPr>
            <w:tcW w:w="1718" w:type="dxa"/>
            <w:noWrap/>
            <w:vAlign w:val="bottom"/>
            <w:hideMark/>
          </w:tcPr>
          <w:p w14:paraId="491487A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3A401E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P-411-15</w:t>
            </w:r>
          </w:p>
        </w:tc>
        <w:tc>
          <w:tcPr>
            <w:tcW w:w="1097" w:type="dxa"/>
            <w:noWrap/>
            <w:vAlign w:val="bottom"/>
            <w:hideMark/>
          </w:tcPr>
          <w:p w14:paraId="35E8FF2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4690B8D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47C10D3" w14:textId="77777777" w:rsidTr="008B7C11">
        <w:trPr>
          <w:trHeight w:val="600"/>
        </w:trPr>
        <w:tc>
          <w:tcPr>
            <w:tcW w:w="958" w:type="dxa"/>
            <w:noWrap/>
            <w:vAlign w:val="center"/>
            <w:hideMark/>
          </w:tcPr>
          <w:p w14:paraId="4AFAC14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437</w:t>
            </w:r>
          </w:p>
        </w:tc>
        <w:tc>
          <w:tcPr>
            <w:tcW w:w="1718" w:type="dxa"/>
            <w:noWrap/>
            <w:vAlign w:val="bottom"/>
            <w:hideMark/>
          </w:tcPr>
          <w:p w14:paraId="10D68E1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215465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P-1017-15</w:t>
            </w:r>
          </w:p>
        </w:tc>
        <w:tc>
          <w:tcPr>
            <w:tcW w:w="1097" w:type="dxa"/>
            <w:noWrap/>
            <w:vAlign w:val="bottom"/>
            <w:hideMark/>
          </w:tcPr>
          <w:p w14:paraId="553876D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7233B38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6E41A3D" w14:textId="77777777" w:rsidTr="008B7C11">
        <w:trPr>
          <w:trHeight w:val="600"/>
        </w:trPr>
        <w:tc>
          <w:tcPr>
            <w:tcW w:w="958" w:type="dxa"/>
            <w:noWrap/>
            <w:vAlign w:val="center"/>
            <w:hideMark/>
          </w:tcPr>
          <w:p w14:paraId="669E380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438</w:t>
            </w:r>
          </w:p>
        </w:tc>
        <w:tc>
          <w:tcPr>
            <w:tcW w:w="1718" w:type="dxa"/>
            <w:noWrap/>
            <w:vAlign w:val="bottom"/>
            <w:hideMark/>
          </w:tcPr>
          <w:p w14:paraId="5ED777E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B1F7DD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P-1193-16</w:t>
            </w:r>
          </w:p>
        </w:tc>
        <w:tc>
          <w:tcPr>
            <w:tcW w:w="1097" w:type="dxa"/>
            <w:noWrap/>
            <w:vAlign w:val="bottom"/>
            <w:hideMark/>
          </w:tcPr>
          <w:p w14:paraId="522C297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033F1A6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F4A2C0B" w14:textId="77777777" w:rsidTr="008B7C11">
        <w:trPr>
          <w:trHeight w:val="600"/>
        </w:trPr>
        <w:tc>
          <w:tcPr>
            <w:tcW w:w="958" w:type="dxa"/>
            <w:noWrap/>
            <w:vAlign w:val="center"/>
            <w:hideMark/>
          </w:tcPr>
          <w:p w14:paraId="17CF5A9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439</w:t>
            </w:r>
          </w:p>
        </w:tc>
        <w:tc>
          <w:tcPr>
            <w:tcW w:w="1718" w:type="dxa"/>
            <w:noWrap/>
            <w:vAlign w:val="bottom"/>
            <w:hideMark/>
          </w:tcPr>
          <w:p w14:paraId="08D27DA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E2BA87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P-1545-15</w:t>
            </w:r>
          </w:p>
        </w:tc>
        <w:tc>
          <w:tcPr>
            <w:tcW w:w="1097" w:type="dxa"/>
            <w:noWrap/>
            <w:vAlign w:val="bottom"/>
            <w:hideMark/>
          </w:tcPr>
          <w:p w14:paraId="3BE9CE0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1392516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F13163D" w14:textId="77777777" w:rsidTr="008B7C11">
        <w:trPr>
          <w:trHeight w:val="600"/>
        </w:trPr>
        <w:tc>
          <w:tcPr>
            <w:tcW w:w="958" w:type="dxa"/>
            <w:noWrap/>
            <w:vAlign w:val="center"/>
            <w:hideMark/>
          </w:tcPr>
          <w:p w14:paraId="0B88885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440</w:t>
            </w:r>
          </w:p>
        </w:tc>
        <w:tc>
          <w:tcPr>
            <w:tcW w:w="1718" w:type="dxa"/>
            <w:noWrap/>
            <w:vAlign w:val="bottom"/>
            <w:hideMark/>
          </w:tcPr>
          <w:p w14:paraId="0FE39CF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A09996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P-1444-15</w:t>
            </w:r>
          </w:p>
        </w:tc>
        <w:tc>
          <w:tcPr>
            <w:tcW w:w="1097" w:type="dxa"/>
            <w:noWrap/>
            <w:vAlign w:val="bottom"/>
            <w:hideMark/>
          </w:tcPr>
          <w:p w14:paraId="4D4DFC6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43D9A17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564B948" w14:textId="77777777" w:rsidTr="008B7C11">
        <w:trPr>
          <w:trHeight w:val="600"/>
        </w:trPr>
        <w:tc>
          <w:tcPr>
            <w:tcW w:w="958" w:type="dxa"/>
            <w:noWrap/>
            <w:vAlign w:val="center"/>
            <w:hideMark/>
          </w:tcPr>
          <w:p w14:paraId="6A48DFC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441</w:t>
            </w:r>
          </w:p>
        </w:tc>
        <w:tc>
          <w:tcPr>
            <w:tcW w:w="1718" w:type="dxa"/>
            <w:noWrap/>
            <w:vAlign w:val="bottom"/>
            <w:hideMark/>
          </w:tcPr>
          <w:p w14:paraId="08BCAE6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97C781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P-1456-15</w:t>
            </w:r>
          </w:p>
        </w:tc>
        <w:tc>
          <w:tcPr>
            <w:tcW w:w="1097" w:type="dxa"/>
            <w:noWrap/>
            <w:vAlign w:val="bottom"/>
            <w:hideMark/>
          </w:tcPr>
          <w:p w14:paraId="47180B2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0070E09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C9BBB09" w14:textId="77777777" w:rsidTr="008B7C11">
        <w:trPr>
          <w:trHeight w:val="600"/>
        </w:trPr>
        <w:tc>
          <w:tcPr>
            <w:tcW w:w="958" w:type="dxa"/>
            <w:noWrap/>
            <w:vAlign w:val="center"/>
            <w:hideMark/>
          </w:tcPr>
          <w:p w14:paraId="0424AA0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442</w:t>
            </w:r>
          </w:p>
        </w:tc>
        <w:tc>
          <w:tcPr>
            <w:tcW w:w="1718" w:type="dxa"/>
            <w:noWrap/>
            <w:vAlign w:val="bottom"/>
            <w:hideMark/>
          </w:tcPr>
          <w:p w14:paraId="0D9B3CE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77BE4C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P-239-18</w:t>
            </w:r>
          </w:p>
        </w:tc>
        <w:tc>
          <w:tcPr>
            <w:tcW w:w="1097" w:type="dxa"/>
            <w:noWrap/>
            <w:vAlign w:val="bottom"/>
            <w:hideMark/>
          </w:tcPr>
          <w:p w14:paraId="0705590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18</w:t>
            </w:r>
          </w:p>
        </w:tc>
        <w:tc>
          <w:tcPr>
            <w:tcW w:w="2600" w:type="dxa"/>
            <w:vAlign w:val="center"/>
            <w:hideMark/>
          </w:tcPr>
          <w:p w14:paraId="7336139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A45E22B" w14:textId="77777777" w:rsidTr="008B7C11">
        <w:trPr>
          <w:trHeight w:val="600"/>
        </w:trPr>
        <w:tc>
          <w:tcPr>
            <w:tcW w:w="958" w:type="dxa"/>
            <w:noWrap/>
            <w:vAlign w:val="center"/>
            <w:hideMark/>
          </w:tcPr>
          <w:p w14:paraId="7D63474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443</w:t>
            </w:r>
          </w:p>
        </w:tc>
        <w:tc>
          <w:tcPr>
            <w:tcW w:w="1718" w:type="dxa"/>
            <w:noWrap/>
            <w:vAlign w:val="bottom"/>
            <w:hideMark/>
          </w:tcPr>
          <w:p w14:paraId="64B21DC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02D0A9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P-1133-15</w:t>
            </w:r>
          </w:p>
        </w:tc>
        <w:tc>
          <w:tcPr>
            <w:tcW w:w="1097" w:type="dxa"/>
            <w:noWrap/>
            <w:vAlign w:val="bottom"/>
            <w:hideMark/>
          </w:tcPr>
          <w:p w14:paraId="7AFB747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1BB06CA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B1A8866" w14:textId="77777777" w:rsidTr="008B7C11">
        <w:trPr>
          <w:trHeight w:val="600"/>
        </w:trPr>
        <w:tc>
          <w:tcPr>
            <w:tcW w:w="958" w:type="dxa"/>
            <w:noWrap/>
            <w:vAlign w:val="center"/>
            <w:hideMark/>
          </w:tcPr>
          <w:p w14:paraId="460263B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444</w:t>
            </w:r>
          </w:p>
        </w:tc>
        <w:tc>
          <w:tcPr>
            <w:tcW w:w="1718" w:type="dxa"/>
            <w:noWrap/>
            <w:vAlign w:val="bottom"/>
            <w:hideMark/>
          </w:tcPr>
          <w:p w14:paraId="64B9148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B54D10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P-1647-14</w:t>
            </w:r>
          </w:p>
        </w:tc>
        <w:tc>
          <w:tcPr>
            <w:tcW w:w="1097" w:type="dxa"/>
            <w:noWrap/>
            <w:vAlign w:val="bottom"/>
            <w:hideMark/>
          </w:tcPr>
          <w:p w14:paraId="6FE4323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2068448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D27D11B" w14:textId="77777777" w:rsidTr="008B7C11">
        <w:trPr>
          <w:trHeight w:val="600"/>
        </w:trPr>
        <w:tc>
          <w:tcPr>
            <w:tcW w:w="958" w:type="dxa"/>
            <w:noWrap/>
            <w:vAlign w:val="center"/>
            <w:hideMark/>
          </w:tcPr>
          <w:p w14:paraId="23EF8D3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445</w:t>
            </w:r>
          </w:p>
        </w:tc>
        <w:tc>
          <w:tcPr>
            <w:tcW w:w="1718" w:type="dxa"/>
            <w:noWrap/>
            <w:vAlign w:val="bottom"/>
            <w:hideMark/>
          </w:tcPr>
          <w:p w14:paraId="380960D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AD57E4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P-483-11</w:t>
            </w:r>
          </w:p>
        </w:tc>
        <w:tc>
          <w:tcPr>
            <w:tcW w:w="1097" w:type="dxa"/>
            <w:noWrap/>
            <w:vAlign w:val="bottom"/>
            <w:hideMark/>
          </w:tcPr>
          <w:p w14:paraId="4B5A905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11</w:t>
            </w:r>
          </w:p>
        </w:tc>
        <w:tc>
          <w:tcPr>
            <w:tcW w:w="2600" w:type="dxa"/>
            <w:vAlign w:val="center"/>
            <w:hideMark/>
          </w:tcPr>
          <w:p w14:paraId="6C60EB1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675DB3B" w14:textId="77777777" w:rsidTr="008B7C11">
        <w:trPr>
          <w:trHeight w:val="600"/>
        </w:trPr>
        <w:tc>
          <w:tcPr>
            <w:tcW w:w="958" w:type="dxa"/>
            <w:noWrap/>
            <w:vAlign w:val="center"/>
            <w:hideMark/>
          </w:tcPr>
          <w:p w14:paraId="5B8DED7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446</w:t>
            </w:r>
          </w:p>
        </w:tc>
        <w:tc>
          <w:tcPr>
            <w:tcW w:w="1718" w:type="dxa"/>
            <w:noWrap/>
            <w:vAlign w:val="bottom"/>
            <w:hideMark/>
          </w:tcPr>
          <w:p w14:paraId="6EDC0DA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B05941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P-1541-16</w:t>
            </w:r>
          </w:p>
        </w:tc>
        <w:tc>
          <w:tcPr>
            <w:tcW w:w="1097" w:type="dxa"/>
            <w:noWrap/>
            <w:vAlign w:val="bottom"/>
            <w:hideMark/>
          </w:tcPr>
          <w:p w14:paraId="700E318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6B8E203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4A417F0" w14:textId="77777777" w:rsidTr="008B7C11">
        <w:trPr>
          <w:trHeight w:val="600"/>
        </w:trPr>
        <w:tc>
          <w:tcPr>
            <w:tcW w:w="958" w:type="dxa"/>
            <w:noWrap/>
            <w:vAlign w:val="center"/>
            <w:hideMark/>
          </w:tcPr>
          <w:p w14:paraId="326841C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447</w:t>
            </w:r>
          </w:p>
        </w:tc>
        <w:tc>
          <w:tcPr>
            <w:tcW w:w="1718" w:type="dxa"/>
            <w:noWrap/>
            <w:vAlign w:val="bottom"/>
            <w:hideMark/>
          </w:tcPr>
          <w:p w14:paraId="64B00C8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0DCF7A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P-766-16</w:t>
            </w:r>
          </w:p>
        </w:tc>
        <w:tc>
          <w:tcPr>
            <w:tcW w:w="1097" w:type="dxa"/>
            <w:noWrap/>
            <w:vAlign w:val="bottom"/>
            <w:hideMark/>
          </w:tcPr>
          <w:p w14:paraId="4815710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799DC53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814CFA0" w14:textId="77777777" w:rsidTr="008B7C11">
        <w:trPr>
          <w:trHeight w:val="600"/>
        </w:trPr>
        <w:tc>
          <w:tcPr>
            <w:tcW w:w="958" w:type="dxa"/>
            <w:noWrap/>
            <w:vAlign w:val="center"/>
            <w:hideMark/>
          </w:tcPr>
          <w:p w14:paraId="1637325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448</w:t>
            </w:r>
          </w:p>
        </w:tc>
        <w:tc>
          <w:tcPr>
            <w:tcW w:w="1718" w:type="dxa"/>
            <w:noWrap/>
            <w:vAlign w:val="bottom"/>
            <w:hideMark/>
          </w:tcPr>
          <w:p w14:paraId="5E924F5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DFB083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P-604-16</w:t>
            </w:r>
          </w:p>
        </w:tc>
        <w:tc>
          <w:tcPr>
            <w:tcW w:w="1097" w:type="dxa"/>
            <w:noWrap/>
            <w:vAlign w:val="bottom"/>
            <w:hideMark/>
          </w:tcPr>
          <w:p w14:paraId="1275E0C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4F3CBC6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F2C1110" w14:textId="77777777" w:rsidTr="008B7C11">
        <w:trPr>
          <w:trHeight w:val="600"/>
        </w:trPr>
        <w:tc>
          <w:tcPr>
            <w:tcW w:w="958" w:type="dxa"/>
            <w:noWrap/>
            <w:vAlign w:val="center"/>
            <w:hideMark/>
          </w:tcPr>
          <w:p w14:paraId="016E11E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449</w:t>
            </w:r>
          </w:p>
        </w:tc>
        <w:tc>
          <w:tcPr>
            <w:tcW w:w="1718" w:type="dxa"/>
            <w:noWrap/>
            <w:vAlign w:val="bottom"/>
            <w:hideMark/>
          </w:tcPr>
          <w:p w14:paraId="76B1B08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9CDC3D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P-69-16</w:t>
            </w:r>
          </w:p>
        </w:tc>
        <w:tc>
          <w:tcPr>
            <w:tcW w:w="1097" w:type="dxa"/>
            <w:noWrap/>
            <w:vAlign w:val="bottom"/>
            <w:hideMark/>
          </w:tcPr>
          <w:p w14:paraId="05DF1FA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5BCDBF2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4126BC7" w14:textId="77777777" w:rsidTr="008B7C11">
        <w:trPr>
          <w:trHeight w:val="600"/>
        </w:trPr>
        <w:tc>
          <w:tcPr>
            <w:tcW w:w="958" w:type="dxa"/>
            <w:noWrap/>
            <w:vAlign w:val="center"/>
            <w:hideMark/>
          </w:tcPr>
          <w:p w14:paraId="58978C5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450</w:t>
            </w:r>
          </w:p>
        </w:tc>
        <w:tc>
          <w:tcPr>
            <w:tcW w:w="1718" w:type="dxa"/>
            <w:noWrap/>
            <w:vAlign w:val="bottom"/>
            <w:hideMark/>
          </w:tcPr>
          <w:p w14:paraId="48EFFDC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9E7DE7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P-710-14</w:t>
            </w:r>
          </w:p>
        </w:tc>
        <w:tc>
          <w:tcPr>
            <w:tcW w:w="1097" w:type="dxa"/>
            <w:noWrap/>
            <w:vAlign w:val="bottom"/>
            <w:hideMark/>
          </w:tcPr>
          <w:p w14:paraId="0F4F2C6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6B67B18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2A98E9D" w14:textId="77777777" w:rsidTr="008B7C11">
        <w:trPr>
          <w:trHeight w:val="600"/>
        </w:trPr>
        <w:tc>
          <w:tcPr>
            <w:tcW w:w="958" w:type="dxa"/>
            <w:noWrap/>
            <w:vAlign w:val="center"/>
            <w:hideMark/>
          </w:tcPr>
          <w:p w14:paraId="51BD5BC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451</w:t>
            </w:r>
          </w:p>
        </w:tc>
        <w:tc>
          <w:tcPr>
            <w:tcW w:w="1718" w:type="dxa"/>
            <w:noWrap/>
            <w:vAlign w:val="bottom"/>
            <w:hideMark/>
          </w:tcPr>
          <w:p w14:paraId="6876BAC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DE779A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P-1084-13</w:t>
            </w:r>
          </w:p>
        </w:tc>
        <w:tc>
          <w:tcPr>
            <w:tcW w:w="1097" w:type="dxa"/>
            <w:noWrap/>
            <w:vAlign w:val="bottom"/>
            <w:hideMark/>
          </w:tcPr>
          <w:p w14:paraId="2433831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6739E24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F2694C1" w14:textId="77777777" w:rsidTr="008B7C11">
        <w:trPr>
          <w:trHeight w:val="600"/>
        </w:trPr>
        <w:tc>
          <w:tcPr>
            <w:tcW w:w="958" w:type="dxa"/>
            <w:noWrap/>
            <w:vAlign w:val="center"/>
            <w:hideMark/>
          </w:tcPr>
          <w:p w14:paraId="2DD0DCF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452</w:t>
            </w:r>
          </w:p>
        </w:tc>
        <w:tc>
          <w:tcPr>
            <w:tcW w:w="1718" w:type="dxa"/>
            <w:noWrap/>
            <w:vAlign w:val="bottom"/>
            <w:hideMark/>
          </w:tcPr>
          <w:p w14:paraId="40B92DC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B1EA49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P-799-09</w:t>
            </w:r>
          </w:p>
        </w:tc>
        <w:tc>
          <w:tcPr>
            <w:tcW w:w="1097" w:type="dxa"/>
            <w:noWrap/>
            <w:vAlign w:val="bottom"/>
            <w:hideMark/>
          </w:tcPr>
          <w:p w14:paraId="019CA7D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9</w:t>
            </w:r>
          </w:p>
        </w:tc>
        <w:tc>
          <w:tcPr>
            <w:tcW w:w="2600" w:type="dxa"/>
            <w:vAlign w:val="center"/>
            <w:hideMark/>
          </w:tcPr>
          <w:p w14:paraId="71DEE5E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1AA434D" w14:textId="77777777" w:rsidTr="008B7C11">
        <w:trPr>
          <w:trHeight w:val="600"/>
        </w:trPr>
        <w:tc>
          <w:tcPr>
            <w:tcW w:w="958" w:type="dxa"/>
            <w:noWrap/>
            <w:vAlign w:val="center"/>
            <w:hideMark/>
          </w:tcPr>
          <w:p w14:paraId="56257A3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453</w:t>
            </w:r>
          </w:p>
        </w:tc>
        <w:tc>
          <w:tcPr>
            <w:tcW w:w="1718" w:type="dxa"/>
            <w:noWrap/>
            <w:vAlign w:val="bottom"/>
            <w:hideMark/>
          </w:tcPr>
          <w:p w14:paraId="76CE827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B70246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P-1074-09</w:t>
            </w:r>
          </w:p>
        </w:tc>
        <w:tc>
          <w:tcPr>
            <w:tcW w:w="1097" w:type="dxa"/>
            <w:noWrap/>
            <w:vAlign w:val="bottom"/>
            <w:hideMark/>
          </w:tcPr>
          <w:p w14:paraId="4831C2D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9</w:t>
            </w:r>
          </w:p>
        </w:tc>
        <w:tc>
          <w:tcPr>
            <w:tcW w:w="2600" w:type="dxa"/>
            <w:vAlign w:val="center"/>
            <w:hideMark/>
          </w:tcPr>
          <w:p w14:paraId="380D4F5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379D514" w14:textId="77777777" w:rsidTr="008B7C11">
        <w:trPr>
          <w:trHeight w:val="600"/>
        </w:trPr>
        <w:tc>
          <w:tcPr>
            <w:tcW w:w="958" w:type="dxa"/>
            <w:noWrap/>
            <w:vAlign w:val="center"/>
            <w:hideMark/>
          </w:tcPr>
          <w:p w14:paraId="2BE4DAB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454</w:t>
            </w:r>
          </w:p>
        </w:tc>
        <w:tc>
          <w:tcPr>
            <w:tcW w:w="1718" w:type="dxa"/>
            <w:noWrap/>
            <w:vAlign w:val="bottom"/>
            <w:hideMark/>
          </w:tcPr>
          <w:p w14:paraId="05A8183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CB5DF7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P-894-18</w:t>
            </w:r>
          </w:p>
        </w:tc>
        <w:tc>
          <w:tcPr>
            <w:tcW w:w="1097" w:type="dxa"/>
            <w:noWrap/>
            <w:vAlign w:val="bottom"/>
            <w:hideMark/>
          </w:tcPr>
          <w:p w14:paraId="084B41E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18</w:t>
            </w:r>
          </w:p>
        </w:tc>
        <w:tc>
          <w:tcPr>
            <w:tcW w:w="2600" w:type="dxa"/>
            <w:vAlign w:val="center"/>
            <w:hideMark/>
          </w:tcPr>
          <w:p w14:paraId="4A2D35E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A444D71" w14:textId="77777777" w:rsidTr="008B7C11">
        <w:trPr>
          <w:trHeight w:val="600"/>
        </w:trPr>
        <w:tc>
          <w:tcPr>
            <w:tcW w:w="958" w:type="dxa"/>
            <w:noWrap/>
            <w:vAlign w:val="center"/>
            <w:hideMark/>
          </w:tcPr>
          <w:p w14:paraId="33F04B4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455</w:t>
            </w:r>
          </w:p>
        </w:tc>
        <w:tc>
          <w:tcPr>
            <w:tcW w:w="1718" w:type="dxa"/>
            <w:noWrap/>
            <w:vAlign w:val="bottom"/>
            <w:hideMark/>
          </w:tcPr>
          <w:p w14:paraId="248431D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7E79D40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P-1369-16</w:t>
            </w:r>
          </w:p>
        </w:tc>
        <w:tc>
          <w:tcPr>
            <w:tcW w:w="1097" w:type="dxa"/>
            <w:noWrap/>
            <w:vAlign w:val="bottom"/>
            <w:hideMark/>
          </w:tcPr>
          <w:p w14:paraId="22C8349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7595435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E8B0C33" w14:textId="77777777" w:rsidTr="008B7C11">
        <w:trPr>
          <w:trHeight w:val="600"/>
        </w:trPr>
        <w:tc>
          <w:tcPr>
            <w:tcW w:w="958" w:type="dxa"/>
            <w:noWrap/>
            <w:vAlign w:val="center"/>
            <w:hideMark/>
          </w:tcPr>
          <w:p w14:paraId="295BF22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456</w:t>
            </w:r>
          </w:p>
        </w:tc>
        <w:tc>
          <w:tcPr>
            <w:tcW w:w="1718" w:type="dxa"/>
            <w:noWrap/>
            <w:vAlign w:val="bottom"/>
            <w:hideMark/>
          </w:tcPr>
          <w:p w14:paraId="4765464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3465E5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P-1244-17</w:t>
            </w:r>
          </w:p>
        </w:tc>
        <w:tc>
          <w:tcPr>
            <w:tcW w:w="1097" w:type="dxa"/>
            <w:noWrap/>
            <w:vAlign w:val="bottom"/>
            <w:hideMark/>
          </w:tcPr>
          <w:p w14:paraId="0D9E518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DAA6FA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A234E80" w14:textId="77777777" w:rsidTr="008B7C11">
        <w:trPr>
          <w:trHeight w:val="600"/>
        </w:trPr>
        <w:tc>
          <w:tcPr>
            <w:tcW w:w="958" w:type="dxa"/>
            <w:noWrap/>
            <w:vAlign w:val="center"/>
            <w:hideMark/>
          </w:tcPr>
          <w:p w14:paraId="175FDDE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457</w:t>
            </w:r>
          </w:p>
        </w:tc>
        <w:tc>
          <w:tcPr>
            <w:tcW w:w="1718" w:type="dxa"/>
            <w:noWrap/>
            <w:vAlign w:val="bottom"/>
            <w:hideMark/>
          </w:tcPr>
          <w:p w14:paraId="53D033B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755DD78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P-1232-17</w:t>
            </w:r>
          </w:p>
        </w:tc>
        <w:tc>
          <w:tcPr>
            <w:tcW w:w="1097" w:type="dxa"/>
            <w:noWrap/>
            <w:vAlign w:val="bottom"/>
            <w:hideMark/>
          </w:tcPr>
          <w:p w14:paraId="2C22A8F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48B8F1D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79EAF24" w14:textId="77777777" w:rsidTr="008B7C11">
        <w:trPr>
          <w:trHeight w:val="600"/>
        </w:trPr>
        <w:tc>
          <w:tcPr>
            <w:tcW w:w="958" w:type="dxa"/>
            <w:noWrap/>
            <w:vAlign w:val="center"/>
            <w:hideMark/>
          </w:tcPr>
          <w:p w14:paraId="37876C9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458</w:t>
            </w:r>
          </w:p>
        </w:tc>
        <w:tc>
          <w:tcPr>
            <w:tcW w:w="1718" w:type="dxa"/>
            <w:noWrap/>
            <w:vAlign w:val="bottom"/>
            <w:hideMark/>
          </w:tcPr>
          <w:p w14:paraId="615D28C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DF2514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P-123-17</w:t>
            </w:r>
          </w:p>
        </w:tc>
        <w:tc>
          <w:tcPr>
            <w:tcW w:w="1097" w:type="dxa"/>
            <w:noWrap/>
            <w:vAlign w:val="bottom"/>
            <w:hideMark/>
          </w:tcPr>
          <w:p w14:paraId="6424FBB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79D97D0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8F65B03" w14:textId="77777777" w:rsidTr="008B7C11">
        <w:trPr>
          <w:trHeight w:val="600"/>
        </w:trPr>
        <w:tc>
          <w:tcPr>
            <w:tcW w:w="958" w:type="dxa"/>
            <w:noWrap/>
            <w:vAlign w:val="center"/>
            <w:hideMark/>
          </w:tcPr>
          <w:p w14:paraId="0DB1CF1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459</w:t>
            </w:r>
          </w:p>
        </w:tc>
        <w:tc>
          <w:tcPr>
            <w:tcW w:w="1718" w:type="dxa"/>
            <w:noWrap/>
            <w:vAlign w:val="bottom"/>
            <w:hideMark/>
          </w:tcPr>
          <w:p w14:paraId="7961BAF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54E258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P-1067-17</w:t>
            </w:r>
          </w:p>
        </w:tc>
        <w:tc>
          <w:tcPr>
            <w:tcW w:w="1097" w:type="dxa"/>
            <w:noWrap/>
            <w:vAlign w:val="bottom"/>
            <w:hideMark/>
          </w:tcPr>
          <w:p w14:paraId="1203059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18F9246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6833F0E" w14:textId="77777777" w:rsidTr="008B7C11">
        <w:trPr>
          <w:trHeight w:val="600"/>
        </w:trPr>
        <w:tc>
          <w:tcPr>
            <w:tcW w:w="958" w:type="dxa"/>
            <w:noWrap/>
            <w:vAlign w:val="center"/>
            <w:hideMark/>
          </w:tcPr>
          <w:p w14:paraId="0E0E428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460</w:t>
            </w:r>
          </w:p>
        </w:tc>
        <w:tc>
          <w:tcPr>
            <w:tcW w:w="1718" w:type="dxa"/>
            <w:noWrap/>
            <w:vAlign w:val="bottom"/>
            <w:hideMark/>
          </w:tcPr>
          <w:p w14:paraId="541B16F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E4D37C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P-917-16</w:t>
            </w:r>
          </w:p>
        </w:tc>
        <w:tc>
          <w:tcPr>
            <w:tcW w:w="1097" w:type="dxa"/>
            <w:noWrap/>
            <w:vAlign w:val="bottom"/>
            <w:hideMark/>
          </w:tcPr>
          <w:p w14:paraId="6362C28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5ECCEBE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5F826F0" w14:textId="77777777" w:rsidTr="008B7C11">
        <w:trPr>
          <w:trHeight w:val="600"/>
        </w:trPr>
        <w:tc>
          <w:tcPr>
            <w:tcW w:w="958" w:type="dxa"/>
            <w:noWrap/>
            <w:vAlign w:val="center"/>
            <w:hideMark/>
          </w:tcPr>
          <w:p w14:paraId="2416EE2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461</w:t>
            </w:r>
          </w:p>
        </w:tc>
        <w:tc>
          <w:tcPr>
            <w:tcW w:w="1718" w:type="dxa"/>
            <w:noWrap/>
            <w:vAlign w:val="bottom"/>
            <w:hideMark/>
          </w:tcPr>
          <w:p w14:paraId="1EBA2D2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762D76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P-437-16</w:t>
            </w:r>
          </w:p>
        </w:tc>
        <w:tc>
          <w:tcPr>
            <w:tcW w:w="1097" w:type="dxa"/>
            <w:noWrap/>
            <w:vAlign w:val="bottom"/>
            <w:hideMark/>
          </w:tcPr>
          <w:p w14:paraId="55ED968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16B3ACC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2089119" w14:textId="77777777" w:rsidTr="008B7C11">
        <w:trPr>
          <w:trHeight w:val="600"/>
        </w:trPr>
        <w:tc>
          <w:tcPr>
            <w:tcW w:w="958" w:type="dxa"/>
            <w:noWrap/>
            <w:vAlign w:val="center"/>
            <w:hideMark/>
          </w:tcPr>
          <w:p w14:paraId="1BFA741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462</w:t>
            </w:r>
          </w:p>
        </w:tc>
        <w:tc>
          <w:tcPr>
            <w:tcW w:w="1718" w:type="dxa"/>
            <w:noWrap/>
            <w:vAlign w:val="bottom"/>
            <w:hideMark/>
          </w:tcPr>
          <w:p w14:paraId="72448B5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AA1910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P-2075-16</w:t>
            </w:r>
          </w:p>
        </w:tc>
        <w:tc>
          <w:tcPr>
            <w:tcW w:w="1097" w:type="dxa"/>
            <w:noWrap/>
            <w:vAlign w:val="bottom"/>
            <w:hideMark/>
          </w:tcPr>
          <w:p w14:paraId="33454A8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0449E5F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B80A190" w14:textId="77777777" w:rsidTr="008B7C11">
        <w:trPr>
          <w:trHeight w:val="600"/>
        </w:trPr>
        <w:tc>
          <w:tcPr>
            <w:tcW w:w="958" w:type="dxa"/>
            <w:noWrap/>
            <w:vAlign w:val="center"/>
            <w:hideMark/>
          </w:tcPr>
          <w:p w14:paraId="3DB3276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463</w:t>
            </w:r>
          </w:p>
        </w:tc>
        <w:tc>
          <w:tcPr>
            <w:tcW w:w="1718" w:type="dxa"/>
            <w:noWrap/>
            <w:vAlign w:val="bottom"/>
            <w:hideMark/>
          </w:tcPr>
          <w:p w14:paraId="1CFC550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75755A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P-1731-17</w:t>
            </w:r>
          </w:p>
        </w:tc>
        <w:tc>
          <w:tcPr>
            <w:tcW w:w="1097" w:type="dxa"/>
            <w:noWrap/>
            <w:vAlign w:val="bottom"/>
            <w:hideMark/>
          </w:tcPr>
          <w:p w14:paraId="0C7E76B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6A9BF13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34D5913" w14:textId="77777777" w:rsidTr="008B7C11">
        <w:trPr>
          <w:trHeight w:val="600"/>
        </w:trPr>
        <w:tc>
          <w:tcPr>
            <w:tcW w:w="958" w:type="dxa"/>
            <w:noWrap/>
            <w:vAlign w:val="center"/>
            <w:hideMark/>
          </w:tcPr>
          <w:p w14:paraId="10C31D6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464</w:t>
            </w:r>
          </w:p>
        </w:tc>
        <w:tc>
          <w:tcPr>
            <w:tcW w:w="1718" w:type="dxa"/>
            <w:noWrap/>
            <w:vAlign w:val="bottom"/>
            <w:hideMark/>
          </w:tcPr>
          <w:p w14:paraId="284CD23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62945E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P-521-17</w:t>
            </w:r>
          </w:p>
        </w:tc>
        <w:tc>
          <w:tcPr>
            <w:tcW w:w="1097" w:type="dxa"/>
            <w:noWrap/>
            <w:vAlign w:val="bottom"/>
            <w:hideMark/>
          </w:tcPr>
          <w:p w14:paraId="186A573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42A01B8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6ACDB09" w14:textId="77777777" w:rsidTr="008B7C11">
        <w:trPr>
          <w:trHeight w:val="600"/>
        </w:trPr>
        <w:tc>
          <w:tcPr>
            <w:tcW w:w="958" w:type="dxa"/>
            <w:noWrap/>
            <w:vAlign w:val="center"/>
            <w:hideMark/>
          </w:tcPr>
          <w:p w14:paraId="195EDC8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465</w:t>
            </w:r>
          </w:p>
        </w:tc>
        <w:tc>
          <w:tcPr>
            <w:tcW w:w="1718" w:type="dxa"/>
            <w:noWrap/>
            <w:vAlign w:val="bottom"/>
            <w:hideMark/>
          </w:tcPr>
          <w:p w14:paraId="673E405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A363C2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P-926-17</w:t>
            </w:r>
          </w:p>
        </w:tc>
        <w:tc>
          <w:tcPr>
            <w:tcW w:w="1097" w:type="dxa"/>
            <w:noWrap/>
            <w:vAlign w:val="bottom"/>
            <w:hideMark/>
          </w:tcPr>
          <w:p w14:paraId="6DAE0D5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4941A6E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170D2CC" w14:textId="77777777" w:rsidTr="008B7C11">
        <w:trPr>
          <w:trHeight w:val="600"/>
        </w:trPr>
        <w:tc>
          <w:tcPr>
            <w:tcW w:w="958" w:type="dxa"/>
            <w:noWrap/>
            <w:vAlign w:val="center"/>
            <w:hideMark/>
          </w:tcPr>
          <w:p w14:paraId="605BD06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466</w:t>
            </w:r>
          </w:p>
        </w:tc>
        <w:tc>
          <w:tcPr>
            <w:tcW w:w="1718" w:type="dxa"/>
            <w:noWrap/>
            <w:vAlign w:val="bottom"/>
            <w:hideMark/>
          </w:tcPr>
          <w:p w14:paraId="3D57854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1A161B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P-152-17</w:t>
            </w:r>
          </w:p>
        </w:tc>
        <w:tc>
          <w:tcPr>
            <w:tcW w:w="1097" w:type="dxa"/>
            <w:noWrap/>
            <w:vAlign w:val="bottom"/>
            <w:hideMark/>
          </w:tcPr>
          <w:p w14:paraId="072E90A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20705B7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7325302" w14:textId="77777777" w:rsidTr="008B7C11">
        <w:trPr>
          <w:trHeight w:val="600"/>
        </w:trPr>
        <w:tc>
          <w:tcPr>
            <w:tcW w:w="958" w:type="dxa"/>
            <w:noWrap/>
            <w:vAlign w:val="center"/>
            <w:hideMark/>
          </w:tcPr>
          <w:p w14:paraId="3053A04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467</w:t>
            </w:r>
          </w:p>
        </w:tc>
        <w:tc>
          <w:tcPr>
            <w:tcW w:w="1718" w:type="dxa"/>
            <w:noWrap/>
            <w:vAlign w:val="bottom"/>
            <w:hideMark/>
          </w:tcPr>
          <w:p w14:paraId="1339425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6B2454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P-2557-16</w:t>
            </w:r>
          </w:p>
        </w:tc>
        <w:tc>
          <w:tcPr>
            <w:tcW w:w="1097" w:type="dxa"/>
            <w:noWrap/>
            <w:vAlign w:val="bottom"/>
            <w:hideMark/>
          </w:tcPr>
          <w:p w14:paraId="501816B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472D7D7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58AEBC7" w14:textId="77777777" w:rsidTr="008B7C11">
        <w:trPr>
          <w:trHeight w:val="600"/>
        </w:trPr>
        <w:tc>
          <w:tcPr>
            <w:tcW w:w="958" w:type="dxa"/>
            <w:noWrap/>
            <w:vAlign w:val="center"/>
            <w:hideMark/>
          </w:tcPr>
          <w:p w14:paraId="20A7505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468</w:t>
            </w:r>
          </w:p>
        </w:tc>
        <w:tc>
          <w:tcPr>
            <w:tcW w:w="1718" w:type="dxa"/>
            <w:noWrap/>
            <w:vAlign w:val="bottom"/>
            <w:hideMark/>
          </w:tcPr>
          <w:p w14:paraId="4DC1E09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1D0CEA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P-1693-17</w:t>
            </w:r>
          </w:p>
        </w:tc>
        <w:tc>
          <w:tcPr>
            <w:tcW w:w="1097" w:type="dxa"/>
            <w:noWrap/>
            <w:vAlign w:val="bottom"/>
            <w:hideMark/>
          </w:tcPr>
          <w:p w14:paraId="62959EE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20FF19B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EF7BBFC" w14:textId="77777777" w:rsidTr="008B7C11">
        <w:trPr>
          <w:trHeight w:val="600"/>
        </w:trPr>
        <w:tc>
          <w:tcPr>
            <w:tcW w:w="958" w:type="dxa"/>
            <w:noWrap/>
            <w:vAlign w:val="center"/>
            <w:hideMark/>
          </w:tcPr>
          <w:p w14:paraId="6D84311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469</w:t>
            </w:r>
          </w:p>
        </w:tc>
        <w:tc>
          <w:tcPr>
            <w:tcW w:w="1718" w:type="dxa"/>
            <w:noWrap/>
            <w:vAlign w:val="bottom"/>
            <w:hideMark/>
          </w:tcPr>
          <w:p w14:paraId="035D479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C90DAF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P-208-17</w:t>
            </w:r>
          </w:p>
        </w:tc>
        <w:tc>
          <w:tcPr>
            <w:tcW w:w="1097" w:type="dxa"/>
            <w:noWrap/>
            <w:vAlign w:val="bottom"/>
            <w:hideMark/>
          </w:tcPr>
          <w:p w14:paraId="4C2C8DB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6445A5D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4AD897F" w14:textId="77777777" w:rsidTr="008B7C11">
        <w:trPr>
          <w:trHeight w:val="600"/>
        </w:trPr>
        <w:tc>
          <w:tcPr>
            <w:tcW w:w="958" w:type="dxa"/>
            <w:noWrap/>
            <w:vAlign w:val="center"/>
            <w:hideMark/>
          </w:tcPr>
          <w:p w14:paraId="60F3AA0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470</w:t>
            </w:r>
          </w:p>
        </w:tc>
        <w:tc>
          <w:tcPr>
            <w:tcW w:w="1718" w:type="dxa"/>
            <w:noWrap/>
            <w:vAlign w:val="bottom"/>
            <w:hideMark/>
          </w:tcPr>
          <w:p w14:paraId="7ECFD06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57BAA5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P-848-17</w:t>
            </w:r>
          </w:p>
        </w:tc>
        <w:tc>
          <w:tcPr>
            <w:tcW w:w="1097" w:type="dxa"/>
            <w:noWrap/>
            <w:vAlign w:val="bottom"/>
            <w:hideMark/>
          </w:tcPr>
          <w:p w14:paraId="744161E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B55C68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884A4D6" w14:textId="77777777" w:rsidTr="008B7C11">
        <w:trPr>
          <w:trHeight w:val="600"/>
        </w:trPr>
        <w:tc>
          <w:tcPr>
            <w:tcW w:w="958" w:type="dxa"/>
            <w:noWrap/>
            <w:vAlign w:val="center"/>
            <w:hideMark/>
          </w:tcPr>
          <w:p w14:paraId="4080BB4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471</w:t>
            </w:r>
          </w:p>
        </w:tc>
        <w:tc>
          <w:tcPr>
            <w:tcW w:w="1718" w:type="dxa"/>
            <w:noWrap/>
            <w:vAlign w:val="bottom"/>
            <w:hideMark/>
          </w:tcPr>
          <w:p w14:paraId="259D939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934114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P-1886-17</w:t>
            </w:r>
          </w:p>
        </w:tc>
        <w:tc>
          <w:tcPr>
            <w:tcW w:w="1097" w:type="dxa"/>
            <w:noWrap/>
            <w:vAlign w:val="bottom"/>
            <w:hideMark/>
          </w:tcPr>
          <w:p w14:paraId="4D87893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63A7D43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6CF6A7A" w14:textId="77777777" w:rsidTr="008B7C11">
        <w:trPr>
          <w:trHeight w:val="600"/>
        </w:trPr>
        <w:tc>
          <w:tcPr>
            <w:tcW w:w="958" w:type="dxa"/>
            <w:noWrap/>
            <w:vAlign w:val="center"/>
            <w:hideMark/>
          </w:tcPr>
          <w:p w14:paraId="53B4665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472</w:t>
            </w:r>
          </w:p>
        </w:tc>
        <w:tc>
          <w:tcPr>
            <w:tcW w:w="1718" w:type="dxa"/>
            <w:noWrap/>
            <w:vAlign w:val="bottom"/>
            <w:hideMark/>
          </w:tcPr>
          <w:p w14:paraId="4AC6946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F3754B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P-514-17</w:t>
            </w:r>
          </w:p>
        </w:tc>
        <w:tc>
          <w:tcPr>
            <w:tcW w:w="1097" w:type="dxa"/>
            <w:noWrap/>
            <w:vAlign w:val="bottom"/>
            <w:hideMark/>
          </w:tcPr>
          <w:p w14:paraId="48B98D2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1169E6F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D4A072C" w14:textId="77777777" w:rsidTr="008B7C11">
        <w:trPr>
          <w:trHeight w:val="600"/>
        </w:trPr>
        <w:tc>
          <w:tcPr>
            <w:tcW w:w="958" w:type="dxa"/>
            <w:noWrap/>
            <w:vAlign w:val="center"/>
            <w:hideMark/>
          </w:tcPr>
          <w:p w14:paraId="7E3499B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473</w:t>
            </w:r>
          </w:p>
        </w:tc>
        <w:tc>
          <w:tcPr>
            <w:tcW w:w="1718" w:type="dxa"/>
            <w:noWrap/>
            <w:vAlign w:val="bottom"/>
            <w:hideMark/>
          </w:tcPr>
          <w:p w14:paraId="42FAFC8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1B7375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P-2359-16</w:t>
            </w:r>
          </w:p>
        </w:tc>
        <w:tc>
          <w:tcPr>
            <w:tcW w:w="1097" w:type="dxa"/>
            <w:noWrap/>
            <w:vAlign w:val="bottom"/>
            <w:hideMark/>
          </w:tcPr>
          <w:p w14:paraId="5CD2CC1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1DEC4CC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3AB9990" w14:textId="77777777" w:rsidTr="008B7C11">
        <w:trPr>
          <w:trHeight w:val="600"/>
        </w:trPr>
        <w:tc>
          <w:tcPr>
            <w:tcW w:w="958" w:type="dxa"/>
            <w:noWrap/>
            <w:vAlign w:val="center"/>
            <w:hideMark/>
          </w:tcPr>
          <w:p w14:paraId="6C01E22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474</w:t>
            </w:r>
          </w:p>
        </w:tc>
        <w:tc>
          <w:tcPr>
            <w:tcW w:w="1718" w:type="dxa"/>
            <w:noWrap/>
            <w:vAlign w:val="bottom"/>
            <w:hideMark/>
          </w:tcPr>
          <w:p w14:paraId="1F4DAA5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18D949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P-2008-17</w:t>
            </w:r>
          </w:p>
        </w:tc>
        <w:tc>
          <w:tcPr>
            <w:tcW w:w="1097" w:type="dxa"/>
            <w:noWrap/>
            <w:vAlign w:val="bottom"/>
            <w:hideMark/>
          </w:tcPr>
          <w:p w14:paraId="2F8B3B4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B6DF06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D556A76" w14:textId="77777777" w:rsidTr="008B7C11">
        <w:trPr>
          <w:trHeight w:val="600"/>
        </w:trPr>
        <w:tc>
          <w:tcPr>
            <w:tcW w:w="958" w:type="dxa"/>
            <w:noWrap/>
            <w:vAlign w:val="center"/>
            <w:hideMark/>
          </w:tcPr>
          <w:p w14:paraId="392EDCC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475</w:t>
            </w:r>
          </w:p>
        </w:tc>
        <w:tc>
          <w:tcPr>
            <w:tcW w:w="1718" w:type="dxa"/>
            <w:noWrap/>
            <w:vAlign w:val="bottom"/>
            <w:hideMark/>
          </w:tcPr>
          <w:p w14:paraId="55D7931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A33D47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P-121-17</w:t>
            </w:r>
          </w:p>
        </w:tc>
        <w:tc>
          <w:tcPr>
            <w:tcW w:w="1097" w:type="dxa"/>
            <w:noWrap/>
            <w:vAlign w:val="bottom"/>
            <w:hideMark/>
          </w:tcPr>
          <w:p w14:paraId="416BC38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5E3834F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FEE6BA7" w14:textId="77777777" w:rsidTr="008B7C11">
        <w:trPr>
          <w:trHeight w:val="600"/>
        </w:trPr>
        <w:tc>
          <w:tcPr>
            <w:tcW w:w="958" w:type="dxa"/>
            <w:noWrap/>
            <w:vAlign w:val="center"/>
            <w:hideMark/>
          </w:tcPr>
          <w:p w14:paraId="40E1EC3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476</w:t>
            </w:r>
          </w:p>
        </w:tc>
        <w:tc>
          <w:tcPr>
            <w:tcW w:w="1718" w:type="dxa"/>
            <w:noWrap/>
            <w:vAlign w:val="bottom"/>
            <w:hideMark/>
          </w:tcPr>
          <w:p w14:paraId="362FA81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D4F3C7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P-419-17</w:t>
            </w:r>
          </w:p>
        </w:tc>
        <w:tc>
          <w:tcPr>
            <w:tcW w:w="1097" w:type="dxa"/>
            <w:noWrap/>
            <w:vAlign w:val="bottom"/>
            <w:hideMark/>
          </w:tcPr>
          <w:p w14:paraId="43D0569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2A97784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1DE7661" w14:textId="77777777" w:rsidTr="008B7C11">
        <w:trPr>
          <w:trHeight w:val="600"/>
        </w:trPr>
        <w:tc>
          <w:tcPr>
            <w:tcW w:w="958" w:type="dxa"/>
            <w:noWrap/>
            <w:vAlign w:val="center"/>
            <w:hideMark/>
          </w:tcPr>
          <w:p w14:paraId="48A4A50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477</w:t>
            </w:r>
          </w:p>
        </w:tc>
        <w:tc>
          <w:tcPr>
            <w:tcW w:w="1718" w:type="dxa"/>
            <w:noWrap/>
            <w:vAlign w:val="bottom"/>
            <w:hideMark/>
          </w:tcPr>
          <w:p w14:paraId="6F5CFD8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D77E08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P-1660-17</w:t>
            </w:r>
          </w:p>
        </w:tc>
        <w:tc>
          <w:tcPr>
            <w:tcW w:w="1097" w:type="dxa"/>
            <w:noWrap/>
            <w:vAlign w:val="bottom"/>
            <w:hideMark/>
          </w:tcPr>
          <w:p w14:paraId="5AEDF19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7558FC9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6BB10A0" w14:textId="77777777" w:rsidTr="008B7C11">
        <w:trPr>
          <w:trHeight w:val="600"/>
        </w:trPr>
        <w:tc>
          <w:tcPr>
            <w:tcW w:w="958" w:type="dxa"/>
            <w:noWrap/>
            <w:vAlign w:val="center"/>
            <w:hideMark/>
          </w:tcPr>
          <w:p w14:paraId="7E70657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478</w:t>
            </w:r>
          </w:p>
        </w:tc>
        <w:tc>
          <w:tcPr>
            <w:tcW w:w="1718" w:type="dxa"/>
            <w:noWrap/>
            <w:vAlign w:val="bottom"/>
            <w:hideMark/>
          </w:tcPr>
          <w:p w14:paraId="38F26F2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79F506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P-958-17</w:t>
            </w:r>
          </w:p>
        </w:tc>
        <w:tc>
          <w:tcPr>
            <w:tcW w:w="1097" w:type="dxa"/>
            <w:noWrap/>
            <w:vAlign w:val="bottom"/>
            <w:hideMark/>
          </w:tcPr>
          <w:p w14:paraId="45DBAD4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1794137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6107CEA" w14:textId="77777777" w:rsidTr="008B7C11">
        <w:trPr>
          <w:trHeight w:val="600"/>
        </w:trPr>
        <w:tc>
          <w:tcPr>
            <w:tcW w:w="958" w:type="dxa"/>
            <w:noWrap/>
            <w:vAlign w:val="center"/>
            <w:hideMark/>
          </w:tcPr>
          <w:p w14:paraId="7179888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479</w:t>
            </w:r>
          </w:p>
        </w:tc>
        <w:tc>
          <w:tcPr>
            <w:tcW w:w="1718" w:type="dxa"/>
            <w:noWrap/>
            <w:vAlign w:val="bottom"/>
            <w:hideMark/>
          </w:tcPr>
          <w:p w14:paraId="5E77FBB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C0140D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P-727-17</w:t>
            </w:r>
          </w:p>
        </w:tc>
        <w:tc>
          <w:tcPr>
            <w:tcW w:w="1097" w:type="dxa"/>
            <w:noWrap/>
            <w:vAlign w:val="bottom"/>
            <w:hideMark/>
          </w:tcPr>
          <w:p w14:paraId="1720BD3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5E07A34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83A29D2" w14:textId="77777777" w:rsidTr="008B7C11">
        <w:trPr>
          <w:trHeight w:val="600"/>
        </w:trPr>
        <w:tc>
          <w:tcPr>
            <w:tcW w:w="958" w:type="dxa"/>
            <w:noWrap/>
            <w:vAlign w:val="center"/>
            <w:hideMark/>
          </w:tcPr>
          <w:p w14:paraId="219502D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480</w:t>
            </w:r>
          </w:p>
        </w:tc>
        <w:tc>
          <w:tcPr>
            <w:tcW w:w="1718" w:type="dxa"/>
            <w:noWrap/>
            <w:vAlign w:val="bottom"/>
            <w:hideMark/>
          </w:tcPr>
          <w:p w14:paraId="6C9A9FC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2F1C0C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P-728-17</w:t>
            </w:r>
          </w:p>
        </w:tc>
        <w:tc>
          <w:tcPr>
            <w:tcW w:w="1097" w:type="dxa"/>
            <w:noWrap/>
            <w:vAlign w:val="bottom"/>
            <w:hideMark/>
          </w:tcPr>
          <w:p w14:paraId="0F7CB65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3E6C9FC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CC99DBB" w14:textId="77777777" w:rsidTr="008B7C11">
        <w:trPr>
          <w:trHeight w:val="600"/>
        </w:trPr>
        <w:tc>
          <w:tcPr>
            <w:tcW w:w="958" w:type="dxa"/>
            <w:noWrap/>
            <w:vAlign w:val="center"/>
            <w:hideMark/>
          </w:tcPr>
          <w:p w14:paraId="1A6354A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481</w:t>
            </w:r>
          </w:p>
        </w:tc>
        <w:tc>
          <w:tcPr>
            <w:tcW w:w="1718" w:type="dxa"/>
            <w:noWrap/>
            <w:vAlign w:val="bottom"/>
            <w:hideMark/>
          </w:tcPr>
          <w:p w14:paraId="6FB34BB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C6C2BB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P-1648-17</w:t>
            </w:r>
          </w:p>
        </w:tc>
        <w:tc>
          <w:tcPr>
            <w:tcW w:w="1097" w:type="dxa"/>
            <w:noWrap/>
            <w:vAlign w:val="bottom"/>
            <w:hideMark/>
          </w:tcPr>
          <w:p w14:paraId="6CD5873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56B0EEE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FF13B3A" w14:textId="77777777" w:rsidTr="008B7C11">
        <w:trPr>
          <w:trHeight w:val="600"/>
        </w:trPr>
        <w:tc>
          <w:tcPr>
            <w:tcW w:w="958" w:type="dxa"/>
            <w:noWrap/>
            <w:vAlign w:val="center"/>
            <w:hideMark/>
          </w:tcPr>
          <w:p w14:paraId="3DB5074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482</w:t>
            </w:r>
          </w:p>
        </w:tc>
        <w:tc>
          <w:tcPr>
            <w:tcW w:w="1718" w:type="dxa"/>
            <w:noWrap/>
            <w:vAlign w:val="bottom"/>
            <w:hideMark/>
          </w:tcPr>
          <w:p w14:paraId="64E4B0F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465D7D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P-788-17</w:t>
            </w:r>
          </w:p>
        </w:tc>
        <w:tc>
          <w:tcPr>
            <w:tcW w:w="1097" w:type="dxa"/>
            <w:noWrap/>
            <w:vAlign w:val="bottom"/>
            <w:hideMark/>
          </w:tcPr>
          <w:p w14:paraId="4215F9F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6024698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B48D218" w14:textId="77777777" w:rsidTr="008B7C11">
        <w:trPr>
          <w:trHeight w:val="600"/>
        </w:trPr>
        <w:tc>
          <w:tcPr>
            <w:tcW w:w="958" w:type="dxa"/>
            <w:noWrap/>
            <w:vAlign w:val="center"/>
            <w:hideMark/>
          </w:tcPr>
          <w:p w14:paraId="147A227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483</w:t>
            </w:r>
          </w:p>
        </w:tc>
        <w:tc>
          <w:tcPr>
            <w:tcW w:w="1718" w:type="dxa"/>
            <w:noWrap/>
            <w:vAlign w:val="bottom"/>
            <w:hideMark/>
          </w:tcPr>
          <w:p w14:paraId="2C884B5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3BF90A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P-1194-17</w:t>
            </w:r>
          </w:p>
        </w:tc>
        <w:tc>
          <w:tcPr>
            <w:tcW w:w="1097" w:type="dxa"/>
            <w:noWrap/>
            <w:vAlign w:val="bottom"/>
            <w:hideMark/>
          </w:tcPr>
          <w:p w14:paraId="671DA2D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76FD378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C4EDFF3" w14:textId="77777777" w:rsidTr="008B7C11">
        <w:trPr>
          <w:trHeight w:val="600"/>
        </w:trPr>
        <w:tc>
          <w:tcPr>
            <w:tcW w:w="958" w:type="dxa"/>
            <w:noWrap/>
            <w:vAlign w:val="center"/>
            <w:hideMark/>
          </w:tcPr>
          <w:p w14:paraId="63B0D3A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484</w:t>
            </w:r>
          </w:p>
        </w:tc>
        <w:tc>
          <w:tcPr>
            <w:tcW w:w="1718" w:type="dxa"/>
            <w:noWrap/>
            <w:vAlign w:val="bottom"/>
            <w:hideMark/>
          </w:tcPr>
          <w:p w14:paraId="11B3E3D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D39725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P-1766-16</w:t>
            </w:r>
          </w:p>
        </w:tc>
        <w:tc>
          <w:tcPr>
            <w:tcW w:w="1097" w:type="dxa"/>
            <w:noWrap/>
            <w:vAlign w:val="bottom"/>
            <w:hideMark/>
          </w:tcPr>
          <w:p w14:paraId="5FE48AB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5DAB364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16FEFBE" w14:textId="77777777" w:rsidTr="008B7C11">
        <w:trPr>
          <w:trHeight w:val="600"/>
        </w:trPr>
        <w:tc>
          <w:tcPr>
            <w:tcW w:w="958" w:type="dxa"/>
            <w:noWrap/>
            <w:vAlign w:val="center"/>
            <w:hideMark/>
          </w:tcPr>
          <w:p w14:paraId="48F214B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485</w:t>
            </w:r>
          </w:p>
        </w:tc>
        <w:tc>
          <w:tcPr>
            <w:tcW w:w="1718" w:type="dxa"/>
            <w:noWrap/>
            <w:vAlign w:val="bottom"/>
            <w:hideMark/>
          </w:tcPr>
          <w:p w14:paraId="0A10929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8D5290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P-683-15</w:t>
            </w:r>
          </w:p>
        </w:tc>
        <w:tc>
          <w:tcPr>
            <w:tcW w:w="1097" w:type="dxa"/>
            <w:noWrap/>
            <w:vAlign w:val="bottom"/>
            <w:hideMark/>
          </w:tcPr>
          <w:p w14:paraId="649336B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7EA740D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808D8A4" w14:textId="77777777" w:rsidTr="008B7C11">
        <w:trPr>
          <w:trHeight w:val="600"/>
        </w:trPr>
        <w:tc>
          <w:tcPr>
            <w:tcW w:w="958" w:type="dxa"/>
            <w:noWrap/>
            <w:vAlign w:val="center"/>
            <w:hideMark/>
          </w:tcPr>
          <w:p w14:paraId="6E4D324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486</w:t>
            </w:r>
          </w:p>
        </w:tc>
        <w:tc>
          <w:tcPr>
            <w:tcW w:w="1718" w:type="dxa"/>
            <w:noWrap/>
            <w:vAlign w:val="bottom"/>
            <w:hideMark/>
          </w:tcPr>
          <w:p w14:paraId="228F8B9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77E9FA3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P-1428-14</w:t>
            </w:r>
          </w:p>
        </w:tc>
        <w:tc>
          <w:tcPr>
            <w:tcW w:w="1097" w:type="dxa"/>
            <w:noWrap/>
            <w:vAlign w:val="bottom"/>
            <w:hideMark/>
          </w:tcPr>
          <w:p w14:paraId="662FEC5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578A847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3191ACF" w14:textId="77777777" w:rsidTr="008B7C11">
        <w:trPr>
          <w:trHeight w:val="600"/>
        </w:trPr>
        <w:tc>
          <w:tcPr>
            <w:tcW w:w="958" w:type="dxa"/>
            <w:noWrap/>
            <w:vAlign w:val="center"/>
            <w:hideMark/>
          </w:tcPr>
          <w:p w14:paraId="066BFEB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487</w:t>
            </w:r>
          </w:p>
        </w:tc>
        <w:tc>
          <w:tcPr>
            <w:tcW w:w="1718" w:type="dxa"/>
            <w:noWrap/>
            <w:vAlign w:val="bottom"/>
            <w:hideMark/>
          </w:tcPr>
          <w:p w14:paraId="78189FE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3BB5BC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P-1513-17</w:t>
            </w:r>
          </w:p>
        </w:tc>
        <w:tc>
          <w:tcPr>
            <w:tcW w:w="1097" w:type="dxa"/>
            <w:noWrap/>
            <w:vAlign w:val="bottom"/>
            <w:hideMark/>
          </w:tcPr>
          <w:p w14:paraId="25BD9D1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764152F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34CB5F7" w14:textId="77777777" w:rsidTr="008B7C11">
        <w:trPr>
          <w:trHeight w:val="600"/>
        </w:trPr>
        <w:tc>
          <w:tcPr>
            <w:tcW w:w="958" w:type="dxa"/>
            <w:noWrap/>
            <w:vAlign w:val="center"/>
            <w:hideMark/>
          </w:tcPr>
          <w:p w14:paraId="352656E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488</w:t>
            </w:r>
          </w:p>
        </w:tc>
        <w:tc>
          <w:tcPr>
            <w:tcW w:w="1718" w:type="dxa"/>
            <w:noWrap/>
            <w:vAlign w:val="bottom"/>
            <w:hideMark/>
          </w:tcPr>
          <w:p w14:paraId="1ADFF43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CA8D33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P-11-17</w:t>
            </w:r>
          </w:p>
        </w:tc>
        <w:tc>
          <w:tcPr>
            <w:tcW w:w="1097" w:type="dxa"/>
            <w:noWrap/>
            <w:vAlign w:val="bottom"/>
            <w:hideMark/>
          </w:tcPr>
          <w:p w14:paraId="13BB109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A791CA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16DEE8B" w14:textId="77777777" w:rsidTr="008B7C11">
        <w:trPr>
          <w:trHeight w:val="600"/>
        </w:trPr>
        <w:tc>
          <w:tcPr>
            <w:tcW w:w="958" w:type="dxa"/>
            <w:noWrap/>
            <w:vAlign w:val="center"/>
            <w:hideMark/>
          </w:tcPr>
          <w:p w14:paraId="10ED9E4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489</w:t>
            </w:r>
          </w:p>
        </w:tc>
        <w:tc>
          <w:tcPr>
            <w:tcW w:w="1718" w:type="dxa"/>
            <w:noWrap/>
            <w:vAlign w:val="bottom"/>
            <w:hideMark/>
          </w:tcPr>
          <w:p w14:paraId="06DD993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7E4C2FF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P-282-14</w:t>
            </w:r>
          </w:p>
        </w:tc>
        <w:tc>
          <w:tcPr>
            <w:tcW w:w="1097" w:type="dxa"/>
            <w:noWrap/>
            <w:vAlign w:val="bottom"/>
            <w:hideMark/>
          </w:tcPr>
          <w:p w14:paraId="4BD823A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3DDC246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4C1EEED" w14:textId="77777777" w:rsidTr="008B7C11">
        <w:trPr>
          <w:trHeight w:val="600"/>
        </w:trPr>
        <w:tc>
          <w:tcPr>
            <w:tcW w:w="958" w:type="dxa"/>
            <w:noWrap/>
            <w:vAlign w:val="center"/>
            <w:hideMark/>
          </w:tcPr>
          <w:p w14:paraId="316523E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490</w:t>
            </w:r>
          </w:p>
        </w:tc>
        <w:tc>
          <w:tcPr>
            <w:tcW w:w="1718" w:type="dxa"/>
            <w:noWrap/>
            <w:vAlign w:val="bottom"/>
            <w:hideMark/>
          </w:tcPr>
          <w:p w14:paraId="101E89B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7E95170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P-1246-17</w:t>
            </w:r>
          </w:p>
        </w:tc>
        <w:tc>
          <w:tcPr>
            <w:tcW w:w="1097" w:type="dxa"/>
            <w:noWrap/>
            <w:vAlign w:val="bottom"/>
            <w:hideMark/>
          </w:tcPr>
          <w:p w14:paraId="38A2401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438086D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34007B9" w14:textId="77777777" w:rsidTr="008B7C11">
        <w:trPr>
          <w:trHeight w:val="600"/>
        </w:trPr>
        <w:tc>
          <w:tcPr>
            <w:tcW w:w="958" w:type="dxa"/>
            <w:noWrap/>
            <w:vAlign w:val="center"/>
            <w:hideMark/>
          </w:tcPr>
          <w:p w14:paraId="0EF7C78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491</w:t>
            </w:r>
          </w:p>
        </w:tc>
        <w:tc>
          <w:tcPr>
            <w:tcW w:w="1718" w:type="dxa"/>
            <w:noWrap/>
            <w:vAlign w:val="bottom"/>
            <w:hideMark/>
          </w:tcPr>
          <w:p w14:paraId="52AD455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C497A7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P-1427-17</w:t>
            </w:r>
          </w:p>
        </w:tc>
        <w:tc>
          <w:tcPr>
            <w:tcW w:w="1097" w:type="dxa"/>
            <w:noWrap/>
            <w:vAlign w:val="bottom"/>
            <w:hideMark/>
          </w:tcPr>
          <w:p w14:paraId="09EBDDA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38A23E6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5FC0A5F" w14:textId="77777777" w:rsidTr="008B7C11">
        <w:trPr>
          <w:trHeight w:val="600"/>
        </w:trPr>
        <w:tc>
          <w:tcPr>
            <w:tcW w:w="958" w:type="dxa"/>
            <w:noWrap/>
            <w:vAlign w:val="center"/>
            <w:hideMark/>
          </w:tcPr>
          <w:p w14:paraId="0A75210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492</w:t>
            </w:r>
          </w:p>
        </w:tc>
        <w:tc>
          <w:tcPr>
            <w:tcW w:w="1718" w:type="dxa"/>
            <w:noWrap/>
            <w:vAlign w:val="bottom"/>
            <w:hideMark/>
          </w:tcPr>
          <w:p w14:paraId="4A817ED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4EC8BE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P-1416-14</w:t>
            </w:r>
          </w:p>
        </w:tc>
        <w:tc>
          <w:tcPr>
            <w:tcW w:w="1097" w:type="dxa"/>
            <w:noWrap/>
            <w:vAlign w:val="bottom"/>
            <w:hideMark/>
          </w:tcPr>
          <w:p w14:paraId="61C0B9F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39AA514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0B903DB" w14:textId="77777777" w:rsidTr="008B7C11">
        <w:trPr>
          <w:trHeight w:val="600"/>
        </w:trPr>
        <w:tc>
          <w:tcPr>
            <w:tcW w:w="958" w:type="dxa"/>
            <w:noWrap/>
            <w:vAlign w:val="center"/>
            <w:hideMark/>
          </w:tcPr>
          <w:p w14:paraId="4126BD9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493</w:t>
            </w:r>
          </w:p>
        </w:tc>
        <w:tc>
          <w:tcPr>
            <w:tcW w:w="1718" w:type="dxa"/>
            <w:noWrap/>
            <w:vAlign w:val="bottom"/>
            <w:hideMark/>
          </w:tcPr>
          <w:p w14:paraId="06445D5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7BCB1E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P-1131-17</w:t>
            </w:r>
          </w:p>
        </w:tc>
        <w:tc>
          <w:tcPr>
            <w:tcW w:w="1097" w:type="dxa"/>
            <w:noWrap/>
            <w:vAlign w:val="bottom"/>
            <w:hideMark/>
          </w:tcPr>
          <w:p w14:paraId="6D01138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5D57EA0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87B02B9" w14:textId="77777777" w:rsidTr="008B7C11">
        <w:trPr>
          <w:trHeight w:val="600"/>
        </w:trPr>
        <w:tc>
          <w:tcPr>
            <w:tcW w:w="958" w:type="dxa"/>
            <w:noWrap/>
            <w:vAlign w:val="center"/>
            <w:hideMark/>
          </w:tcPr>
          <w:p w14:paraId="24D593B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494</w:t>
            </w:r>
          </w:p>
        </w:tc>
        <w:tc>
          <w:tcPr>
            <w:tcW w:w="1718" w:type="dxa"/>
            <w:noWrap/>
            <w:vAlign w:val="bottom"/>
            <w:hideMark/>
          </w:tcPr>
          <w:p w14:paraId="3090C54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CEDCB1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P-503-14</w:t>
            </w:r>
          </w:p>
        </w:tc>
        <w:tc>
          <w:tcPr>
            <w:tcW w:w="1097" w:type="dxa"/>
            <w:noWrap/>
            <w:vAlign w:val="bottom"/>
            <w:hideMark/>
          </w:tcPr>
          <w:p w14:paraId="0994894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2262EF1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35E7970" w14:textId="77777777" w:rsidTr="008B7C11">
        <w:trPr>
          <w:trHeight w:val="600"/>
        </w:trPr>
        <w:tc>
          <w:tcPr>
            <w:tcW w:w="958" w:type="dxa"/>
            <w:noWrap/>
            <w:vAlign w:val="center"/>
            <w:hideMark/>
          </w:tcPr>
          <w:p w14:paraId="322443F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495</w:t>
            </w:r>
          </w:p>
        </w:tc>
        <w:tc>
          <w:tcPr>
            <w:tcW w:w="1718" w:type="dxa"/>
            <w:noWrap/>
            <w:vAlign w:val="bottom"/>
            <w:hideMark/>
          </w:tcPr>
          <w:p w14:paraId="3450C6A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9E2DA8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P-810-16</w:t>
            </w:r>
          </w:p>
        </w:tc>
        <w:tc>
          <w:tcPr>
            <w:tcW w:w="1097" w:type="dxa"/>
            <w:noWrap/>
            <w:vAlign w:val="bottom"/>
            <w:hideMark/>
          </w:tcPr>
          <w:p w14:paraId="2EE6344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50713DD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48BBAE6" w14:textId="77777777" w:rsidTr="008B7C11">
        <w:trPr>
          <w:trHeight w:val="600"/>
        </w:trPr>
        <w:tc>
          <w:tcPr>
            <w:tcW w:w="958" w:type="dxa"/>
            <w:noWrap/>
            <w:vAlign w:val="center"/>
            <w:hideMark/>
          </w:tcPr>
          <w:p w14:paraId="7A657BB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496</w:t>
            </w:r>
          </w:p>
        </w:tc>
        <w:tc>
          <w:tcPr>
            <w:tcW w:w="1718" w:type="dxa"/>
            <w:noWrap/>
            <w:vAlign w:val="bottom"/>
            <w:hideMark/>
          </w:tcPr>
          <w:p w14:paraId="224877B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124BB8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P-519-14</w:t>
            </w:r>
          </w:p>
        </w:tc>
        <w:tc>
          <w:tcPr>
            <w:tcW w:w="1097" w:type="dxa"/>
            <w:noWrap/>
            <w:vAlign w:val="bottom"/>
            <w:hideMark/>
          </w:tcPr>
          <w:p w14:paraId="093A4DE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1CCAA0E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59082A2" w14:textId="77777777" w:rsidTr="008B7C11">
        <w:trPr>
          <w:trHeight w:val="600"/>
        </w:trPr>
        <w:tc>
          <w:tcPr>
            <w:tcW w:w="958" w:type="dxa"/>
            <w:noWrap/>
            <w:vAlign w:val="center"/>
            <w:hideMark/>
          </w:tcPr>
          <w:p w14:paraId="1F8DE27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497</w:t>
            </w:r>
          </w:p>
        </w:tc>
        <w:tc>
          <w:tcPr>
            <w:tcW w:w="1718" w:type="dxa"/>
            <w:noWrap/>
            <w:vAlign w:val="bottom"/>
            <w:hideMark/>
          </w:tcPr>
          <w:p w14:paraId="2136ECE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32BB17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P-1426-14</w:t>
            </w:r>
          </w:p>
        </w:tc>
        <w:tc>
          <w:tcPr>
            <w:tcW w:w="1097" w:type="dxa"/>
            <w:noWrap/>
            <w:vAlign w:val="bottom"/>
            <w:hideMark/>
          </w:tcPr>
          <w:p w14:paraId="4E44D22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413E7EB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87E1038" w14:textId="77777777" w:rsidTr="008B7C11">
        <w:trPr>
          <w:trHeight w:val="600"/>
        </w:trPr>
        <w:tc>
          <w:tcPr>
            <w:tcW w:w="958" w:type="dxa"/>
            <w:noWrap/>
            <w:vAlign w:val="center"/>
            <w:hideMark/>
          </w:tcPr>
          <w:p w14:paraId="63F04B4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498</w:t>
            </w:r>
          </w:p>
        </w:tc>
        <w:tc>
          <w:tcPr>
            <w:tcW w:w="1718" w:type="dxa"/>
            <w:noWrap/>
            <w:vAlign w:val="bottom"/>
            <w:hideMark/>
          </w:tcPr>
          <w:p w14:paraId="1483E49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2E6395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P-784-16</w:t>
            </w:r>
          </w:p>
        </w:tc>
        <w:tc>
          <w:tcPr>
            <w:tcW w:w="1097" w:type="dxa"/>
            <w:noWrap/>
            <w:vAlign w:val="bottom"/>
            <w:hideMark/>
          </w:tcPr>
          <w:p w14:paraId="7533BF4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5D3E423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4B38661" w14:textId="77777777" w:rsidTr="008B7C11">
        <w:trPr>
          <w:trHeight w:val="600"/>
        </w:trPr>
        <w:tc>
          <w:tcPr>
            <w:tcW w:w="958" w:type="dxa"/>
            <w:noWrap/>
            <w:vAlign w:val="center"/>
            <w:hideMark/>
          </w:tcPr>
          <w:p w14:paraId="5740F39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499</w:t>
            </w:r>
          </w:p>
        </w:tc>
        <w:tc>
          <w:tcPr>
            <w:tcW w:w="1718" w:type="dxa"/>
            <w:noWrap/>
            <w:vAlign w:val="bottom"/>
            <w:hideMark/>
          </w:tcPr>
          <w:p w14:paraId="71CD80A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73CD8B9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P-1466-14</w:t>
            </w:r>
          </w:p>
        </w:tc>
        <w:tc>
          <w:tcPr>
            <w:tcW w:w="1097" w:type="dxa"/>
            <w:noWrap/>
            <w:vAlign w:val="bottom"/>
            <w:hideMark/>
          </w:tcPr>
          <w:p w14:paraId="2F7102B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1D80E3E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0E43967" w14:textId="77777777" w:rsidTr="008B7C11">
        <w:trPr>
          <w:trHeight w:val="600"/>
        </w:trPr>
        <w:tc>
          <w:tcPr>
            <w:tcW w:w="958" w:type="dxa"/>
            <w:noWrap/>
            <w:vAlign w:val="center"/>
            <w:hideMark/>
          </w:tcPr>
          <w:p w14:paraId="26372E4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500</w:t>
            </w:r>
          </w:p>
        </w:tc>
        <w:tc>
          <w:tcPr>
            <w:tcW w:w="1718" w:type="dxa"/>
            <w:noWrap/>
            <w:vAlign w:val="bottom"/>
            <w:hideMark/>
          </w:tcPr>
          <w:p w14:paraId="2DF80B9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FE0EAC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P-802-14</w:t>
            </w:r>
          </w:p>
        </w:tc>
        <w:tc>
          <w:tcPr>
            <w:tcW w:w="1097" w:type="dxa"/>
            <w:noWrap/>
            <w:vAlign w:val="bottom"/>
            <w:hideMark/>
          </w:tcPr>
          <w:p w14:paraId="129CC9F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23FCB62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34A41FC" w14:textId="77777777" w:rsidTr="008B7C11">
        <w:trPr>
          <w:trHeight w:val="600"/>
        </w:trPr>
        <w:tc>
          <w:tcPr>
            <w:tcW w:w="958" w:type="dxa"/>
            <w:noWrap/>
            <w:vAlign w:val="center"/>
            <w:hideMark/>
          </w:tcPr>
          <w:p w14:paraId="3E7AF25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501</w:t>
            </w:r>
          </w:p>
        </w:tc>
        <w:tc>
          <w:tcPr>
            <w:tcW w:w="1718" w:type="dxa"/>
            <w:noWrap/>
            <w:vAlign w:val="bottom"/>
            <w:hideMark/>
          </w:tcPr>
          <w:p w14:paraId="0DAFF03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19F241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P-2140-16</w:t>
            </w:r>
          </w:p>
        </w:tc>
        <w:tc>
          <w:tcPr>
            <w:tcW w:w="1097" w:type="dxa"/>
            <w:noWrap/>
            <w:vAlign w:val="bottom"/>
            <w:hideMark/>
          </w:tcPr>
          <w:p w14:paraId="4137F2A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1A64ACE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741DFF1" w14:textId="77777777" w:rsidTr="008B7C11">
        <w:trPr>
          <w:trHeight w:val="600"/>
        </w:trPr>
        <w:tc>
          <w:tcPr>
            <w:tcW w:w="958" w:type="dxa"/>
            <w:noWrap/>
            <w:vAlign w:val="center"/>
            <w:hideMark/>
          </w:tcPr>
          <w:p w14:paraId="72D2242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502</w:t>
            </w:r>
          </w:p>
        </w:tc>
        <w:tc>
          <w:tcPr>
            <w:tcW w:w="1718" w:type="dxa"/>
            <w:noWrap/>
            <w:vAlign w:val="bottom"/>
            <w:hideMark/>
          </w:tcPr>
          <w:p w14:paraId="02C1000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12BA22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P-494-15</w:t>
            </w:r>
          </w:p>
        </w:tc>
        <w:tc>
          <w:tcPr>
            <w:tcW w:w="1097" w:type="dxa"/>
            <w:noWrap/>
            <w:vAlign w:val="bottom"/>
            <w:hideMark/>
          </w:tcPr>
          <w:p w14:paraId="41F88B2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770072D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C634448" w14:textId="77777777" w:rsidTr="008B7C11">
        <w:trPr>
          <w:trHeight w:val="600"/>
        </w:trPr>
        <w:tc>
          <w:tcPr>
            <w:tcW w:w="958" w:type="dxa"/>
            <w:noWrap/>
            <w:vAlign w:val="center"/>
            <w:hideMark/>
          </w:tcPr>
          <w:p w14:paraId="653911E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503</w:t>
            </w:r>
          </w:p>
        </w:tc>
        <w:tc>
          <w:tcPr>
            <w:tcW w:w="1718" w:type="dxa"/>
            <w:noWrap/>
            <w:vAlign w:val="bottom"/>
            <w:hideMark/>
          </w:tcPr>
          <w:p w14:paraId="5971376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766DB0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P-135-15</w:t>
            </w:r>
          </w:p>
        </w:tc>
        <w:tc>
          <w:tcPr>
            <w:tcW w:w="1097" w:type="dxa"/>
            <w:noWrap/>
            <w:vAlign w:val="bottom"/>
            <w:hideMark/>
          </w:tcPr>
          <w:p w14:paraId="6FEE9F3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305F203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C94015C" w14:textId="77777777" w:rsidTr="008B7C11">
        <w:trPr>
          <w:trHeight w:val="600"/>
        </w:trPr>
        <w:tc>
          <w:tcPr>
            <w:tcW w:w="958" w:type="dxa"/>
            <w:noWrap/>
            <w:vAlign w:val="center"/>
            <w:hideMark/>
          </w:tcPr>
          <w:p w14:paraId="173F4C6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504</w:t>
            </w:r>
          </w:p>
        </w:tc>
        <w:tc>
          <w:tcPr>
            <w:tcW w:w="1718" w:type="dxa"/>
            <w:noWrap/>
            <w:vAlign w:val="bottom"/>
            <w:hideMark/>
          </w:tcPr>
          <w:p w14:paraId="7262175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826CA0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P-1775-15</w:t>
            </w:r>
          </w:p>
        </w:tc>
        <w:tc>
          <w:tcPr>
            <w:tcW w:w="1097" w:type="dxa"/>
            <w:noWrap/>
            <w:vAlign w:val="bottom"/>
            <w:hideMark/>
          </w:tcPr>
          <w:p w14:paraId="43219C4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7B76186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89271E7" w14:textId="77777777" w:rsidTr="008B7C11">
        <w:trPr>
          <w:trHeight w:val="600"/>
        </w:trPr>
        <w:tc>
          <w:tcPr>
            <w:tcW w:w="958" w:type="dxa"/>
            <w:noWrap/>
            <w:vAlign w:val="center"/>
            <w:hideMark/>
          </w:tcPr>
          <w:p w14:paraId="550518B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505</w:t>
            </w:r>
          </w:p>
        </w:tc>
        <w:tc>
          <w:tcPr>
            <w:tcW w:w="1718" w:type="dxa"/>
            <w:noWrap/>
            <w:vAlign w:val="bottom"/>
            <w:hideMark/>
          </w:tcPr>
          <w:p w14:paraId="3F90F1E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69DF0B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P-1363-15</w:t>
            </w:r>
          </w:p>
        </w:tc>
        <w:tc>
          <w:tcPr>
            <w:tcW w:w="1097" w:type="dxa"/>
            <w:noWrap/>
            <w:vAlign w:val="bottom"/>
            <w:hideMark/>
          </w:tcPr>
          <w:p w14:paraId="642820E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72830CE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A8B4F60" w14:textId="77777777" w:rsidTr="008B7C11">
        <w:trPr>
          <w:trHeight w:val="600"/>
        </w:trPr>
        <w:tc>
          <w:tcPr>
            <w:tcW w:w="958" w:type="dxa"/>
            <w:noWrap/>
            <w:vAlign w:val="center"/>
            <w:hideMark/>
          </w:tcPr>
          <w:p w14:paraId="1528742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506</w:t>
            </w:r>
          </w:p>
        </w:tc>
        <w:tc>
          <w:tcPr>
            <w:tcW w:w="1718" w:type="dxa"/>
            <w:noWrap/>
            <w:vAlign w:val="bottom"/>
            <w:hideMark/>
          </w:tcPr>
          <w:p w14:paraId="4BFBB4D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2562F7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P-1762-15</w:t>
            </w:r>
          </w:p>
        </w:tc>
        <w:tc>
          <w:tcPr>
            <w:tcW w:w="1097" w:type="dxa"/>
            <w:noWrap/>
            <w:vAlign w:val="bottom"/>
            <w:hideMark/>
          </w:tcPr>
          <w:p w14:paraId="0F67D66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1D97FB2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F862F34" w14:textId="77777777" w:rsidTr="008B7C11">
        <w:trPr>
          <w:trHeight w:val="600"/>
        </w:trPr>
        <w:tc>
          <w:tcPr>
            <w:tcW w:w="958" w:type="dxa"/>
            <w:noWrap/>
            <w:vAlign w:val="center"/>
            <w:hideMark/>
          </w:tcPr>
          <w:p w14:paraId="7D70FCE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507</w:t>
            </w:r>
          </w:p>
        </w:tc>
        <w:tc>
          <w:tcPr>
            <w:tcW w:w="1718" w:type="dxa"/>
            <w:noWrap/>
            <w:vAlign w:val="bottom"/>
            <w:hideMark/>
          </w:tcPr>
          <w:p w14:paraId="72A2FA6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716CAB7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P-1774-15</w:t>
            </w:r>
          </w:p>
        </w:tc>
        <w:tc>
          <w:tcPr>
            <w:tcW w:w="1097" w:type="dxa"/>
            <w:noWrap/>
            <w:vAlign w:val="bottom"/>
            <w:hideMark/>
          </w:tcPr>
          <w:p w14:paraId="70FAC5A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5F7E68C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9677178" w14:textId="77777777" w:rsidTr="008B7C11">
        <w:trPr>
          <w:trHeight w:val="600"/>
        </w:trPr>
        <w:tc>
          <w:tcPr>
            <w:tcW w:w="958" w:type="dxa"/>
            <w:noWrap/>
            <w:vAlign w:val="center"/>
            <w:hideMark/>
          </w:tcPr>
          <w:p w14:paraId="29CD850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508</w:t>
            </w:r>
          </w:p>
        </w:tc>
        <w:tc>
          <w:tcPr>
            <w:tcW w:w="1718" w:type="dxa"/>
            <w:noWrap/>
            <w:vAlign w:val="bottom"/>
            <w:hideMark/>
          </w:tcPr>
          <w:p w14:paraId="4C744A2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44DD5B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P-129-14</w:t>
            </w:r>
          </w:p>
        </w:tc>
        <w:tc>
          <w:tcPr>
            <w:tcW w:w="1097" w:type="dxa"/>
            <w:noWrap/>
            <w:vAlign w:val="bottom"/>
            <w:hideMark/>
          </w:tcPr>
          <w:p w14:paraId="590CD0F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5BB9FE8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F724697" w14:textId="77777777" w:rsidTr="008B7C11">
        <w:trPr>
          <w:trHeight w:val="600"/>
        </w:trPr>
        <w:tc>
          <w:tcPr>
            <w:tcW w:w="958" w:type="dxa"/>
            <w:noWrap/>
            <w:vAlign w:val="center"/>
            <w:hideMark/>
          </w:tcPr>
          <w:p w14:paraId="6078C0F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509</w:t>
            </w:r>
          </w:p>
        </w:tc>
        <w:tc>
          <w:tcPr>
            <w:tcW w:w="1718" w:type="dxa"/>
            <w:noWrap/>
            <w:vAlign w:val="bottom"/>
            <w:hideMark/>
          </w:tcPr>
          <w:p w14:paraId="138EA7C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2C863E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P-130-14</w:t>
            </w:r>
          </w:p>
        </w:tc>
        <w:tc>
          <w:tcPr>
            <w:tcW w:w="1097" w:type="dxa"/>
            <w:noWrap/>
            <w:vAlign w:val="bottom"/>
            <w:hideMark/>
          </w:tcPr>
          <w:p w14:paraId="3CAD552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60A7C66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17AD7AB" w14:textId="77777777" w:rsidTr="008B7C11">
        <w:trPr>
          <w:trHeight w:val="600"/>
        </w:trPr>
        <w:tc>
          <w:tcPr>
            <w:tcW w:w="958" w:type="dxa"/>
            <w:noWrap/>
            <w:vAlign w:val="center"/>
            <w:hideMark/>
          </w:tcPr>
          <w:p w14:paraId="7E0AD00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510</w:t>
            </w:r>
          </w:p>
        </w:tc>
        <w:tc>
          <w:tcPr>
            <w:tcW w:w="1718" w:type="dxa"/>
            <w:noWrap/>
            <w:vAlign w:val="bottom"/>
            <w:hideMark/>
          </w:tcPr>
          <w:p w14:paraId="7FDC10E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88094A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P-305-14</w:t>
            </w:r>
          </w:p>
        </w:tc>
        <w:tc>
          <w:tcPr>
            <w:tcW w:w="1097" w:type="dxa"/>
            <w:noWrap/>
            <w:vAlign w:val="bottom"/>
            <w:hideMark/>
          </w:tcPr>
          <w:p w14:paraId="37D4A45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73B0676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2045F48" w14:textId="77777777" w:rsidTr="008B7C11">
        <w:trPr>
          <w:trHeight w:val="600"/>
        </w:trPr>
        <w:tc>
          <w:tcPr>
            <w:tcW w:w="958" w:type="dxa"/>
            <w:noWrap/>
            <w:vAlign w:val="center"/>
            <w:hideMark/>
          </w:tcPr>
          <w:p w14:paraId="70B0967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511</w:t>
            </w:r>
          </w:p>
        </w:tc>
        <w:tc>
          <w:tcPr>
            <w:tcW w:w="1718" w:type="dxa"/>
            <w:noWrap/>
            <w:vAlign w:val="bottom"/>
            <w:hideMark/>
          </w:tcPr>
          <w:p w14:paraId="4188F07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D7D65F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P-930-14</w:t>
            </w:r>
          </w:p>
        </w:tc>
        <w:tc>
          <w:tcPr>
            <w:tcW w:w="1097" w:type="dxa"/>
            <w:noWrap/>
            <w:vAlign w:val="bottom"/>
            <w:hideMark/>
          </w:tcPr>
          <w:p w14:paraId="0EBE583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374A8CB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AD23033" w14:textId="77777777" w:rsidTr="008B7C11">
        <w:trPr>
          <w:trHeight w:val="600"/>
        </w:trPr>
        <w:tc>
          <w:tcPr>
            <w:tcW w:w="958" w:type="dxa"/>
            <w:noWrap/>
            <w:vAlign w:val="center"/>
            <w:hideMark/>
          </w:tcPr>
          <w:p w14:paraId="3CC8261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512</w:t>
            </w:r>
          </w:p>
        </w:tc>
        <w:tc>
          <w:tcPr>
            <w:tcW w:w="1718" w:type="dxa"/>
            <w:noWrap/>
            <w:vAlign w:val="bottom"/>
            <w:hideMark/>
          </w:tcPr>
          <w:p w14:paraId="656A57D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BB9776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P-1252-14</w:t>
            </w:r>
          </w:p>
        </w:tc>
        <w:tc>
          <w:tcPr>
            <w:tcW w:w="1097" w:type="dxa"/>
            <w:noWrap/>
            <w:vAlign w:val="bottom"/>
            <w:hideMark/>
          </w:tcPr>
          <w:p w14:paraId="5526742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3F42A57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5FC34DC" w14:textId="77777777" w:rsidTr="008B7C11">
        <w:trPr>
          <w:trHeight w:val="600"/>
        </w:trPr>
        <w:tc>
          <w:tcPr>
            <w:tcW w:w="958" w:type="dxa"/>
            <w:noWrap/>
            <w:vAlign w:val="center"/>
            <w:hideMark/>
          </w:tcPr>
          <w:p w14:paraId="6C90054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513</w:t>
            </w:r>
          </w:p>
        </w:tc>
        <w:tc>
          <w:tcPr>
            <w:tcW w:w="1718" w:type="dxa"/>
            <w:noWrap/>
            <w:vAlign w:val="bottom"/>
            <w:hideMark/>
          </w:tcPr>
          <w:p w14:paraId="6C27F65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4218D2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P-2277-13</w:t>
            </w:r>
          </w:p>
        </w:tc>
        <w:tc>
          <w:tcPr>
            <w:tcW w:w="1097" w:type="dxa"/>
            <w:noWrap/>
            <w:vAlign w:val="bottom"/>
            <w:hideMark/>
          </w:tcPr>
          <w:p w14:paraId="26317B5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5354C45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F81A1D1" w14:textId="77777777" w:rsidTr="008B7C11">
        <w:trPr>
          <w:trHeight w:val="600"/>
        </w:trPr>
        <w:tc>
          <w:tcPr>
            <w:tcW w:w="958" w:type="dxa"/>
            <w:noWrap/>
            <w:vAlign w:val="center"/>
            <w:hideMark/>
          </w:tcPr>
          <w:p w14:paraId="6784C92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514</w:t>
            </w:r>
          </w:p>
        </w:tc>
        <w:tc>
          <w:tcPr>
            <w:tcW w:w="1718" w:type="dxa"/>
            <w:noWrap/>
            <w:vAlign w:val="bottom"/>
            <w:hideMark/>
          </w:tcPr>
          <w:p w14:paraId="6C264A2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3F81B6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P-1127-16</w:t>
            </w:r>
          </w:p>
        </w:tc>
        <w:tc>
          <w:tcPr>
            <w:tcW w:w="1097" w:type="dxa"/>
            <w:noWrap/>
            <w:vAlign w:val="bottom"/>
            <w:hideMark/>
          </w:tcPr>
          <w:p w14:paraId="304018D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26066C9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AAAE452" w14:textId="77777777" w:rsidTr="008B7C11">
        <w:trPr>
          <w:trHeight w:val="600"/>
        </w:trPr>
        <w:tc>
          <w:tcPr>
            <w:tcW w:w="958" w:type="dxa"/>
            <w:noWrap/>
            <w:vAlign w:val="center"/>
            <w:hideMark/>
          </w:tcPr>
          <w:p w14:paraId="0B29C68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515</w:t>
            </w:r>
          </w:p>
        </w:tc>
        <w:tc>
          <w:tcPr>
            <w:tcW w:w="1718" w:type="dxa"/>
            <w:noWrap/>
            <w:vAlign w:val="bottom"/>
            <w:hideMark/>
          </w:tcPr>
          <w:p w14:paraId="5CB1658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C90F95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P-1504-17</w:t>
            </w:r>
          </w:p>
        </w:tc>
        <w:tc>
          <w:tcPr>
            <w:tcW w:w="1097" w:type="dxa"/>
            <w:noWrap/>
            <w:vAlign w:val="bottom"/>
            <w:hideMark/>
          </w:tcPr>
          <w:p w14:paraId="00BB07E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222BF03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85424E0" w14:textId="77777777" w:rsidTr="008B7C11">
        <w:trPr>
          <w:trHeight w:val="600"/>
        </w:trPr>
        <w:tc>
          <w:tcPr>
            <w:tcW w:w="958" w:type="dxa"/>
            <w:noWrap/>
            <w:vAlign w:val="center"/>
            <w:hideMark/>
          </w:tcPr>
          <w:p w14:paraId="5905CC3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516</w:t>
            </w:r>
          </w:p>
        </w:tc>
        <w:tc>
          <w:tcPr>
            <w:tcW w:w="1718" w:type="dxa"/>
            <w:noWrap/>
            <w:vAlign w:val="bottom"/>
            <w:hideMark/>
          </w:tcPr>
          <w:p w14:paraId="4E77E81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91023A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P-908-17</w:t>
            </w:r>
          </w:p>
        </w:tc>
        <w:tc>
          <w:tcPr>
            <w:tcW w:w="1097" w:type="dxa"/>
            <w:noWrap/>
            <w:vAlign w:val="bottom"/>
            <w:hideMark/>
          </w:tcPr>
          <w:p w14:paraId="2B35BC2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4780EEC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D8FF381" w14:textId="77777777" w:rsidTr="008B7C11">
        <w:trPr>
          <w:trHeight w:val="600"/>
        </w:trPr>
        <w:tc>
          <w:tcPr>
            <w:tcW w:w="958" w:type="dxa"/>
            <w:noWrap/>
            <w:vAlign w:val="center"/>
            <w:hideMark/>
          </w:tcPr>
          <w:p w14:paraId="0F17792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517</w:t>
            </w:r>
          </w:p>
        </w:tc>
        <w:tc>
          <w:tcPr>
            <w:tcW w:w="1718" w:type="dxa"/>
            <w:noWrap/>
            <w:vAlign w:val="bottom"/>
            <w:hideMark/>
          </w:tcPr>
          <w:p w14:paraId="128F5D2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0F488E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P-2508-16</w:t>
            </w:r>
          </w:p>
        </w:tc>
        <w:tc>
          <w:tcPr>
            <w:tcW w:w="1097" w:type="dxa"/>
            <w:noWrap/>
            <w:vAlign w:val="bottom"/>
            <w:hideMark/>
          </w:tcPr>
          <w:p w14:paraId="60354F4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782E26B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C599BCE" w14:textId="77777777" w:rsidTr="008B7C11">
        <w:trPr>
          <w:trHeight w:val="600"/>
        </w:trPr>
        <w:tc>
          <w:tcPr>
            <w:tcW w:w="958" w:type="dxa"/>
            <w:noWrap/>
            <w:vAlign w:val="center"/>
            <w:hideMark/>
          </w:tcPr>
          <w:p w14:paraId="367D582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518</w:t>
            </w:r>
          </w:p>
        </w:tc>
        <w:tc>
          <w:tcPr>
            <w:tcW w:w="1718" w:type="dxa"/>
            <w:noWrap/>
            <w:vAlign w:val="bottom"/>
            <w:hideMark/>
          </w:tcPr>
          <w:p w14:paraId="01ACBF0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B28E24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P-2125-17</w:t>
            </w:r>
          </w:p>
        </w:tc>
        <w:tc>
          <w:tcPr>
            <w:tcW w:w="1097" w:type="dxa"/>
            <w:noWrap/>
            <w:vAlign w:val="bottom"/>
            <w:hideMark/>
          </w:tcPr>
          <w:p w14:paraId="4A7DB83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5411724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DF0AAC0" w14:textId="77777777" w:rsidTr="008B7C11">
        <w:trPr>
          <w:trHeight w:val="600"/>
        </w:trPr>
        <w:tc>
          <w:tcPr>
            <w:tcW w:w="958" w:type="dxa"/>
            <w:noWrap/>
            <w:vAlign w:val="center"/>
            <w:hideMark/>
          </w:tcPr>
          <w:p w14:paraId="54BB066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519</w:t>
            </w:r>
          </w:p>
        </w:tc>
        <w:tc>
          <w:tcPr>
            <w:tcW w:w="1718" w:type="dxa"/>
            <w:noWrap/>
            <w:vAlign w:val="bottom"/>
            <w:hideMark/>
          </w:tcPr>
          <w:p w14:paraId="25F16BB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9BE449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P-2467-17</w:t>
            </w:r>
          </w:p>
        </w:tc>
        <w:tc>
          <w:tcPr>
            <w:tcW w:w="1097" w:type="dxa"/>
            <w:noWrap/>
            <w:vAlign w:val="bottom"/>
            <w:hideMark/>
          </w:tcPr>
          <w:p w14:paraId="5359368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208DE0A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92D4FF7" w14:textId="77777777" w:rsidTr="008B7C11">
        <w:trPr>
          <w:trHeight w:val="600"/>
        </w:trPr>
        <w:tc>
          <w:tcPr>
            <w:tcW w:w="958" w:type="dxa"/>
            <w:noWrap/>
            <w:vAlign w:val="center"/>
            <w:hideMark/>
          </w:tcPr>
          <w:p w14:paraId="14D3958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520</w:t>
            </w:r>
          </w:p>
        </w:tc>
        <w:tc>
          <w:tcPr>
            <w:tcW w:w="1718" w:type="dxa"/>
            <w:noWrap/>
            <w:vAlign w:val="bottom"/>
            <w:hideMark/>
          </w:tcPr>
          <w:p w14:paraId="141BB5E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61E4DA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P-1425-17</w:t>
            </w:r>
          </w:p>
        </w:tc>
        <w:tc>
          <w:tcPr>
            <w:tcW w:w="1097" w:type="dxa"/>
            <w:noWrap/>
            <w:vAlign w:val="bottom"/>
            <w:hideMark/>
          </w:tcPr>
          <w:p w14:paraId="5396381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44F1BEB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4F51431" w14:textId="77777777" w:rsidTr="008B7C11">
        <w:trPr>
          <w:trHeight w:val="600"/>
        </w:trPr>
        <w:tc>
          <w:tcPr>
            <w:tcW w:w="958" w:type="dxa"/>
            <w:noWrap/>
            <w:vAlign w:val="center"/>
            <w:hideMark/>
          </w:tcPr>
          <w:p w14:paraId="2A616B0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521</w:t>
            </w:r>
          </w:p>
        </w:tc>
        <w:tc>
          <w:tcPr>
            <w:tcW w:w="1718" w:type="dxa"/>
            <w:noWrap/>
            <w:vAlign w:val="bottom"/>
            <w:hideMark/>
          </w:tcPr>
          <w:p w14:paraId="7653E38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B4B9E4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P-1308-17</w:t>
            </w:r>
          </w:p>
        </w:tc>
        <w:tc>
          <w:tcPr>
            <w:tcW w:w="1097" w:type="dxa"/>
            <w:noWrap/>
            <w:vAlign w:val="bottom"/>
            <w:hideMark/>
          </w:tcPr>
          <w:p w14:paraId="6F0428D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DA0980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E568AD0" w14:textId="77777777" w:rsidTr="008B7C11">
        <w:trPr>
          <w:trHeight w:val="600"/>
        </w:trPr>
        <w:tc>
          <w:tcPr>
            <w:tcW w:w="958" w:type="dxa"/>
            <w:noWrap/>
            <w:vAlign w:val="center"/>
            <w:hideMark/>
          </w:tcPr>
          <w:p w14:paraId="291478D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522</w:t>
            </w:r>
          </w:p>
        </w:tc>
        <w:tc>
          <w:tcPr>
            <w:tcW w:w="1718" w:type="dxa"/>
            <w:noWrap/>
            <w:vAlign w:val="bottom"/>
            <w:hideMark/>
          </w:tcPr>
          <w:p w14:paraId="116D80B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0EEC7F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P-2295-13</w:t>
            </w:r>
          </w:p>
        </w:tc>
        <w:tc>
          <w:tcPr>
            <w:tcW w:w="1097" w:type="dxa"/>
            <w:noWrap/>
            <w:vAlign w:val="bottom"/>
            <w:hideMark/>
          </w:tcPr>
          <w:p w14:paraId="5379208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68E1827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A1028B2" w14:textId="77777777" w:rsidTr="008B7C11">
        <w:trPr>
          <w:trHeight w:val="600"/>
        </w:trPr>
        <w:tc>
          <w:tcPr>
            <w:tcW w:w="958" w:type="dxa"/>
            <w:noWrap/>
            <w:vAlign w:val="center"/>
            <w:hideMark/>
          </w:tcPr>
          <w:p w14:paraId="49180BE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523</w:t>
            </w:r>
          </w:p>
        </w:tc>
        <w:tc>
          <w:tcPr>
            <w:tcW w:w="1718" w:type="dxa"/>
            <w:noWrap/>
            <w:vAlign w:val="bottom"/>
            <w:hideMark/>
          </w:tcPr>
          <w:p w14:paraId="3A8D7B8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0C9B9D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P-2287-13</w:t>
            </w:r>
          </w:p>
        </w:tc>
        <w:tc>
          <w:tcPr>
            <w:tcW w:w="1097" w:type="dxa"/>
            <w:noWrap/>
            <w:vAlign w:val="bottom"/>
            <w:hideMark/>
          </w:tcPr>
          <w:p w14:paraId="35EC7E3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4CB22A5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66966F4" w14:textId="77777777" w:rsidTr="008B7C11">
        <w:trPr>
          <w:trHeight w:val="600"/>
        </w:trPr>
        <w:tc>
          <w:tcPr>
            <w:tcW w:w="958" w:type="dxa"/>
            <w:noWrap/>
            <w:vAlign w:val="center"/>
            <w:hideMark/>
          </w:tcPr>
          <w:p w14:paraId="08F6189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524</w:t>
            </w:r>
          </w:p>
        </w:tc>
        <w:tc>
          <w:tcPr>
            <w:tcW w:w="1718" w:type="dxa"/>
            <w:noWrap/>
            <w:vAlign w:val="bottom"/>
            <w:hideMark/>
          </w:tcPr>
          <w:p w14:paraId="641B4B1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61C046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P-2279-13</w:t>
            </w:r>
          </w:p>
        </w:tc>
        <w:tc>
          <w:tcPr>
            <w:tcW w:w="1097" w:type="dxa"/>
            <w:noWrap/>
            <w:vAlign w:val="bottom"/>
            <w:hideMark/>
          </w:tcPr>
          <w:p w14:paraId="7BE1977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187D9FD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7E99123" w14:textId="77777777" w:rsidTr="008B7C11">
        <w:trPr>
          <w:trHeight w:val="600"/>
        </w:trPr>
        <w:tc>
          <w:tcPr>
            <w:tcW w:w="958" w:type="dxa"/>
            <w:noWrap/>
            <w:vAlign w:val="center"/>
            <w:hideMark/>
          </w:tcPr>
          <w:p w14:paraId="349F577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525</w:t>
            </w:r>
          </w:p>
        </w:tc>
        <w:tc>
          <w:tcPr>
            <w:tcW w:w="1718" w:type="dxa"/>
            <w:noWrap/>
            <w:vAlign w:val="bottom"/>
            <w:hideMark/>
          </w:tcPr>
          <w:p w14:paraId="5FEA316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6758AA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P-1250-14</w:t>
            </w:r>
          </w:p>
        </w:tc>
        <w:tc>
          <w:tcPr>
            <w:tcW w:w="1097" w:type="dxa"/>
            <w:noWrap/>
            <w:vAlign w:val="bottom"/>
            <w:hideMark/>
          </w:tcPr>
          <w:p w14:paraId="5655849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29CC266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A13A96A" w14:textId="77777777" w:rsidTr="008B7C11">
        <w:trPr>
          <w:trHeight w:val="600"/>
        </w:trPr>
        <w:tc>
          <w:tcPr>
            <w:tcW w:w="958" w:type="dxa"/>
            <w:noWrap/>
            <w:vAlign w:val="center"/>
            <w:hideMark/>
          </w:tcPr>
          <w:p w14:paraId="7671B82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526</w:t>
            </w:r>
          </w:p>
        </w:tc>
        <w:tc>
          <w:tcPr>
            <w:tcW w:w="1718" w:type="dxa"/>
            <w:noWrap/>
            <w:vAlign w:val="bottom"/>
            <w:hideMark/>
          </w:tcPr>
          <w:p w14:paraId="03B2216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3B8750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P-394-14</w:t>
            </w:r>
          </w:p>
        </w:tc>
        <w:tc>
          <w:tcPr>
            <w:tcW w:w="1097" w:type="dxa"/>
            <w:noWrap/>
            <w:vAlign w:val="bottom"/>
            <w:hideMark/>
          </w:tcPr>
          <w:p w14:paraId="366DD2F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2E428C7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DC745DC" w14:textId="77777777" w:rsidTr="008B7C11">
        <w:trPr>
          <w:trHeight w:val="600"/>
        </w:trPr>
        <w:tc>
          <w:tcPr>
            <w:tcW w:w="958" w:type="dxa"/>
            <w:noWrap/>
            <w:vAlign w:val="center"/>
            <w:hideMark/>
          </w:tcPr>
          <w:p w14:paraId="6F572ED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527</w:t>
            </w:r>
          </w:p>
        </w:tc>
        <w:tc>
          <w:tcPr>
            <w:tcW w:w="1718" w:type="dxa"/>
            <w:noWrap/>
            <w:vAlign w:val="bottom"/>
            <w:hideMark/>
          </w:tcPr>
          <w:p w14:paraId="7EAC8DB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CC5E53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P-372-13</w:t>
            </w:r>
          </w:p>
        </w:tc>
        <w:tc>
          <w:tcPr>
            <w:tcW w:w="1097" w:type="dxa"/>
            <w:noWrap/>
            <w:vAlign w:val="bottom"/>
            <w:hideMark/>
          </w:tcPr>
          <w:p w14:paraId="0EF78EA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4A28796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E375C12" w14:textId="77777777" w:rsidTr="008B7C11">
        <w:trPr>
          <w:trHeight w:val="600"/>
        </w:trPr>
        <w:tc>
          <w:tcPr>
            <w:tcW w:w="958" w:type="dxa"/>
            <w:noWrap/>
            <w:vAlign w:val="center"/>
            <w:hideMark/>
          </w:tcPr>
          <w:p w14:paraId="30CFB4A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528</w:t>
            </w:r>
          </w:p>
        </w:tc>
        <w:tc>
          <w:tcPr>
            <w:tcW w:w="1718" w:type="dxa"/>
            <w:noWrap/>
            <w:vAlign w:val="bottom"/>
            <w:hideMark/>
          </w:tcPr>
          <w:p w14:paraId="2B53540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6CC2C3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P-548-14</w:t>
            </w:r>
          </w:p>
        </w:tc>
        <w:tc>
          <w:tcPr>
            <w:tcW w:w="1097" w:type="dxa"/>
            <w:noWrap/>
            <w:vAlign w:val="bottom"/>
            <w:hideMark/>
          </w:tcPr>
          <w:p w14:paraId="51C954B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33C380F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FC15706" w14:textId="77777777" w:rsidTr="008B7C11">
        <w:trPr>
          <w:trHeight w:val="600"/>
        </w:trPr>
        <w:tc>
          <w:tcPr>
            <w:tcW w:w="958" w:type="dxa"/>
            <w:noWrap/>
            <w:vAlign w:val="center"/>
            <w:hideMark/>
          </w:tcPr>
          <w:p w14:paraId="5CD3FE4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529</w:t>
            </w:r>
          </w:p>
        </w:tc>
        <w:tc>
          <w:tcPr>
            <w:tcW w:w="1718" w:type="dxa"/>
            <w:noWrap/>
            <w:vAlign w:val="bottom"/>
            <w:hideMark/>
          </w:tcPr>
          <w:p w14:paraId="4BCF88D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73C19B2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P-535-14</w:t>
            </w:r>
          </w:p>
        </w:tc>
        <w:tc>
          <w:tcPr>
            <w:tcW w:w="1097" w:type="dxa"/>
            <w:noWrap/>
            <w:vAlign w:val="bottom"/>
            <w:hideMark/>
          </w:tcPr>
          <w:p w14:paraId="6569714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192C338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14F1373" w14:textId="77777777" w:rsidTr="008B7C11">
        <w:trPr>
          <w:trHeight w:val="600"/>
        </w:trPr>
        <w:tc>
          <w:tcPr>
            <w:tcW w:w="958" w:type="dxa"/>
            <w:noWrap/>
            <w:vAlign w:val="center"/>
            <w:hideMark/>
          </w:tcPr>
          <w:p w14:paraId="473455A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530</w:t>
            </w:r>
          </w:p>
        </w:tc>
        <w:tc>
          <w:tcPr>
            <w:tcW w:w="1718" w:type="dxa"/>
            <w:noWrap/>
            <w:vAlign w:val="bottom"/>
            <w:hideMark/>
          </w:tcPr>
          <w:p w14:paraId="3DC5A9C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30FECA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P-572-15</w:t>
            </w:r>
          </w:p>
        </w:tc>
        <w:tc>
          <w:tcPr>
            <w:tcW w:w="1097" w:type="dxa"/>
            <w:noWrap/>
            <w:vAlign w:val="bottom"/>
            <w:hideMark/>
          </w:tcPr>
          <w:p w14:paraId="74F75C1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50950E3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23D444C" w14:textId="77777777" w:rsidTr="008B7C11">
        <w:trPr>
          <w:trHeight w:val="600"/>
        </w:trPr>
        <w:tc>
          <w:tcPr>
            <w:tcW w:w="958" w:type="dxa"/>
            <w:noWrap/>
            <w:vAlign w:val="center"/>
            <w:hideMark/>
          </w:tcPr>
          <w:p w14:paraId="51A9D07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531</w:t>
            </w:r>
          </w:p>
        </w:tc>
        <w:tc>
          <w:tcPr>
            <w:tcW w:w="1718" w:type="dxa"/>
            <w:noWrap/>
            <w:vAlign w:val="bottom"/>
            <w:hideMark/>
          </w:tcPr>
          <w:p w14:paraId="7AAFF73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BACF4C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P-973-14</w:t>
            </w:r>
          </w:p>
        </w:tc>
        <w:tc>
          <w:tcPr>
            <w:tcW w:w="1097" w:type="dxa"/>
            <w:noWrap/>
            <w:vAlign w:val="bottom"/>
            <w:hideMark/>
          </w:tcPr>
          <w:p w14:paraId="4537DF8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0B87C27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F158176" w14:textId="77777777" w:rsidTr="008B7C11">
        <w:trPr>
          <w:trHeight w:val="600"/>
        </w:trPr>
        <w:tc>
          <w:tcPr>
            <w:tcW w:w="958" w:type="dxa"/>
            <w:noWrap/>
            <w:vAlign w:val="center"/>
            <w:hideMark/>
          </w:tcPr>
          <w:p w14:paraId="3372005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532</w:t>
            </w:r>
          </w:p>
        </w:tc>
        <w:tc>
          <w:tcPr>
            <w:tcW w:w="1718" w:type="dxa"/>
            <w:noWrap/>
            <w:vAlign w:val="bottom"/>
            <w:hideMark/>
          </w:tcPr>
          <w:p w14:paraId="3784A0D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761C172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P-1061-14</w:t>
            </w:r>
          </w:p>
        </w:tc>
        <w:tc>
          <w:tcPr>
            <w:tcW w:w="1097" w:type="dxa"/>
            <w:noWrap/>
            <w:vAlign w:val="bottom"/>
            <w:hideMark/>
          </w:tcPr>
          <w:p w14:paraId="2EB0F6F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55FFBD7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26F670B" w14:textId="77777777" w:rsidTr="008B7C11">
        <w:trPr>
          <w:trHeight w:val="600"/>
        </w:trPr>
        <w:tc>
          <w:tcPr>
            <w:tcW w:w="958" w:type="dxa"/>
            <w:noWrap/>
            <w:vAlign w:val="center"/>
            <w:hideMark/>
          </w:tcPr>
          <w:p w14:paraId="07145AE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533</w:t>
            </w:r>
          </w:p>
        </w:tc>
        <w:tc>
          <w:tcPr>
            <w:tcW w:w="1718" w:type="dxa"/>
            <w:noWrap/>
            <w:vAlign w:val="bottom"/>
            <w:hideMark/>
          </w:tcPr>
          <w:p w14:paraId="32F0B50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75E78B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P-2270-15</w:t>
            </w:r>
          </w:p>
        </w:tc>
        <w:tc>
          <w:tcPr>
            <w:tcW w:w="1097" w:type="dxa"/>
            <w:noWrap/>
            <w:vAlign w:val="bottom"/>
            <w:hideMark/>
          </w:tcPr>
          <w:p w14:paraId="5E4A82E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6B8E055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CA36DA2" w14:textId="77777777" w:rsidTr="008B7C11">
        <w:trPr>
          <w:trHeight w:val="600"/>
        </w:trPr>
        <w:tc>
          <w:tcPr>
            <w:tcW w:w="958" w:type="dxa"/>
            <w:noWrap/>
            <w:vAlign w:val="center"/>
            <w:hideMark/>
          </w:tcPr>
          <w:p w14:paraId="46D0F0D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534</w:t>
            </w:r>
          </w:p>
        </w:tc>
        <w:tc>
          <w:tcPr>
            <w:tcW w:w="1718" w:type="dxa"/>
            <w:noWrap/>
            <w:vAlign w:val="bottom"/>
            <w:hideMark/>
          </w:tcPr>
          <w:p w14:paraId="58B3DB1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6E8042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P-1768-15</w:t>
            </w:r>
          </w:p>
        </w:tc>
        <w:tc>
          <w:tcPr>
            <w:tcW w:w="1097" w:type="dxa"/>
            <w:noWrap/>
            <w:vAlign w:val="bottom"/>
            <w:hideMark/>
          </w:tcPr>
          <w:p w14:paraId="0DF4120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67636EE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7178708" w14:textId="77777777" w:rsidTr="008B7C11">
        <w:trPr>
          <w:trHeight w:val="600"/>
        </w:trPr>
        <w:tc>
          <w:tcPr>
            <w:tcW w:w="958" w:type="dxa"/>
            <w:noWrap/>
            <w:vAlign w:val="center"/>
            <w:hideMark/>
          </w:tcPr>
          <w:p w14:paraId="54B1E38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535</w:t>
            </w:r>
          </w:p>
        </w:tc>
        <w:tc>
          <w:tcPr>
            <w:tcW w:w="1718" w:type="dxa"/>
            <w:noWrap/>
            <w:vAlign w:val="bottom"/>
            <w:hideMark/>
          </w:tcPr>
          <w:p w14:paraId="477184E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903B4B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P-1701-15</w:t>
            </w:r>
          </w:p>
        </w:tc>
        <w:tc>
          <w:tcPr>
            <w:tcW w:w="1097" w:type="dxa"/>
            <w:noWrap/>
            <w:vAlign w:val="bottom"/>
            <w:hideMark/>
          </w:tcPr>
          <w:p w14:paraId="4E385F1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63A4DF4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9228F37" w14:textId="77777777" w:rsidTr="008B7C11">
        <w:trPr>
          <w:trHeight w:val="600"/>
        </w:trPr>
        <w:tc>
          <w:tcPr>
            <w:tcW w:w="958" w:type="dxa"/>
            <w:noWrap/>
            <w:vAlign w:val="center"/>
            <w:hideMark/>
          </w:tcPr>
          <w:p w14:paraId="6CA4139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536</w:t>
            </w:r>
          </w:p>
        </w:tc>
        <w:tc>
          <w:tcPr>
            <w:tcW w:w="1718" w:type="dxa"/>
            <w:noWrap/>
            <w:vAlign w:val="bottom"/>
            <w:hideMark/>
          </w:tcPr>
          <w:p w14:paraId="6D91B32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99374E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P-1690-15</w:t>
            </w:r>
          </w:p>
        </w:tc>
        <w:tc>
          <w:tcPr>
            <w:tcW w:w="1097" w:type="dxa"/>
            <w:noWrap/>
            <w:vAlign w:val="bottom"/>
            <w:hideMark/>
          </w:tcPr>
          <w:p w14:paraId="78F98F1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18F48F1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85127D5" w14:textId="77777777" w:rsidTr="008B7C11">
        <w:trPr>
          <w:trHeight w:val="600"/>
        </w:trPr>
        <w:tc>
          <w:tcPr>
            <w:tcW w:w="958" w:type="dxa"/>
            <w:noWrap/>
            <w:vAlign w:val="center"/>
            <w:hideMark/>
          </w:tcPr>
          <w:p w14:paraId="3DDD28B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537</w:t>
            </w:r>
          </w:p>
        </w:tc>
        <w:tc>
          <w:tcPr>
            <w:tcW w:w="1718" w:type="dxa"/>
            <w:noWrap/>
            <w:vAlign w:val="bottom"/>
            <w:hideMark/>
          </w:tcPr>
          <w:p w14:paraId="686FD88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5D1DFE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P-2033-14</w:t>
            </w:r>
          </w:p>
        </w:tc>
        <w:tc>
          <w:tcPr>
            <w:tcW w:w="1097" w:type="dxa"/>
            <w:noWrap/>
            <w:vAlign w:val="bottom"/>
            <w:hideMark/>
          </w:tcPr>
          <w:p w14:paraId="7F86566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5FACEEC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54E094E" w14:textId="77777777" w:rsidTr="008B7C11">
        <w:trPr>
          <w:trHeight w:val="600"/>
        </w:trPr>
        <w:tc>
          <w:tcPr>
            <w:tcW w:w="958" w:type="dxa"/>
            <w:noWrap/>
            <w:vAlign w:val="center"/>
            <w:hideMark/>
          </w:tcPr>
          <w:p w14:paraId="2C71BA3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538</w:t>
            </w:r>
          </w:p>
        </w:tc>
        <w:tc>
          <w:tcPr>
            <w:tcW w:w="1718" w:type="dxa"/>
            <w:noWrap/>
            <w:vAlign w:val="bottom"/>
            <w:hideMark/>
          </w:tcPr>
          <w:p w14:paraId="2200E34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71B45A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P-373-15</w:t>
            </w:r>
          </w:p>
        </w:tc>
        <w:tc>
          <w:tcPr>
            <w:tcW w:w="1097" w:type="dxa"/>
            <w:noWrap/>
            <w:vAlign w:val="bottom"/>
            <w:hideMark/>
          </w:tcPr>
          <w:p w14:paraId="0C4CCA8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7901635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513309A" w14:textId="77777777" w:rsidTr="008B7C11">
        <w:trPr>
          <w:trHeight w:val="600"/>
        </w:trPr>
        <w:tc>
          <w:tcPr>
            <w:tcW w:w="958" w:type="dxa"/>
            <w:noWrap/>
            <w:vAlign w:val="center"/>
            <w:hideMark/>
          </w:tcPr>
          <w:p w14:paraId="5DC7CE6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539</w:t>
            </w:r>
          </w:p>
        </w:tc>
        <w:tc>
          <w:tcPr>
            <w:tcW w:w="1718" w:type="dxa"/>
            <w:noWrap/>
            <w:vAlign w:val="bottom"/>
            <w:hideMark/>
          </w:tcPr>
          <w:p w14:paraId="5547045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07D4D4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P-1755-15</w:t>
            </w:r>
          </w:p>
        </w:tc>
        <w:tc>
          <w:tcPr>
            <w:tcW w:w="1097" w:type="dxa"/>
            <w:noWrap/>
            <w:vAlign w:val="bottom"/>
            <w:hideMark/>
          </w:tcPr>
          <w:p w14:paraId="020B4D7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06A723C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684C1FB" w14:textId="77777777" w:rsidTr="008B7C11">
        <w:trPr>
          <w:trHeight w:val="600"/>
        </w:trPr>
        <w:tc>
          <w:tcPr>
            <w:tcW w:w="958" w:type="dxa"/>
            <w:noWrap/>
            <w:vAlign w:val="center"/>
            <w:hideMark/>
          </w:tcPr>
          <w:p w14:paraId="5C3C691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540</w:t>
            </w:r>
          </w:p>
        </w:tc>
        <w:tc>
          <w:tcPr>
            <w:tcW w:w="1718" w:type="dxa"/>
            <w:noWrap/>
            <w:vAlign w:val="bottom"/>
            <w:hideMark/>
          </w:tcPr>
          <w:p w14:paraId="14986A2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62D28F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P-504-15</w:t>
            </w:r>
          </w:p>
        </w:tc>
        <w:tc>
          <w:tcPr>
            <w:tcW w:w="1097" w:type="dxa"/>
            <w:noWrap/>
            <w:vAlign w:val="bottom"/>
            <w:hideMark/>
          </w:tcPr>
          <w:p w14:paraId="7D8A756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43C70E8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AE75048" w14:textId="77777777" w:rsidTr="008B7C11">
        <w:trPr>
          <w:trHeight w:val="600"/>
        </w:trPr>
        <w:tc>
          <w:tcPr>
            <w:tcW w:w="958" w:type="dxa"/>
            <w:noWrap/>
            <w:vAlign w:val="center"/>
            <w:hideMark/>
          </w:tcPr>
          <w:p w14:paraId="6E12A6D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541</w:t>
            </w:r>
          </w:p>
        </w:tc>
        <w:tc>
          <w:tcPr>
            <w:tcW w:w="1718" w:type="dxa"/>
            <w:noWrap/>
            <w:vAlign w:val="bottom"/>
            <w:hideMark/>
          </w:tcPr>
          <w:p w14:paraId="5C96FB6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737063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P-288-14</w:t>
            </w:r>
          </w:p>
        </w:tc>
        <w:tc>
          <w:tcPr>
            <w:tcW w:w="1097" w:type="dxa"/>
            <w:noWrap/>
            <w:vAlign w:val="bottom"/>
            <w:hideMark/>
          </w:tcPr>
          <w:p w14:paraId="04F6527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78C7251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03E8109" w14:textId="77777777" w:rsidTr="008B7C11">
        <w:trPr>
          <w:trHeight w:val="600"/>
        </w:trPr>
        <w:tc>
          <w:tcPr>
            <w:tcW w:w="958" w:type="dxa"/>
            <w:noWrap/>
            <w:vAlign w:val="center"/>
            <w:hideMark/>
          </w:tcPr>
          <w:p w14:paraId="66FF9B1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542</w:t>
            </w:r>
          </w:p>
        </w:tc>
        <w:tc>
          <w:tcPr>
            <w:tcW w:w="1718" w:type="dxa"/>
            <w:noWrap/>
            <w:vAlign w:val="bottom"/>
            <w:hideMark/>
          </w:tcPr>
          <w:p w14:paraId="76EEBA3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F6BCF6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P-1767-15</w:t>
            </w:r>
          </w:p>
        </w:tc>
        <w:tc>
          <w:tcPr>
            <w:tcW w:w="1097" w:type="dxa"/>
            <w:noWrap/>
            <w:vAlign w:val="bottom"/>
            <w:hideMark/>
          </w:tcPr>
          <w:p w14:paraId="25FFF45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674D6C3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BDE44AC" w14:textId="77777777" w:rsidTr="008B7C11">
        <w:trPr>
          <w:trHeight w:val="600"/>
        </w:trPr>
        <w:tc>
          <w:tcPr>
            <w:tcW w:w="958" w:type="dxa"/>
            <w:noWrap/>
            <w:vAlign w:val="center"/>
            <w:hideMark/>
          </w:tcPr>
          <w:p w14:paraId="18E8E91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543</w:t>
            </w:r>
          </w:p>
        </w:tc>
        <w:tc>
          <w:tcPr>
            <w:tcW w:w="1718" w:type="dxa"/>
            <w:noWrap/>
            <w:vAlign w:val="bottom"/>
            <w:hideMark/>
          </w:tcPr>
          <w:p w14:paraId="3A42373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94D5DD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P-1764-15</w:t>
            </w:r>
          </w:p>
        </w:tc>
        <w:tc>
          <w:tcPr>
            <w:tcW w:w="1097" w:type="dxa"/>
            <w:noWrap/>
            <w:vAlign w:val="bottom"/>
            <w:hideMark/>
          </w:tcPr>
          <w:p w14:paraId="4815328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703F6A4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94C0001" w14:textId="77777777" w:rsidTr="008B7C11">
        <w:trPr>
          <w:trHeight w:val="600"/>
        </w:trPr>
        <w:tc>
          <w:tcPr>
            <w:tcW w:w="958" w:type="dxa"/>
            <w:noWrap/>
            <w:vAlign w:val="center"/>
            <w:hideMark/>
          </w:tcPr>
          <w:p w14:paraId="28FD4A9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544</w:t>
            </w:r>
          </w:p>
        </w:tc>
        <w:tc>
          <w:tcPr>
            <w:tcW w:w="1718" w:type="dxa"/>
            <w:noWrap/>
            <w:vAlign w:val="bottom"/>
            <w:hideMark/>
          </w:tcPr>
          <w:p w14:paraId="182316A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528434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P-1702-14</w:t>
            </w:r>
          </w:p>
        </w:tc>
        <w:tc>
          <w:tcPr>
            <w:tcW w:w="1097" w:type="dxa"/>
            <w:noWrap/>
            <w:vAlign w:val="bottom"/>
            <w:hideMark/>
          </w:tcPr>
          <w:p w14:paraId="44A8FED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22462D7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93A1869" w14:textId="77777777" w:rsidTr="008B7C11">
        <w:trPr>
          <w:trHeight w:val="600"/>
        </w:trPr>
        <w:tc>
          <w:tcPr>
            <w:tcW w:w="958" w:type="dxa"/>
            <w:noWrap/>
            <w:vAlign w:val="center"/>
            <w:hideMark/>
          </w:tcPr>
          <w:p w14:paraId="73A9204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545</w:t>
            </w:r>
          </w:p>
        </w:tc>
        <w:tc>
          <w:tcPr>
            <w:tcW w:w="1718" w:type="dxa"/>
            <w:noWrap/>
            <w:vAlign w:val="bottom"/>
            <w:hideMark/>
          </w:tcPr>
          <w:p w14:paraId="3A47E54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733402D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P-1579-14</w:t>
            </w:r>
          </w:p>
        </w:tc>
        <w:tc>
          <w:tcPr>
            <w:tcW w:w="1097" w:type="dxa"/>
            <w:noWrap/>
            <w:vAlign w:val="bottom"/>
            <w:hideMark/>
          </w:tcPr>
          <w:p w14:paraId="2D5E3D2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135D315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84EC15B" w14:textId="77777777" w:rsidTr="008B7C11">
        <w:trPr>
          <w:trHeight w:val="600"/>
        </w:trPr>
        <w:tc>
          <w:tcPr>
            <w:tcW w:w="958" w:type="dxa"/>
            <w:noWrap/>
            <w:vAlign w:val="center"/>
            <w:hideMark/>
          </w:tcPr>
          <w:p w14:paraId="44C77D7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546</w:t>
            </w:r>
          </w:p>
        </w:tc>
        <w:tc>
          <w:tcPr>
            <w:tcW w:w="1718" w:type="dxa"/>
            <w:noWrap/>
            <w:vAlign w:val="bottom"/>
            <w:hideMark/>
          </w:tcPr>
          <w:p w14:paraId="3425FC4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04CF24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P-2569-16</w:t>
            </w:r>
          </w:p>
        </w:tc>
        <w:tc>
          <w:tcPr>
            <w:tcW w:w="1097" w:type="dxa"/>
            <w:noWrap/>
            <w:vAlign w:val="bottom"/>
            <w:hideMark/>
          </w:tcPr>
          <w:p w14:paraId="12F7ABF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428D0D9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B5848EE" w14:textId="77777777" w:rsidTr="008B7C11">
        <w:trPr>
          <w:trHeight w:val="600"/>
        </w:trPr>
        <w:tc>
          <w:tcPr>
            <w:tcW w:w="958" w:type="dxa"/>
            <w:noWrap/>
            <w:vAlign w:val="center"/>
            <w:hideMark/>
          </w:tcPr>
          <w:p w14:paraId="405C8AB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547</w:t>
            </w:r>
          </w:p>
        </w:tc>
        <w:tc>
          <w:tcPr>
            <w:tcW w:w="1718" w:type="dxa"/>
            <w:noWrap/>
            <w:vAlign w:val="bottom"/>
            <w:hideMark/>
          </w:tcPr>
          <w:p w14:paraId="3941587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AEC38A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P-48-17</w:t>
            </w:r>
          </w:p>
        </w:tc>
        <w:tc>
          <w:tcPr>
            <w:tcW w:w="1097" w:type="dxa"/>
            <w:noWrap/>
            <w:vAlign w:val="bottom"/>
            <w:hideMark/>
          </w:tcPr>
          <w:p w14:paraId="734653E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6C0EB59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B914BFD" w14:textId="77777777" w:rsidTr="008B7C11">
        <w:trPr>
          <w:trHeight w:val="600"/>
        </w:trPr>
        <w:tc>
          <w:tcPr>
            <w:tcW w:w="958" w:type="dxa"/>
            <w:noWrap/>
            <w:vAlign w:val="center"/>
            <w:hideMark/>
          </w:tcPr>
          <w:p w14:paraId="54F2906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548</w:t>
            </w:r>
          </w:p>
        </w:tc>
        <w:tc>
          <w:tcPr>
            <w:tcW w:w="1718" w:type="dxa"/>
            <w:noWrap/>
            <w:vAlign w:val="bottom"/>
            <w:hideMark/>
          </w:tcPr>
          <w:p w14:paraId="789B87C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1B3CF0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P-6-17</w:t>
            </w:r>
          </w:p>
        </w:tc>
        <w:tc>
          <w:tcPr>
            <w:tcW w:w="1097" w:type="dxa"/>
            <w:noWrap/>
            <w:vAlign w:val="bottom"/>
            <w:hideMark/>
          </w:tcPr>
          <w:p w14:paraId="6A1935B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642FDF2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A64CCAC" w14:textId="77777777" w:rsidTr="008B7C11">
        <w:trPr>
          <w:trHeight w:val="600"/>
        </w:trPr>
        <w:tc>
          <w:tcPr>
            <w:tcW w:w="958" w:type="dxa"/>
            <w:noWrap/>
            <w:vAlign w:val="center"/>
            <w:hideMark/>
          </w:tcPr>
          <w:p w14:paraId="301CFAC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549</w:t>
            </w:r>
          </w:p>
        </w:tc>
        <w:tc>
          <w:tcPr>
            <w:tcW w:w="1718" w:type="dxa"/>
            <w:noWrap/>
            <w:vAlign w:val="bottom"/>
            <w:hideMark/>
          </w:tcPr>
          <w:p w14:paraId="62CE9F2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BBB9D3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P-836-17</w:t>
            </w:r>
          </w:p>
        </w:tc>
        <w:tc>
          <w:tcPr>
            <w:tcW w:w="1097" w:type="dxa"/>
            <w:noWrap/>
            <w:vAlign w:val="bottom"/>
            <w:hideMark/>
          </w:tcPr>
          <w:p w14:paraId="578B13D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D85A05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0764D8C" w14:textId="77777777" w:rsidTr="008B7C11">
        <w:trPr>
          <w:trHeight w:val="600"/>
        </w:trPr>
        <w:tc>
          <w:tcPr>
            <w:tcW w:w="958" w:type="dxa"/>
            <w:noWrap/>
            <w:vAlign w:val="center"/>
            <w:hideMark/>
          </w:tcPr>
          <w:p w14:paraId="680CBC9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550</w:t>
            </w:r>
          </w:p>
        </w:tc>
        <w:tc>
          <w:tcPr>
            <w:tcW w:w="1718" w:type="dxa"/>
            <w:noWrap/>
            <w:vAlign w:val="bottom"/>
            <w:hideMark/>
          </w:tcPr>
          <w:p w14:paraId="4BAD0D4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8E4589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P-2142-15</w:t>
            </w:r>
          </w:p>
        </w:tc>
        <w:tc>
          <w:tcPr>
            <w:tcW w:w="1097" w:type="dxa"/>
            <w:noWrap/>
            <w:vAlign w:val="bottom"/>
            <w:hideMark/>
          </w:tcPr>
          <w:p w14:paraId="7B28020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48E2D0E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1C809EC" w14:textId="77777777" w:rsidTr="008B7C11">
        <w:trPr>
          <w:trHeight w:val="600"/>
        </w:trPr>
        <w:tc>
          <w:tcPr>
            <w:tcW w:w="958" w:type="dxa"/>
            <w:noWrap/>
            <w:vAlign w:val="center"/>
            <w:hideMark/>
          </w:tcPr>
          <w:p w14:paraId="1589BCD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551</w:t>
            </w:r>
          </w:p>
        </w:tc>
        <w:tc>
          <w:tcPr>
            <w:tcW w:w="1718" w:type="dxa"/>
            <w:noWrap/>
            <w:vAlign w:val="bottom"/>
            <w:hideMark/>
          </w:tcPr>
          <w:p w14:paraId="601E5AC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78E240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P-1574-14</w:t>
            </w:r>
          </w:p>
        </w:tc>
        <w:tc>
          <w:tcPr>
            <w:tcW w:w="1097" w:type="dxa"/>
            <w:noWrap/>
            <w:vAlign w:val="bottom"/>
            <w:hideMark/>
          </w:tcPr>
          <w:p w14:paraId="73089A7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2C1AF8D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9B16F25" w14:textId="77777777" w:rsidTr="008B7C11">
        <w:trPr>
          <w:trHeight w:val="600"/>
        </w:trPr>
        <w:tc>
          <w:tcPr>
            <w:tcW w:w="958" w:type="dxa"/>
            <w:noWrap/>
            <w:vAlign w:val="center"/>
            <w:hideMark/>
          </w:tcPr>
          <w:p w14:paraId="12316BB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552</w:t>
            </w:r>
          </w:p>
        </w:tc>
        <w:tc>
          <w:tcPr>
            <w:tcW w:w="1718" w:type="dxa"/>
            <w:noWrap/>
            <w:vAlign w:val="bottom"/>
            <w:hideMark/>
          </w:tcPr>
          <w:p w14:paraId="0CFE222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C71D1E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P-783-15</w:t>
            </w:r>
          </w:p>
        </w:tc>
        <w:tc>
          <w:tcPr>
            <w:tcW w:w="1097" w:type="dxa"/>
            <w:noWrap/>
            <w:vAlign w:val="bottom"/>
            <w:hideMark/>
          </w:tcPr>
          <w:p w14:paraId="058E04D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345CDDB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31DA925" w14:textId="77777777" w:rsidTr="008B7C11">
        <w:trPr>
          <w:trHeight w:val="600"/>
        </w:trPr>
        <w:tc>
          <w:tcPr>
            <w:tcW w:w="958" w:type="dxa"/>
            <w:noWrap/>
            <w:vAlign w:val="center"/>
            <w:hideMark/>
          </w:tcPr>
          <w:p w14:paraId="5701BFD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553</w:t>
            </w:r>
          </w:p>
        </w:tc>
        <w:tc>
          <w:tcPr>
            <w:tcW w:w="1718" w:type="dxa"/>
            <w:noWrap/>
            <w:vAlign w:val="bottom"/>
            <w:hideMark/>
          </w:tcPr>
          <w:p w14:paraId="7929C6C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2BB2C5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P-1963-17</w:t>
            </w:r>
          </w:p>
        </w:tc>
        <w:tc>
          <w:tcPr>
            <w:tcW w:w="1097" w:type="dxa"/>
            <w:noWrap/>
            <w:vAlign w:val="bottom"/>
            <w:hideMark/>
          </w:tcPr>
          <w:p w14:paraId="71A1B9A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645B717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440EEB5" w14:textId="77777777" w:rsidTr="008B7C11">
        <w:trPr>
          <w:trHeight w:val="600"/>
        </w:trPr>
        <w:tc>
          <w:tcPr>
            <w:tcW w:w="958" w:type="dxa"/>
            <w:noWrap/>
            <w:vAlign w:val="center"/>
            <w:hideMark/>
          </w:tcPr>
          <w:p w14:paraId="43EEB70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554</w:t>
            </w:r>
          </w:p>
        </w:tc>
        <w:tc>
          <w:tcPr>
            <w:tcW w:w="1718" w:type="dxa"/>
            <w:noWrap/>
            <w:vAlign w:val="bottom"/>
            <w:hideMark/>
          </w:tcPr>
          <w:p w14:paraId="37F03F1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6B0398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P-1934-17</w:t>
            </w:r>
          </w:p>
        </w:tc>
        <w:tc>
          <w:tcPr>
            <w:tcW w:w="1097" w:type="dxa"/>
            <w:noWrap/>
            <w:vAlign w:val="bottom"/>
            <w:hideMark/>
          </w:tcPr>
          <w:p w14:paraId="019AEAE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2F3235A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3F54B75" w14:textId="77777777" w:rsidTr="008B7C11">
        <w:trPr>
          <w:trHeight w:val="600"/>
        </w:trPr>
        <w:tc>
          <w:tcPr>
            <w:tcW w:w="958" w:type="dxa"/>
            <w:noWrap/>
            <w:vAlign w:val="center"/>
            <w:hideMark/>
          </w:tcPr>
          <w:p w14:paraId="3A126D1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555</w:t>
            </w:r>
          </w:p>
        </w:tc>
        <w:tc>
          <w:tcPr>
            <w:tcW w:w="1718" w:type="dxa"/>
            <w:noWrap/>
            <w:vAlign w:val="bottom"/>
            <w:hideMark/>
          </w:tcPr>
          <w:p w14:paraId="6FEFA03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6E287E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P-2669-18</w:t>
            </w:r>
          </w:p>
        </w:tc>
        <w:tc>
          <w:tcPr>
            <w:tcW w:w="1097" w:type="dxa"/>
            <w:noWrap/>
            <w:vAlign w:val="bottom"/>
            <w:hideMark/>
          </w:tcPr>
          <w:p w14:paraId="4B851AB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18</w:t>
            </w:r>
          </w:p>
        </w:tc>
        <w:tc>
          <w:tcPr>
            <w:tcW w:w="2600" w:type="dxa"/>
            <w:vAlign w:val="center"/>
            <w:hideMark/>
          </w:tcPr>
          <w:p w14:paraId="4C5E97E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E131E6E" w14:textId="77777777" w:rsidTr="008B7C11">
        <w:trPr>
          <w:trHeight w:val="600"/>
        </w:trPr>
        <w:tc>
          <w:tcPr>
            <w:tcW w:w="958" w:type="dxa"/>
            <w:noWrap/>
            <w:vAlign w:val="center"/>
            <w:hideMark/>
          </w:tcPr>
          <w:p w14:paraId="545CB49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556</w:t>
            </w:r>
          </w:p>
        </w:tc>
        <w:tc>
          <w:tcPr>
            <w:tcW w:w="1718" w:type="dxa"/>
            <w:noWrap/>
            <w:vAlign w:val="bottom"/>
            <w:hideMark/>
          </w:tcPr>
          <w:p w14:paraId="03893D6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30580D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P-1659-17</w:t>
            </w:r>
          </w:p>
        </w:tc>
        <w:tc>
          <w:tcPr>
            <w:tcW w:w="1097" w:type="dxa"/>
            <w:noWrap/>
            <w:vAlign w:val="bottom"/>
            <w:hideMark/>
          </w:tcPr>
          <w:p w14:paraId="452DA66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356A56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0610F9C" w14:textId="77777777" w:rsidTr="008B7C11">
        <w:trPr>
          <w:trHeight w:val="600"/>
        </w:trPr>
        <w:tc>
          <w:tcPr>
            <w:tcW w:w="958" w:type="dxa"/>
            <w:noWrap/>
            <w:vAlign w:val="center"/>
            <w:hideMark/>
          </w:tcPr>
          <w:p w14:paraId="2E83318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557</w:t>
            </w:r>
          </w:p>
        </w:tc>
        <w:tc>
          <w:tcPr>
            <w:tcW w:w="1718" w:type="dxa"/>
            <w:noWrap/>
            <w:vAlign w:val="bottom"/>
            <w:hideMark/>
          </w:tcPr>
          <w:p w14:paraId="7A102AD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9492EC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P-742-17</w:t>
            </w:r>
          </w:p>
        </w:tc>
        <w:tc>
          <w:tcPr>
            <w:tcW w:w="1097" w:type="dxa"/>
            <w:noWrap/>
            <w:vAlign w:val="bottom"/>
            <w:hideMark/>
          </w:tcPr>
          <w:p w14:paraId="6795A2D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72945A8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A891D2A" w14:textId="77777777" w:rsidTr="008B7C11">
        <w:trPr>
          <w:trHeight w:val="600"/>
        </w:trPr>
        <w:tc>
          <w:tcPr>
            <w:tcW w:w="958" w:type="dxa"/>
            <w:noWrap/>
            <w:vAlign w:val="center"/>
            <w:hideMark/>
          </w:tcPr>
          <w:p w14:paraId="66A09A2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558</w:t>
            </w:r>
          </w:p>
        </w:tc>
        <w:tc>
          <w:tcPr>
            <w:tcW w:w="1718" w:type="dxa"/>
            <w:noWrap/>
            <w:vAlign w:val="bottom"/>
            <w:hideMark/>
          </w:tcPr>
          <w:p w14:paraId="3A47ADA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ADCC7F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P-839-17</w:t>
            </w:r>
          </w:p>
        </w:tc>
        <w:tc>
          <w:tcPr>
            <w:tcW w:w="1097" w:type="dxa"/>
            <w:noWrap/>
            <w:vAlign w:val="bottom"/>
            <w:hideMark/>
          </w:tcPr>
          <w:p w14:paraId="32EF22D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1B189E9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AEBC02A" w14:textId="77777777" w:rsidTr="008B7C11">
        <w:trPr>
          <w:trHeight w:val="600"/>
        </w:trPr>
        <w:tc>
          <w:tcPr>
            <w:tcW w:w="958" w:type="dxa"/>
            <w:noWrap/>
            <w:vAlign w:val="center"/>
            <w:hideMark/>
          </w:tcPr>
          <w:p w14:paraId="193095F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559</w:t>
            </w:r>
          </w:p>
        </w:tc>
        <w:tc>
          <w:tcPr>
            <w:tcW w:w="1718" w:type="dxa"/>
            <w:noWrap/>
            <w:vAlign w:val="bottom"/>
            <w:hideMark/>
          </w:tcPr>
          <w:p w14:paraId="77F6306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AAB82B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P-2063-17</w:t>
            </w:r>
          </w:p>
        </w:tc>
        <w:tc>
          <w:tcPr>
            <w:tcW w:w="1097" w:type="dxa"/>
            <w:noWrap/>
            <w:vAlign w:val="bottom"/>
            <w:hideMark/>
          </w:tcPr>
          <w:p w14:paraId="60C248D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18727B2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29C659B" w14:textId="77777777" w:rsidTr="008B7C11">
        <w:trPr>
          <w:trHeight w:val="600"/>
        </w:trPr>
        <w:tc>
          <w:tcPr>
            <w:tcW w:w="958" w:type="dxa"/>
            <w:noWrap/>
            <w:vAlign w:val="center"/>
            <w:hideMark/>
          </w:tcPr>
          <w:p w14:paraId="4137F72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560</w:t>
            </w:r>
          </w:p>
        </w:tc>
        <w:tc>
          <w:tcPr>
            <w:tcW w:w="1718" w:type="dxa"/>
            <w:noWrap/>
            <w:vAlign w:val="bottom"/>
            <w:hideMark/>
          </w:tcPr>
          <w:p w14:paraId="1B11829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9CB922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P-1767-17</w:t>
            </w:r>
          </w:p>
        </w:tc>
        <w:tc>
          <w:tcPr>
            <w:tcW w:w="1097" w:type="dxa"/>
            <w:noWrap/>
            <w:vAlign w:val="bottom"/>
            <w:hideMark/>
          </w:tcPr>
          <w:p w14:paraId="61B2BDF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212E270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6BA36AD" w14:textId="77777777" w:rsidTr="008B7C11">
        <w:trPr>
          <w:trHeight w:val="600"/>
        </w:trPr>
        <w:tc>
          <w:tcPr>
            <w:tcW w:w="958" w:type="dxa"/>
            <w:noWrap/>
            <w:vAlign w:val="center"/>
            <w:hideMark/>
          </w:tcPr>
          <w:p w14:paraId="44F29CE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561</w:t>
            </w:r>
          </w:p>
        </w:tc>
        <w:tc>
          <w:tcPr>
            <w:tcW w:w="1718" w:type="dxa"/>
            <w:noWrap/>
            <w:vAlign w:val="bottom"/>
            <w:hideMark/>
          </w:tcPr>
          <w:p w14:paraId="2A7A79E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7A45D6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P-393-16</w:t>
            </w:r>
          </w:p>
        </w:tc>
        <w:tc>
          <w:tcPr>
            <w:tcW w:w="1097" w:type="dxa"/>
            <w:noWrap/>
            <w:vAlign w:val="bottom"/>
            <w:hideMark/>
          </w:tcPr>
          <w:p w14:paraId="37A100C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36A6C40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9639050" w14:textId="77777777" w:rsidTr="008B7C11">
        <w:trPr>
          <w:trHeight w:val="600"/>
        </w:trPr>
        <w:tc>
          <w:tcPr>
            <w:tcW w:w="958" w:type="dxa"/>
            <w:noWrap/>
            <w:vAlign w:val="center"/>
            <w:hideMark/>
          </w:tcPr>
          <w:p w14:paraId="20D05C4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562</w:t>
            </w:r>
          </w:p>
        </w:tc>
        <w:tc>
          <w:tcPr>
            <w:tcW w:w="1718" w:type="dxa"/>
            <w:noWrap/>
            <w:vAlign w:val="bottom"/>
            <w:hideMark/>
          </w:tcPr>
          <w:p w14:paraId="7471941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44B374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P-1964-17</w:t>
            </w:r>
          </w:p>
        </w:tc>
        <w:tc>
          <w:tcPr>
            <w:tcW w:w="1097" w:type="dxa"/>
            <w:noWrap/>
            <w:vAlign w:val="bottom"/>
            <w:hideMark/>
          </w:tcPr>
          <w:p w14:paraId="14959C6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4A9DF8E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BE11341" w14:textId="77777777" w:rsidTr="008B7C11">
        <w:trPr>
          <w:trHeight w:val="600"/>
        </w:trPr>
        <w:tc>
          <w:tcPr>
            <w:tcW w:w="958" w:type="dxa"/>
            <w:noWrap/>
            <w:vAlign w:val="center"/>
            <w:hideMark/>
          </w:tcPr>
          <w:p w14:paraId="6BA41C5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563</w:t>
            </w:r>
          </w:p>
        </w:tc>
        <w:tc>
          <w:tcPr>
            <w:tcW w:w="1718" w:type="dxa"/>
            <w:noWrap/>
            <w:vAlign w:val="bottom"/>
            <w:hideMark/>
          </w:tcPr>
          <w:p w14:paraId="11DFEFD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70050B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P-2519-17</w:t>
            </w:r>
          </w:p>
        </w:tc>
        <w:tc>
          <w:tcPr>
            <w:tcW w:w="1097" w:type="dxa"/>
            <w:noWrap/>
            <w:vAlign w:val="bottom"/>
            <w:hideMark/>
          </w:tcPr>
          <w:p w14:paraId="4226296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4D0ECD2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F19EA7B" w14:textId="77777777" w:rsidTr="008B7C11">
        <w:trPr>
          <w:trHeight w:val="600"/>
        </w:trPr>
        <w:tc>
          <w:tcPr>
            <w:tcW w:w="958" w:type="dxa"/>
            <w:noWrap/>
            <w:vAlign w:val="center"/>
            <w:hideMark/>
          </w:tcPr>
          <w:p w14:paraId="14AC866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564</w:t>
            </w:r>
          </w:p>
        </w:tc>
        <w:tc>
          <w:tcPr>
            <w:tcW w:w="1718" w:type="dxa"/>
            <w:noWrap/>
            <w:vAlign w:val="bottom"/>
            <w:hideMark/>
          </w:tcPr>
          <w:p w14:paraId="39ACAC1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053525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P-2279-17</w:t>
            </w:r>
          </w:p>
        </w:tc>
        <w:tc>
          <w:tcPr>
            <w:tcW w:w="1097" w:type="dxa"/>
            <w:noWrap/>
            <w:vAlign w:val="bottom"/>
            <w:hideMark/>
          </w:tcPr>
          <w:p w14:paraId="078B895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F21648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0E34228" w14:textId="77777777" w:rsidTr="008B7C11">
        <w:trPr>
          <w:trHeight w:val="600"/>
        </w:trPr>
        <w:tc>
          <w:tcPr>
            <w:tcW w:w="958" w:type="dxa"/>
            <w:noWrap/>
            <w:vAlign w:val="center"/>
            <w:hideMark/>
          </w:tcPr>
          <w:p w14:paraId="704531F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565</w:t>
            </w:r>
          </w:p>
        </w:tc>
        <w:tc>
          <w:tcPr>
            <w:tcW w:w="1718" w:type="dxa"/>
            <w:noWrap/>
            <w:vAlign w:val="bottom"/>
            <w:hideMark/>
          </w:tcPr>
          <w:p w14:paraId="2999F2C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203521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P-411-17</w:t>
            </w:r>
          </w:p>
        </w:tc>
        <w:tc>
          <w:tcPr>
            <w:tcW w:w="1097" w:type="dxa"/>
            <w:noWrap/>
            <w:vAlign w:val="bottom"/>
            <w:hideMark/>
          </w:tcPr>
          <w:p w14:paraId="24715D7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2C1AF2D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A5F939C" w14:textId="77777777" w:rsidTr="008B7C11">
        <w:trPr>
          <w:trHeight w:val="600"/>
        </w:trPr>
        <w:tc>
          <w:tcPr>
            <w:tcW w:w="958" w:type="dxa"/>
            <w:noWrap/>
            <w:vAlign w:val="center"/>
            <w:hideMark/>
          </w:tcPr>
          <w:p w14:paraId="496DAB6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566</w:t>
            </w:r>
          </w:p>
        </w:tc>
        <w:tc>
          <w:tcPr>
            <w:tcW w:w="1718" w:type="dxa"/>
            <w:noWrap/>
            <w:vAlign w:val="bottom"/>
            <w:hideMark/>
          </w:tcPr>
          <w:p w14:paraId="0F559B7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238C55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P-1357-14</w:t>
            </w:r>
          </w:p>
        </w:tc>
        <w:tc>
          <w:tcPr>
            <w:tcW w:w="1097" w:type="dxa"/>
            <w:noWrap/>
            <w:vAlign w:val="bottom"/>
            <w:hideMark/>
          </w:tcPr>
          <w:p w14:paraId="36F6A60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2F4BCF6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3D5EAD7" w14:textId="77777777" w:rsidTr="008B7C11">
        <w:trPr>
          <w:trHeight w:val="600"/>
        </w:trPr>
        <w:tc>
          <w:tcPr>
            <w:tcW w:w="958" w:type="dxa"/>
            <w:noWrap/>
            <w:vAlign w:val="center"/>
            <w:hideMark/>
          </w:tcPr>
          <w:p w14:paraId="0FAE733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567</w:t>
            </w:r>
          </w:p>
        </w:tc>
        <w:tc>
          <w:tcPr>
            <w:tcW w:w="1718" w:type="dxa"/>
            <w:noWrap/>
            <w:vAlign w:val="bottom"/>
            <w:hideMark/>
          </w:tcPr>
          <w:p w14:paraId="3286803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CF0734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P-730-17</w:t>
            </w:r>
          </w:p>
        </w:tc>
        <w:tc>
          <w:tcPr>
            <w:tcW w:w="1097" w:type="dxa"/>
            <w:noWrap/>
            <w:vAlign w:val="bottom"/>
            <w:hideMark/>
          </w:tcPr>
          <w:p w14:paraId="5F841DD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6A79F5C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5F1400F" w14:textId="77777777" w:rsidTr="008B7C11">
        <w:trPr>
          <w:trHeight w:val="600"/>
        </w:trPr>
        <w:tc>
          <w:tcPr>
            <w:tcW w:w="958" w:type="dxa"/>
            <w:noWrap/>
            <w:vAlign w:val="center"/>
            <w:hideMark/>
          </w:tcPr>
          <w:p w14:paraId="209F325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568</w:t>
            </w:r>
          </w:p>
        </w:tc>
        <w:tc>
          <w:tcPr>
            <w:tcW w:w="1718" w:type="dxa"/>
            <w:noWrap/>
            <w:vAlign w:val="bottom"/>
            <w:hideMark/>
          </w:tcPr>
          <w:p w14:paraId="165C081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3AECF7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P-545-16</w:t>
            </w:r>
          </w:p>
        </w:tc>
        <w:tc>
          <w:tcPr>
            <w:tcW w:w="1097" w:type="dxa"/>
            <w:noWrap/>
            <w:vAlign w:val="bottom"/>
            <w:hideMark/>
          </w:tcPr>
          <w:p w14:paraId="445AE1A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6D8F851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3CDFE92" w14:textId="77777777" w:rsidTr="008B7C11">
        <w:trPr>
          <w:trHeight w:val="600"/>
        </w:trPr>
        <w:tc>
          <w:tcPr>
            <w:tcW w:w="958" w:type="dxa"/>
            <w:noWrap/>
            <w:vAlign w:val="center"/>
            <w:hideMark/>
          </w:tcPr>
          <w:p w14:paraId="0333599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569</w:t>
            </w:r>
          </w:p>
        </w:tc>
        <w:tc>
          <w:tcPr>
            <w:tcW w:w="1718" w:type="dxa"/>
            <w:noWrap/>
            <w:vAlign w:val="bottom"/>
            <w:hideMark/>
          </w:tcPr>
          <w:p w14:paraId="6400BD0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B60F18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P-1785-17</w:t>
            </w:r>
          </w:p>
        </w:tc>
        <w:tc>
          <w:tcPr>
            <w:tcW w:w="1097" w:type="dxa"/>
            <w:noWrap/>
            <w:vAlign w:val="bottom"/>
            <w:hideMark/>
          </w:tcPr>
          <w:p w14:paraId="211F21D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4262CFE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F968231" w14:textId="77777777" w:rsidTr="008B7C11">
        <w:trPr>
          <w:trHeight w:val="600"/>
        </w:trPr>
        <w:tc>
          <w:tcPr>
            <w:tcW w:w="958" w:type="dxa"/>
            <w:noWrap/>
            <w:vAlign w:val="center"/>
            <w:hideMark/>
          </w:tcPr>
          <w:p w14:paraId="70AC0F5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570</w:t>
            </w:r>
          </w:p>
        </w:tc>
        <w:tc>
          <w:tcPr>
            <w:tcW w:w="1718" w:type="dxa"/>
            <w:noWrap/>
            <w:vAlign w:val="bottom"/>
            <w:hideMark/>
          </w:tcPr>
          <w:p w14:paraId="13D5507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797C2F8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P-1786-17</w:t>
            </w:r>
          </w:p>
        </w:tc>
        <w:tc>
          <w:tcPr>
            <w:tcW w:w="1097" w:type="dxa"/>
            <w:noWrap/>
            <w:vAlign w:val="bottom"/>
            <w:hideMark/>
          </w:tcPr>
          <w:p w14:paraId="2C375F0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634455A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BD14B6D" w14:textId="77777777" w:rsidTr="008B7C11">
        <w:trPr>
          <w:trHeight w:val="600"/>
        </w:trPr>
        <w:tc>
          <w:tcPr>
            <w:tcW w:w="958" w:type="dxa"/>
            <w:noWrap/>
            <w:vAlign w:val="center"/>
            <w:hideMark/>
          </w:tcPr>
          <w:p w14:paraId="5C0D772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571</w:t>
            </w:r>
          </w:p>
        </w:tc>
        <w:tc>
          <w:tcPr>
            <w:tcW w:w="1718" w:type="dxa"/>
            <w:noWrap/>
            <w:vAlign w:val="bottom"/>
            <w:hideMark/>
          </w:tcPr>
          <w:p w14:paraId="0BA1F05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E8DD7C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P-1766-15</w:t>
            </w:r>
          </w:p>
        </w:tc>
        <w:tc>
          <w:tcPr>
            <w:tcW w:w="1097" w:type="dxa"/>
            <w:noWrap/>
            <w:vAlign w:val="bottom"/>
            <w:hideMark/>
          </w:tcPr>
          <w:p w14:paraId="029CB50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50D9BA6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5A1F557" w14:textId="77777777" w:rsidTr="008B7C11">
        <w:trPr>
          <w:trHeight w:val="600"/>
        </w:trPr>
        <w:tc>
          <w:tcPr>
            <w:tcW w:w="958" w:type="dxa"/>
            <w:noWrap/>
            <w:vAlign w:val="center"/>
            <w:hideMark/>
          </w:tcPr>
          <w:p w14:paraId="37477A0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572</w:t>
            </w:r>
          </w:p>
        </w:tc>
        <w:tc>
          <w:tcPr>
            <w:tcW w:w="1718" w:type="dxa"/>
            <w:noWrap/>
            <w:vAlign w:val="bottom"/>
            <w:hideMark/>
          </w:tcPr>
          <w:p w14:paraId="4C221C5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3A50FD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P-1022-17</w:t>
            </w:r>
          </w:p>
        </w:tc>
        <w:tc>
          <w:tcPr>
            <w:tcW w:w="1097" w:type="dxa"/>
            <w:noWrap/>
            <w:vAlign w:val="bottom"/>
            <w:hideMark/>
          </w:tcPr>
          <w:p w14:paraId="7E5E733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876EE5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D499605" w14:textId="77777777" w:rsidTr="008B7C11">
        <w:trPr>
          <w:trHeight w:val="600"/>
        </w:trPr>
        <w:tc>
          <w:tcPr>
            <w:tcW w:w="958" w:type="dxa"/>
            <w:noWrap/>
            <w:vAlign w:val="center"/>
            <w:hideMark/>
          </w:tcPr>
          <w:p w14:paraId="414DE8D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573</w:t>
            </w:r>
          </w:p>
        </w:tc>
        <w:tc>
          <w:tcPr>
            <w:tcW w:w="1718" w:type="dxa"/>
            <w:noWrap/>
            <w:vAlign w:val="bottom"/>
            <w:hideMark/>
          </w:tcPr>
          <w:p w14:paraId="64EB537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2ED7BE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P-738-16</w:t>
            </w:r>
          </w:p>
        </w:tc>
        <w:tc>
          <w:tcPr>
            <w:tcW w:w="1097" w:type="dxa"/>
            <w:noWrap/>
            <w:vAlign w:val="bottom"/>
            <w:hideMark/>
          </w:tcPr>
          <w:p w14:paraId="5BB83DC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4627508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3BEAB8D" w14:textId="77777777" w:rsidTr="008B7C11">
        <w:trPr>
          <w:trHeight w:val="600"/>
        </w:trPr>
        <w:tc>
          <w:tcPr>
            <w:tcW w:w="958" w:type="dxa"/>
            <w:noWrap/>
            <w:vAlign w:val="center"/>
            <w:hideMark/>
          </w:tcPr>
          <w:p w14:paraId="3B0D407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574</w:t>
            </w:r>
          </w:p>
        </w:tc>
        <w:tc>
          <w:tcPr>
            <w:tcW w:w="1718" w:type="dxa"/>
            <w:noWrap/>
            <w:vAlign w:val="bottom"/>
            <w:hideMark/>
          </w:tcPr>
          <w:p w14:paraId="066FF33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FD2963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P-1205-17</w:t>
            </w:r>
          </w:p>
        </w:tc>
        <w:tc>
          <w:tcPr>
            <w:tcW w:w="1097" w:type="dxa"/>
            <w:noWrap/>
            <w:vAlign w:val="bottom"/>
            <w:hideMark/>
          </w:tcPr>
          <w:p w14:paraId="1CD8B06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3FF3B6F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628948B" w14:textId="77777777" w:rsidTr="008B7C11">
        <w:trPr>
          <w:trHeight w:val="600"/>
        </w:trPr>
        <w:tc>
          <w:tcPr>
            <w:tcW w:w="958" w:type="dxa"/>
            <w:noWrap/>
            <w:vAlign w:val="center"/>
            <w:hideMark/>
          </w:tcPr>
          <w:p w14:paraId="44C7EBD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575</w:t>
            </w:r>
          </w:p>
        </w:tc>
        <w:tc>
          <w:tcPr>
            <w:tcW w:w="1718" w:type="dxa"/>
            <w:noWrap/>
            <w:vAlign w:val="bottom"/>
            <w:hideMark/>
          </w:tcPr>
          <w:p w14:paraId="44AF194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C699CE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P-1123-16</w:t>
            </w:r>
          </w:p>
        </w:tc>
        <w:tc>
          <w:tcPr>
            <w:tcW w:w="1097" w:type="dxa"/>
            <w:noWrap/>
            <w:vAlign w:val="bottom"/>
            <w:hideMark/>
          </w:tcPr>
          <w:p w14:paraId="4AB4F0C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1A86F31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25E5EB0" w14:textId="77777777" w:rsidTr="008B7C11">
        <w:trPr>
          <w:trHeight w:val="600"/>
        </w:trPr>
        <w:tc>
          <w:tcPr>
            <w:tcW w:w="958" w:type="dxa"/>
            <w:noWrap/>
            <w:vAlign w:val="center"/>
            <w:hideMark/>
          </w:tcPr>
          <w:p w14:paraId="1DD7748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576</w:t>
            </w:r>
          </w:p>
        </w:tc>
        <w:tc>
          <w:tcPr>
            <w:tcW w:w="1718" w:type="dxa"/>
            <w:noWrap/>
            <w:vAlign w:val="bottom"/>
            <w:hideMark/>
          </w:tcPr>
          <w:p w14:paraId="6D9D7B2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D8ACF3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P-366-15</w:t>
            </w:r>
          </w:p>
        </w:tc>
        <w:tc>
          <w:tcPr>
            <w:tcW w:w="1097" w:type="dxa"/>
            <w:noWrap/>
            <w:vAlign w:val="bottom"/>
            <w:hideMark/>
          </w:tcPr>
          <w:p w14:paraId="613CBD4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7237665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7FAE07C" w14:textId="77777777" w:rsidTr="008B7C11">
        <w:trPr>
          <w:trHeight w:val="600"/>
        </w:trPr>
        <w:tc>
          <w:tcPr>
            <w:tcW w:w="958" w:type="dxa"/>
            <w:noWrap/>
            <w:vAlign w:val="center"/>
            <w:hideMark/>
          </w:tcPr>
          <w:p w14:paraId="0963779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577</w:t>
            </w:r>
          </w:p>
        </w:tc>
        <w:tc>
          <w:tcPr>
            <w:tcW w:w="1718" w:type="dxa"/>
            <w:noWrap/>
            <w:vAlign w:val="bottom"/>
            <w:hideMark/>
          </w:tcPr>
          <w:p w14:paraId="47F03DD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681345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P-553-16</w:t>
            </w:r>
          </w:p>
        </w:tc>
        <w:tc>
          <w:tcPr>
            <w:tcW w:w="1097" w:type="dxa"/>
            <w:noWrap/>
            <w:vAlign w:val="bottom"/>
            <w:hideMark/>
          </w:tcPr>
          <w:p w14:paraId="05C232F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062A188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28F8301" w14:textId="77777777" w:rsidTr="008B7C11">
        <w:trPr>
          <w:trHeight w:val="600"/>
        </w:trPr>
        <w:tc>
          <w:tcPr>
            <w:tcW w:w="958" w:type="dxa"/>
            <w:noWrap/>
            <w:vAlign w:val="center"/>
            <w:hideMark/>
          </w:tcPr>
          <w:p w14:paraId="0E82C3C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578</w:t>
            </w:r>
          </w:p>
        </w:tc>
        <w:tc>
          <w:tcPr>
            <w:tcW w:w="1718" w:type="dxa"/>
            <w:noWrap/>
            <w:vAlign w:val="bottom"/>
            <w:hideMark/>
          </w:tcPr>
          <w:p w14:paraId="499E3F4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6EE5C4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P-593-15</w:t>
            </w:r>
          </w:p>
        </w:tc>
        <w:tc>
          <w:tcPr>
            <w:tcW w:w="1097" w:type="dxa"/>
            <w:noWrap/>
            <w:vAlign w:val="bottom"/>
            <w:hideMark/>
          </w:tcPr>
          <w:p w14:paraId="1157400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5B40086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C8D6034" w14:textId="77777777" w:rsidTr="008B7C11">
        <w:trPr>
          <w:trHeight w:val="600"/>
        </w:trPr>
        <w:tc>
          <w:tcPr>
            <w:tcW w:w="958" w:type="dxa"/>
            <w:noWrap/>
            <w:vAlign w:val="center"/>
            <w:hideMark/>
          </w:tcPr>
          <w:p w14:paraId="16A1958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579</w:t>
            </w:r>
          </w:p>
        </w:tc>
        <w:tc>
          <w:tcPr>
            <w:tcW w:w="1718" w:type="dxa"/>
            <w:noWrap/>
            <w:vAlign w:val="bottom"/>
            <w:hideMark/>
          </w:tcPr>
          <w:p w14:paraId="4FF33A6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1148F1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P-424-16</w:t>
            </w:r>
          </w:p>
        </w:tc>
        <w:tc>
          <w:tcPr>
            <w:tcW w:w="1097" w:type="dxa"/>
            <w:noWrap/>
            <w:vAlign w:val="bottom"/>
            <w:hideMark/>
          </w:tcPr>
          <w:p w14:paraId="4CC2EB2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6CC42A0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8B8CCE4" w14:textId="77777777" w:rsidTr="008B7C11">
        <w:trPr>
          <w:trHeight w:val="600"/>
        </w:trPr>
        <w:tc>
          <w:tcPr>
            <w:tcW w:w="958" w:type="dxa"/>
            <w:noWrap/>
            <w:vAlign w:val="center"/>
            <w:hideMark/>
          </w:tcPr>
          <w:p w14:paraId="16B088E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580</w:t>
            </w:r>
          </w:p>
        </w:tc>
        <w:tc>
          <w:tcPr>
            <w:tcW w:w="1718" w:type="dxa"/>
            <w:noWrap/>
            <w:vAlign w:val="bottom"/>
            <w:hideMark/>
          </w:tcPr>
          <w:p w14:paraId="0D81C45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656FC9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P-862-16</w:t>
            </w:r>
          </w:p>
        </w:tc>
        <w:tc>
          <w:tcPr>
            <w:tcW w:w="1097" w:type="dxa"/>
            <w:noWrap/>
            <w:vAlign w:val="bottom"/>
            <w:hideMark/>
          </w:tcPr>
          <w:p w14:paraId="1224769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1BE7050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3506709" w14:textId="77777777" w:rsidTr="008B7C11">
        <w:trPr>
          <w:trHeight w:val="600"/>
        </w:trPr>
        <w:tc>
          <w:tcPr>
            <w:tcW w:w="958" w:type="dxa"/>
            <w:noWrap/>
            <w:vAlign w:val="center"/>
            <w:hideMark/>
          </w:tcPr>
          <w:p w14:paraId="3498F72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581</w:t>
            </w:r>
          </w:p>
        </w:tc>
        <w:tc>
          <w:tcPr>
            <w:tcW w:w="1718" w:type="dxa"/>
            <w:noWrap/>
            <w:vAlign w:val="bottom"/>
            <w:hideMark/>
          </w:tcPr>
          <w:p w14:paraId="6B4E997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1614AB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P-310-16</w:t>
            </w:r>
          </w:p>
        </w:tc>
        <w:tc>
          <w:tcPr>
            <w:tcW w:w="1097" w:type="dxa"/>
            <w:noWrap/>
            <w:vAlign w:val="bottom"/>
            <w:hideMark/>
          </w:tcPr>
          <w:p w14:paraId="4C7BE6A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484D94C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EC4F918" w14:textId="77777777" w:rsidTr="008B7C11">
        <w:trPr>
          <w:trHeight w:val="600"/>
        </w:trPr>
        <w:tc>
          <w:tcPr>
            <w:tcW w:w="958" w:type="dxa"/>
            <w:noWrap/>
            <w:vAlign w:val="center"/>
            <w:hideMark/>
          </w:tcPr>
          <w:p w14:paraId="1E8DA39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582</w:t>
            </w:r>
          </w:p>
        </w:tc>
        <w:tc>
          <w:tcPr>
            <w:tcW w:w="1718" w:type="dxa"/>
            <w:noWrap/>
            <w:vAlign w:val="bottom"/>
            <w:hideMark/>
          </w:tcPr>
          <w:p w14:paraId="3AC9406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5B88EE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P-1373-14</w:t>
            </w:r>
          </w:p>
        </w:tc>
        <w:tc>
          <w:tcPr>
            <w:tcW w:w="1097" w:type="dxa"/>
            <w:noWrap/>
            <w:vAlign w:val="bottom"/>
            <w:hideMark/>
          </w:tcPr>
          <w:p w14:paraId="244E10F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61ED117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730FD84" w14:textId="77777777" w:rsidTr="008B7C11">
        <w:trPr>
          <w:trHeight w:val="600"/>
        </w:trPr>
        <w:tc>
          <w:tcPr>
            <w:tcW w:w="958" w:type="dxa"/>
            <w:noWrap/>
            <w:vAlign w:val="center"/>
            <w:hideMark/>
          </w:tcPr>
          <w:p w14:paraId="4595044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583</w:t>
            </w:r>
          </w:p>
        </w:tc>
        <w:tc>
          <w:tcPr>
            <w:tcW w:w="1718" w:type="dxa"/>
            <w:noWrap/>
            <w:vAlign w:val="bottom"/>
            <w:hideMark/>
          </w:tcPr>
          <w:p w14:paraId="00D1191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70BC5B4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P-161-14</w:t>
            </w:r>
          </w:p>
        </w:tc>
        <w:tc>
          <w:tcPr>
            <w:tcW w:w="1097" w:type="dxa"/>
            <w:noWrap/>
            <w:vAlign w:val="bottom"/>
            <w:hideMark/>
          </w:tcPr>
          <w:p w14:paraId="0506770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6412256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8657D82" w14:textId="77777777" w:rsidTr="008B7C11">
        <w:trPr>
          <w:trHeight w:val="600"/>
        </w:trPr>
        <w:tc>
          <w:tcPr>
            <w:tcW w:w="958" w:type="dxa"/>
            <w:noWrap/>
            <w:vAlign w:val="center"/>
            <w:hideMark/>
          </w:tcPr>
          <w:p w14:paraId="1D7A6D6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584</w:t>
            </w:r>
          </w:p>
        </w:tc>
        <w:tc>
          <w:tcPr>
            <w:tcW w:w="1718" w:type="dxa"/>
            <w:noWrap/>
            <w:vAlign w:val="bottom"/>
            <w:hideMark/>
          </w:tcPr>
          <w:p w14:paraId="7CC4921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C26402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P-484-17</w:t>
            </w:r>
          </w:p>
        </w:tc>
        <w:tc>
          <w:tcPr>
            <w:tcW w:w="1097" w:type="dxa"/>
            <w:noWrap/>
            <w:vAlign w:val="bottom"/>
            <w:hideMark/>
          </w:tcPr>
          <w:p w14:paraId="0276BA2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1FD062A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CB5A123" w14:textId="77777777" w:rsidTr="008B7C11">
        <w:trPr>
          <w:trHeight w:val="600"/>
        </w:trPr>
        <w:tc>
          <w:tcPr>
            <w:tcW w:w="958" w:type="dxa"/>
            <w:noWrap/>
            <w:vAlign w:val="center"/>
            <w:hideMark/>
          </w:tcPr>
          <w:p w14:paraId="088CB0B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585</w:t>
            </w:r>
          </w:p>
        </w:tc>
        <w:tc>
          <w:tcPr>
            <w:tcW w:w="1718" w:type="dxa"/>
            <w:noWrap/>
            <w:vAlign w:val="bottom"/>
            <w:hideMark/>
          </w:tcPr>
          <w:p w14:paraId="1864BAD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B61B4A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P-468-14</w:t>
            </w:r>
          </w:p>
        </w:tc>
        <w:tc>
          <w:tcPr>
            <w:tcW w:w="1097" w:type="dxa"/>
            <w:noWrap/>
            <w:vAlign w:val="bottom"/>
            <w:hideMark/>
          </w:tcPr>
          <w:p w14:paraId="1E5D75D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027E920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A1D64AA" w14:textId="77777777" w:rsidTr="008B7C11">
        <w:trPr>
          <w:trHeight w:val="600"/>
        </w:trPr>
        <w:tc>
          <w:tcPr>
            <w:tcW w:w="958" w:type="dxa"/>
            <w:noWrap/>
            <w:vAlign w:val="center"/>
            <w:hideMark/>
          </w:tcPr>
          <w:p w14:paraId="6EF3A03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586</w:t>
            </w:r>
          </w:p>
        </w:tc>
        <w:tc>
          <w:tcPr>
            <w:tcW w:w="1718" w:type="dxa"/>
            <w:noWrap/>
            <w:vAlign w:val="bottom"/>
            <w:hideMark/>
          </w:tcPr>
          <w:p w14:paraId="13557EE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1F2043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P-2225-17</w:t>
            </w:r>
          </w:p>
        </w:tc>
        <w:tc>
          <w:tcPr>
            <w:tcW w:w="1097" w:type="dxa"/>
            <w:noWrap/>
            <w:vAlign w:val="bottom"/>
            <w:hideMark/>
          </w:tcPr>
          <w:p w14:paraId="4C98707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F1F982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D823F4A" w14:textId="77777777" w:rsidTr="008B7C11">
        <w:trPr>
          <w:trHeight w:val="600"/>
        </w:trPr>
        <w:tc>
          <w:tcPr>
            <w:tcW w:w="958" w:type="dxa"/>
            <w:noWrap/>
            <w:vAlign w:val="center"/>
            <w:hideMark/>
          </w:tcPr>
          <w:p w14:paraId="64ABACB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587</w:t>
            </w:r>
          </w:p>
        </w:tc>
        <w:tc>
          <w:tcPr>
            <w:tcW w:w="1718" w:type="dxa"/>
            <w:noWrap/>
            <w:vAlign w:val="bottom"/>
            <w:hideMark/>
          </w:tcPr>
          <w:p w14:paraId="290CE17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E32399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P-2391-17</w:t>
            </w:r>
          </w:p>
        </w:tc>
        <w:tc>
          <w:tcPr>
            <w:tcW w:w="1097" w:type="dxa"/>
            <w:noWrap/>
            <w:vAlign w:val="bottom"/>
            <w:hideMark/>
          </w:tcPr>
          <w:p w14:paraId="17D7576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3B3FE6B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87D710A" w14:textId="77777777" w:rsidTr="008B7C11">
        <w:trPr>
          <w:trHeight w:val="600"/>
        </w:trPr>
        <w:tc>
          <w:tcPr>
            <w:tcW w:w="958" w:type="dxa"/>
            <w:noWrap/>
            <w:vAlign w:val="center"/>
            <w:hideMark/>
          </w:tcPr>
          <w:p w14:paraId="28C2C0B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588</w:t>
            </w:r>
          </w:p>
        </w:tc>
        <w:tc>
          <w:tcPr>
            <w:tcW w:w="1718" w:type="dxa"/>
            <w:noWrap/>
            <w:vAlign w:val="bottom"/>
            <w:hideMark/>
          </w:tcPr>
          <w:p w14:paraId="526712B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7464DE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P-474-17</w:t>
            </w:r>
          </w:p>
        </w:tc>
        <w:tc>
          <w:tcPr>
            <w:tcW w:w="1097" w:type="dxa"/>
            <w:noWrap/>
            <w:vAlign w:val="bottom"/>
            <w:hideMark/>
          </w:tcPr>
          <w:p w14:paraId="3F2752B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629CE80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4EA6980" w14:textId="77777777" w:rsidTr="008B7C11">
        <w:trPr>
          <w:trHeight w:val="600"/>
        </w:trPr>
        <w:tc>
          <w:tcPr>
            <w:tcW w:w="958" w:type="dxa"/>
            <w:noWrap/>
            <w:vAlign w:val="center"/>
            <w:hideMark/>
          </w:tcPr>
          <w:p w14:paraId="3F665E1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589</w:t>
            </w:r>
          </w:p>
        </w:tc>
        <w:tc>
          <w:tcPr>
            <w:tcW w:w="1718" w:type="dxa"/>
            <w:noWrap/>
            <w:vAlign w:val="bottom"/>
            <w:hideMark/>
          </w:tcPr>
          <w:p w14:paraId="5534101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95B032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P-2339-17</w:t>
            </w:r>
          </w:p>
        </w:tc>
        <w:tc>
          <w:tcPr>
            <w:tcW w:w="1097" w:type="dxa"/>
            <w:noWrap/>
            <w:vAlign w:val="bottom"/>
            <w:hideMark/>
          </w:tcPr>
          <w:p w14:paraId="4393AD4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136A6D2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84E51AD" w14:textId="77777777" w:rsidTr="008B7C11">
        <w:trPr>
          <w:trHeight w:val="600"/>
        </w:trPr>
        <w:tc>
          <w:tcPr>
            <w:tcW w:w="958" w:type="dxa"/>
            <w:noWrap/>
            <w:vAlign w:val="center"/>
            <w:hideMark/>
          </w:tcPr>
          <w:p w14:paraId="5FDE48C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590</w:t>
            </w:r>
          </w:p>
        </w:tc>
        <w:tc>
          <w:tcPr>
            <w:tcW w:w="1718" w:type="dxa"/>
            <w:noWrap/>
            <w:vAlign w:val="bottom"/>
            <w:hideMark/>
          </w:tcPr>
          <w:p w14:paraId="6D9A450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256A50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P-1658-17</w:t>
            </w:r>
          </w:p>
        </w:tc>
        <w:tc>
          <w:tcPr>
            <w:tcW w:w="1097" w:type="dxa"/>
            <w:noWrap/>
            <w:vAlign w:val="bottom"/>
            <w:hideMark/>
          </w:tcPr>
          <w:p w14:paraId="61062A6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44958CF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196810E" w14:textId="77777777" w:rsidTr="008B7C11">
        <w:trPr>
          <w:trHeight w:val="600"/>
        </w:trPr>
        <w:tc>
          <w:tcPr>
            <w:tcW w:w="958" w:type="dxa"/>
            <w:noWrap/>
            <w:vAlign w:val="center"/>
            <w:hideMark/>
          </w:tcPr>
          <w:p w14:paraId="2FA0212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591</w:t>
            </w:r>
          </w:p>
        </w:tc>
        <w:tc>
          <w:tcPr>
            <w:tcW w:w="1718" w:type="dxa"/>
            <w:noWrap/>
            <w:vAlign w:val="bottom"/>
            <w:hideMark/>
          </w:tcPr>
          <w:p w14:paraId="2D25B88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B25E71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P-1361-14</w:t>
            </w:r>
          </w:p>
        </w:tc>
        <w:tc>
          <w:tcPr>
            <w:tcW w:w="1097" w:type="dxa"/>
            <w:noWrap/>
            <w:vAlign w:val="bottom"/>
            <w:hideMark/>
          </w:tcPr>
          <w:p w14:paraId="181E5BF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5FBA853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8D6266C" w14:textId="77777777" w:rsidTr="008B7C11">
        <w:trPr>
          <w:trHeight w:val="600"/>
        </w:trPr>
        <w:tc>
          <w:tcPr>
            <w:tcW w:w="958" w:type="dxa"/>
            <w:noWrap/>
            <w:vAlign w:val="center"/>
            <w:hideMark/>
          </w:tcPr>
          <w:p w14:paraId="55E1AE4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592</w:t>
            </w:r>
          </w:p>
        </w:tc>
        <w:tc>
          <w:tcPr>
            <w:tcW w:w="1718" w:type="dxa"/>
            <w:noWrap/>
            <w:vAlign w:val="bottom"/>
            <w:hideMark/>
          </w:tcPr>
          <w:p w14:paraId="4DE7E2D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53F60E0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P-2396-18</w:t>
            </w:r>
          </w:p>
        </w:tc>
        <w:tc>
          <w:tcPr>
            <w:tcW w:w="1097" w:type="dxa"/>
            <w:noWrap/>
            <w:vAlign w:val="bottom"/>
            <w:hideMark/>
          </w:tcPr>
          <w:p w14:paraId="2185C83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18</w:t>
            </w:r>
          </w:p>
        </w:tc>
        <w:tc>
          <w:tcPr>
            <w:tcW w:w="2600" w:type="dxa"/>
            <w:vAlign w:val="center"/>
            <w:hideMark/>
          </w:tcPr>
          <w:p w14:paraId="245DAD8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EBBC827" w14:textId="77777777" w:rsidTr="008B7C11">
        <w:trPr>
          <w:trHeight w:val="600"/>
        </w:trPr>
        <w:tc>
          <w:tcPr>
            <w:tcW w:w="958" w:type="dxa"/>
            <w:noWrap/>
            <w:vAlign w:val="center"/>
            <w:hideMark/>
          </w:tcPr>
          <w:p w14:paraId="0A8CE10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593</w:t>
            </w:r>
          </w:p>
        </w:tc>
        <w:tc>
          <w:tcPr>
            <w:tcW w:w="1718" w:type="dxa"/>
            <w:noWrap/>
            <w:vAlign w:val="bottom"/>
            <w:hideMark/>
          </w:tcPr>
          <w:p w14:paraId="59A2145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39F4754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P-2288-17</w:t>
            </w:r>
          </w:p>
        </w:tc>
        <w:tc>
          <w:tcPr>
            <w:tcW w:w="1097" w:type="dxa"/>
            <w:noWrap/>
            <w:vAlign w:val="bottom"/>
            <w:hideMark/>
          </w:tcPr>
          <w:p w14:paraId="7242F1F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D486E4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BF9F180" w14:textId="77777777" w:rsidTr="008B7C11">
        <w:trPr>
          <w:trHeight w:val="600"/>
        </w:trPr>
        <w:tc>
          <w:tcPr>
            <w:tcW w:w="958" w:type="dxa"/>
            <w:noWrap/>
            <w:vAlign w:val="center"/>
            <w:hideMark/>
          </w:tcPr>
          <w:p w14:paraId="74FA4DA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594</w:t>
            </w:r>
          </w:p>
        </w:tc>
        <w:tc>
          <w:tcPr>
            <w:tcW w:w="1718" w:type="dxa"/>
            <w:noWrap/>
            <w:vAlign w:val="bottom"/>
            <w:hideMark/>
          </w:tcPr>
          <w:p w14:paraId="418185B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0F4729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P-552-15</w:t>
            </w:r>
          </w:p>
        </w:tc>
        <w:tc>
          <w:tcPr>
            <w:tcW w:w="1097" w:type="dxa"/>
            <w:noWrap/>
            <w:vAlign w:val="bottom"/>
            <w:hideMark/>
          </w:tcPr>
          <w:p w14:paraId="5CDBBC0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74CA325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03BEE79" w14:textId="77777777" w:rsidTr="008B7C11">
        <w:trPr>
          <w:trHeight w:val="600"/>
        </w:trPr>
        <w:tc>
          <w:tcPr>
            <w:tcW w:w="958" w:type="dxa"/>
            <w:noWrap/>
            <w:vAlign w:val="center"/>
            <w:hideMark/>
          </w:tcPr>
          <w:p w14:paraId="0EB2707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595</w:t>
            </w:r>
          </w:p>
        </w:tc>
        <w:tc>
          <w:tcPr>
            <w:tcW w:w="1718" w:type="dxa"/>
            <w:noWrap/>
            <w:vAlign w:val="bottom"/>
            <w:hideMark/>
          </w:tcPr>
          <w:p w14:paraId="6E91BBE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67E286F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P-506-15</w:t>
            </w:r>
          </w:p>
        </w:tc>
        <w:tc>
          <w:tcPr>
            <w:tcW w:w="1097" w:type="dxa"/>
            <w:noWrap/>
            <w:vAlign w:val="bottom"/>
            <w:hideMark/>
          </w:tcPr>
          <w:p w14:paraId="7860FA9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3B7B320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E7BD67A" w14:textId="77777777" w:rsidTr="008B7C11">
        <w:trPr>
          <w:trHeight w:val="600"/>
        </w:trPr>
        <w:tc>
          <w:tcPr>
            <w:tcW w:w="958" w:type="dxa"/>
            <w:noWrap/>
            <w:vAlign w:val="center"/>
            <w:hideMark/>
          </w:tcPr>
          <w:p w14:paraId="163851F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596</w:t>
            </w:r>
          </w:p>
        </w:tc>
        <w:tc>
          <w:tcPr>
            <w:tcW w:w="1718" w:type="dxa"/>
            <w:noWrap/>
            <w:vAlign w:val="bottom"/>
            <w:hideMark/>
          </w:tcPr>
          <w:p w14:paraId="09ACC7C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477C4E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P-635-14</w:t>
            </w:r>
          </w:p>
        </w:tc>
        <w:tc>
          <w:tcPr>
            <w:tcW w:w="1097" w:type="dxa"/>
            <w:noWrap/>
            <w:vAlign w:val="bottom"/>
            <w:hideMark/>
          </w:tcPr>
          <w:p w14:paraId="41C8DD9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51EA8EF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9A0BD64" w14:textId="77777777" w:rsidTr="008B7C11">
        <w:trPr>
          <w:trHeight w:val="600"/>
        </w:trPr>
        <w:tc>
          <w:tcPr>
            <w:tcW w:w="958" w:type="dxa"/>
            <w:noWrap/>
            <w:vAlign w:val="center"/>
            <w:hideMark/>
          </w:tcPr>
          <w:p w14:paraId="5FDFCF0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597</w:t>
            </w:r>
          </w:p>
        </w:tc>
        <w:tc>
          <w:tcPr>
            <w:tcW w:w="1718" w:type="dxa"/>
            <w:noWrap/>
            <w:vAlign w:val="bottom"/>
            <w:hideMark/>
          </w:tcPr>
          <w:p w14:paraId="2815142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4BB4191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P-2287-17</w:t>
            </w:r>
          </w:p>
        </w:tc>
        <w:tc>
          <w:tcPr>
            <w:tcW w:w="1097" w:type="dxa"/>
            <w:noWrap/>
            <w:vAlign w:val="bottom"/>
            <w:hideMark/>
          </w:tcPr>
          <w:p w14:paraId="5733E5F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7D0A27A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32BF987" w14:textId="77777777" w:rsidTr="008B7C11">
        <w:trPr>
          <w:trHeight w:val="600"/>
        </w:trPr>
        <w:tc>
          <w:tcPr>
            <w:tcW w:w="958" w:type="dxa"/>
            <w:noWrap/>
            <w:vAlign w:val="center"/>
            <w:hideMark/>
          </w:tcPr>
          <w:p w14:paraId="768E58F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598</w:t>
            </w:r>
          </w:p>
        </w:tc>
        <w:tc>
          <w:tcPr>
            <w:tcW w:w="1718" w:type="dxa"/>
            <w:noWrap/>
            <w:vAlign w:val="bottom"/>
            <w:hideMark/>
          </w:tcPr>
          <w:p w14:paraId="4DF7684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2767306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P-532-14</w:t>
            </w:r>
          </w:p>
        </w:tc>
        <w:tc>
          <w:tcPr>
            <w:tcW w:w="1097" w:type="dxa"/>
            <w:noWrap/>
            <w:vAlign w:val="bottom"/>
            <w:hideMark/>
          </w:tcPr>
          <w:p w14:paraId="3CB8880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0E475F9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8559FA6" w14:textId="77777777" w:rsidTr="008B7C11">
        <w:trPr>
          <w:trHeight w:val="600"/>
        </w:trPr>
        <w:tc>
          <w:tcPr>
            <w:tcW w:w="958" w:type="dxa"/>
            <w:noWrap/>
            <w:vAlign w:val="center"/>
            <w:hideMark/>
          </w:tcPr>
          <w:p w14:paraId="291094A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599</w:t>
            </w:r>
          </w:p>
        </w:tc>
        <w:tc>
          <w:tcPr>
            <w:tcW w:w="1718" w:type="dxa"/>
            <w:noWrap/>
            <w:vAlign w:val="bottom"/>
            <w:hideMark/>
          </w:tcPr>
          <w:p w14:paraId="7C24622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AD6399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P-65-14</w:t>
            </w:r>
          </w:p>
        </w:tc>
        <w:tc>
          <w:tcPr>
            <w:tcW w:w="1097" w:type="dxa"/>
            <w:noWrap/>
            <w:vAlign w:val="bottom"/>
            <w:hideMark/>
          </w:tcPr>
          <w:p w14:paraId="276B9A4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660AD33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09F185C" w14:textId="77777777" w:rsidTr="008B7C11">
        <w:trPr>
          <w:trHeight w:val="600"/>
        </w:trPr>
        <w:tc>
          <w:tcPr>
            <w:tcW w:w="958" w:type="dxa"/>
            <w:noWrap/>
            <w:vAlign w:val="center"/>
            <w:hideMark/>
          </w:tcPr>
          <w:p w14:paraId="17DA85C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600</w:t>
            </w:r>
          </w:p>
        </w:tc>
        <w:tc>
          <w:tcPr>
            <w:tcW w:w="1718" w:type="dxa"/>
            <w:noWrap/>
            <w:vAlign w:val="bottom"/>
            <w:hideMark/>
          </w:tcPr>
          <w:p w14:paraId="354A573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0001B15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P-1813-16</w:t>
            </w:r>
          </w:p>
        </w:tc>
        <w:tc>
          <w:tcPr>
            <w:tcW w:w="1097" w:type="dxa"/>
            <w:noWrap/>
            <w:vAlign w:val="bottom"/>
            <w:hideMark/>
          </w:tcPr>
          <w:p w14:paraId="5BFD9CA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2B6F1C5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CC77CD5" w14:textId="77777777" w:rsidTr="008B7C11">
        <w:trPr>
          <w:trHeight w:val="600"/>
        </w:trPr>
        <w:tc>
          <w:tcPr>
            <w:tcW w:w="958" w:type="dxa"/>
            <w:noWrap/>
            <w:vAlign w:val="center"/>
            <w:hideMark/>
          </w:tcPr>
          <w:p w14:paraId="52766AB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601</w:t>
            </w:r>
          </w:p>
        </w:tc>
        <w:tc>
          <w:tcPr>
            <w:tcW w:w="1718" w:type="dxa"/>
            <w:noWrap/>
            <w:vAlign w:val="bottom"/>
            <w:hideMark/>
          </w:tcPr>
          <w:p w14:paraId="23E8105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8C8E0F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P-79-16</w:t>
            </w:r>
          </w:p>
        </w:tc>
        <w:tc>
          <w:tcPr>
            <w:tcW w:w="1097" w:type="dxa"/>
            <w:noWrap/>
            <w:vAlign w:val="bottom"/>
            <w:hideMark/>
          </w:tcPr>
          <w:p w14:paraId="6D6AE5A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38FA136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99D7C8C" w14:textId="77777777" w:rsidTr="008B7C11">
        <w:trPr>
          <w:trHeight w:val="600"/>
        </w:trPr>
        <w:tc>
          <w:tcPr>
            <w:tcW w:w="958" w:type="dxa"/>
            <w:noWrap/>
            <w:vAlign w:val="center"/>
            <w:hideMark/>
          </w:tcPr>
          <w:p w14:paraId="3C0CE17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602</w:t>
            </w:r>
          </w:p>
        </w:tc>
        <w:tc>
          <w:tcPr>
            <w:tcW w:w="1718" w:type="dxa"/>
            <w:noWrap/>
            <w:vAlign w:val="bottom"/>
            <w:hideMark/>
          </w:tcPr>
          <w:p w14:paraId="5532E6F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CD2EC1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P-1508-13</w:t>
            </w:r>
          </w:p>
        </w:tc>
        <w:tc>
          <w:tcPr>
            <w:tcW w:w="1097" w:type="dxa"/>
            <w:noWrap/>
            <w:vAlign w:val="bottom"/>
            <w:hideMark/>
          </w:tcPr>
          <w:p w14:paraId="62B90DB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704F347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B359318" w14:textId="77777777" w:rsidTr="008B7C11">
        <w:trPr>
          <w:trHeight w:val="600"/>
        </w:trPr>
        <w:tc>
          <w:tcPr>
            <w:tcW w:w="958" w:type="dxa"/>
            <w:noWrap/>
            <w:vAlign w:val="center"/>
            <w:hideMark/>
          </w:tcPr>
          <w:p w14:paraId="19BFD84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603</w:t>
            </w:r>
          </w:p>
        </w:tc>
        <w:tc>
          <w:tcPr>
            <w:tcW w:w="1718" w:type="dxa"/>
            <w:noWrap/>
            <w:vAlign w:val="bottom"/>
            <w:hideMark/>
          </w:tcPr>
          <w:p w14:paraId="6FDA132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1C1ECCA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P-839-16</w:t>
            </w:r>
          </w:p>
        </w:tc>
        <w:tc>
          <w:tcPr>
            <w:tcW w:w="1097" w:type="dxa"/>
            <w:noWrap/>
            <w:vAlign w:val="bottom"/>
            <w:hideMark/>
          </w:tcPr>
          <w:p w14:paraId="649E607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2AE76C6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DBE985B" w14:textId="77777777" w:rsidTr="008B7C11">
        <w:trPr>
          <w:trHeight w:val="600"/>
        </w:trPr>
        <w:tc>
          <w:tcPr>
            <w:tcW w:w="958" w:type="dxa"/>
            <w:noWrap/>
            <w:vAlign w:val="center"/>
            <w:hideMark/>
          </w:tcPr>
          <w:p w14:paraId="2158A8A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604</w:t>
            </w:r>
          </w:p>
        </w:tc>
        <w:tc>
          <w:tcPr>
            <w:tcW w:w="1718" w:type="dxa"/>
            <w:noWrap/>
            <w:vAlign w:val="bottom"/>
            <w:hideMark/>
          </w:tcPr>
          <w:p w14:paraId="614A091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MEXICO</w:t>
            </w:r>
          </w:p>
        </w:tc>
        <w:tc>
          <w:tcPr>
            <w:tcW w:w="2712" w:type="dxa"/>
            <w:noWrap/>
            <w:vAlign w:val="bottom"/>
            <w:hideMark/>
          </w:tcPr>
          <w:p w14:paraId="704AD68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P-603-17</w:t>
            </w:r>
          </w:p>
        </w:tc>
        <w:tc>
          <w:tcPr>
            <w:tcW w:w="1097" w:type="dxa"/>
            <w:noWrap/>
            <w:vAlign w:val="bottom"/>
            <w:hideMark/>
          </w:tcPr>
          <w:p w14:paraId="02159EF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1281199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7D60EEA" w14:textId="77777777" w:rsidTr="008B7C11">
        <w:trPr>
          <w:trHeight w:val="600"/>
        </w:trPr>
        <w:tc>
          <w:tcPr>
            <w:tcW w:w="958" w:type="dxa"/>
            <w:noWrap/>
            <w:vAlign w:val="center"/>
            <w:hideMark/>
          </w:tcPr>
          <w:p w14:paraId="13E7D33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605</w:t>
            </w:r>
          </w:p>
        </w:tc>
        <w:tc>
          <w:tcPr>
            <w:tcW w:w="1718" w:type="dxa"/>
            <w:noWrap/>
            <w:vAlign w:val="bottom"/>
            <w:hideMark/>
          </w:tcPr>
          <w:p w14:paraId="3F9FD8D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NICARAGUA</w:t>
            </w:r>
          </w:p>
        </w:tc>
        <w:tc>
          <w:tcPr>
            <w:tcW w:w="2712" w:type="dxa"/>
            <w:noWrap/>
            <w:vAlign w:val="bottom"/>
            <w:hideMark/>
          </w:tcPr>
          <w:p w14:paraId="724EE92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P-1457-14</w:t>
            </w:r>
          </w:p>
        </w:tc>
        <w:tc>
          <w:tcPr>
            <w:tcW w:w="1097" w:type="dxa"/>
            <w:noWrap/>
            <w:vAlign w:val="bottom"/>
            <w:hideMark/>
          </w:tcPr>
          <w:p w14:paraId="5854563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367C40F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8993D03" w14:textId="77777777" w:rsidTr="008B7C11">
        <w:trPr>
          <w:trHeight w:val="600"/>
        </w:trPr>
        <w:tc>
          <w:tcPr>
            <w:tcW w:w="958" w:type="dxa"/>
            <w:noWrap/>
            <w:vAlign w:val="center"/>
            <w:hideMark/>
          </w:tcPr>
          <w:p w14:paraId="4A06FB2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606</w:t>
            </w:r>
          </w:p>
        </w:tc>
        <w:tc>
          <w:tcPr>
            <w:tcW w:w="1718" w:type="dxa"/>
            <w:noWrap/>
            <w:vAlign w:val="bottom"/>
            <w:hideMark/>
          </w:tcPr>
          <w:p w14:paraId="08DDE05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NICARAGUA</w:t>
            </w:r>
          </w:p>
        </w:tc>
        <w:tc>
          <w:tcPr>
            <w:tcW w:w="2712" w:type="dxa"/>
            <w:noWrap/>
            <w:vAlign w:val="bottom"/>
            <w:hideMark/>
          </w:tcPr>
          <w:p w14:paraId="42F3FC9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P-1028-15</w:t>
            </w:r>
          </w:p>
        </w:tc>
        <w:tc>
          <w:tcPr>
            <w:tcW w:w="1097" w:type="dxa"/>
            <w:noWrap/>
            <w:vAlign w:val="bottom"/>
            <w:hideMark/>
          </w:tcPr>
          <w:p w14:paraId="252CF86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49435ED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0E1C37E" w14:textId="77777777" w:rsidTr="008B7C11">
        <w:trPr>
          <w:trHeight w:val="600"/>
        </w:trPr>
        <w:tc>
          <w:tcPr>
            <w:tcW w:w="958" w:type="dxa"/>
            <w:noWrap/>
            <w:vAlign w:val="center"/>
            <w:hideMark/>
          </w:tcPr>
          <w:p w14:paraId="69C661B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607</w:t>
            </w:r>
          </w:p>
        </w:tc>
        <w:tc>
          <w:tcPr>
            <w:tcW w:w="1718" w:type="dxa"/>
            <w:noWrap/>
            <w:vAlign w:val="bottom"/>
            <w:hideMark/>
          </w:tcPr>
          <w:p w14:paraId="7A9EE00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NICARAGUA</w:t>
            </w:r>
          </w:p>
        </w:tc>
        <w:tc>
          <w:tcPr>
            <w:tcW w:w="2712" w:type="dxa"/>
            <w:noWrap/>
            <w:vAlign w:val="bottom"/>
            <w:hideMark/>
          </w:tcPr>
          <w:p w14:paraId="3C062C4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P-2110-12</w:t>
            </w:r>
          </w:p>
        </w:tc>
        <w:tc>
          <w:tcPr>
            <w:tcW w:w="1097" w:type="dxa"/>
            <w:noWrap/>
            <w:vAlign w:val="bottom"/>
            <w:hideMark/>
          </w:tcPr>
          <w:p w14:paraId="53DCE29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12</w:t>
            </w:r>
          </w:p>
        </w:tc>
        <w:tc>
          <w:tcPr>
            <w:tcW w:w="2600" w:type="dxa"/>
            <w:vAlign w:val="center"/>
            <w:hideMark/>
          </w:tcPr>
          <w:p w14:paraId="5BED123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6B54AE3" w14:textId="77777777" w:rsidTr="008B7C11">
        <w:trPr>
          <w:trHeight w:val="600"/>
        </w:trPr>
        <w:tc>
          <w:tcPr>
            <w:tcW w:w="958" w:type="dxa"/>
            <w:noWrap/>
            <w:vAlign w:val="center"/>
            <w:hideMark/>
          </w:tcPr>
          <w:p w14:paraId="601592F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608</w:t>
            </w:r>
          </w:p>
        </w:tc>
        <w:tc>
          <w:tcPr>
            <w:tcW w:w="1718" w:type="dxa"/>
            <w:noWrap/>
            <w:vAlign w:val="bottom"/>
            <w:hideMark/>
          </w:tcPr>
          <w:p w14:paraId="36B4C21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NICARAGUA</w:t>
            </w:r>
          </w:p>
        </w:tc>
        <w:tc>
          <w:tcPr>
            <w:tcW w:w="2712" w:type="dxa"/>
            <w:noWrap/>
            <w:vAlign w:val="bottom"/>
            <w:hideMark/>
          </w:tcPr>
          <w:p w14:paraId="4F85A49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P-1063-18</w:t>
            </w:r>
          </w:p>
        </w:tc>
        <w:tc>
          <w:tcPr>
            <w:tcW w:w="1097" w:type="dxa"/>
            <w:noWrap/>
            <w:vAlign w:val="bottom"/>
            <w:hideMark/>
          </w:tcPr>
          <w:p w14:paraId="550851A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18</w:t>
            </w:r>
          </w:p>
        </w:tc>
        <w:tc>
          <w:tcPr>
            <w:tcW w:w="2600" w:type="dxa"/>
            <w:vAlign w:val="center"/>
            <w:hideMark/>
          </w:tcPr>
          <w:p w14:paraId="3B3260B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2CEB1A0" w14:textId="77777777" w:rsidTr="008B7C11">
        <w:trPr>
          <w:trHeight w:val="600"/>
        </w:trPr>
        <w:tc>
          <w:tcPr>
            <w:tcW w:w="958" w:type="dxa"/>
            <w:noWrap/>
            <w:vAlign w:val="center"/>
            <w:hideMark/>
          </w:tcPr>
          <w:p w14:paraId="4406AA5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609</w:t>
            </w:r>
          </w:p>
        </w:tc>
        <w:tc>
          <w:tcPr>
            <w:tcW w:w="1718" w:type="dxa"/>
            <w:noWrap/>
            <w:vAlign w:val="bottom"/>
            <w:hideMark/>
          </w:tcPr>
          <w:p w14:paraId="4EC207E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PANAMA</w:t>
            </w:r>
          </w:p>
        </w:tc>
        <w:tc>
          <w:tcPr>
            <w:tcW w:w="2712" w:type="dxa"/>
            <w:noWrap/>
            <w:vAlign w:val="bottom"/>
            <w:hideMark/>
          </w:tcPr>
          <w:p w14:paraId="04B5EE2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P-2219-17</w:t>
            </w:r>
          </w:p>
        </w:tc>
        <w:tc>
          <w:tcPr>
            <w:tcW w:w="1097" w:type="dxa"/>
            <w:noWrap/>
            <w:vAlign w:val="bottom"/>
            <w:hideMark/>
          </w:tcPr>
          <w:p w14:paraId="527E21B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4BE0314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CA686DD" w14:textId="77777777" w:rsidTr="008B7C11">
        <w:trPr>
          <w:trHeight w:val="600"/>
        </w:trPr>
        <w:tc>
          <w:tcPr>
            <w:tcW w:w="958" w:type="dxa"/>
            <w:noWrap/>
            <w:vAlign w:val="center"/>
            <w:hideMark/>
          </w:tcPr>
          <w:p w14:paraId="7E81429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610</w:t>
            </w:r>
          </w:p>
        </w:tc>
        <w:tc>
          <w:tcPr>
            <w:tcW w:w="1718" w:type="dxa"/>
            <w:noWrap/>
            <w:vAlign w:val="bottom"/>
            <w:hideMark/>
          </w:tcPr>
          <w:p w14:paraId="3FE51B5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PANAMA</w:t>
            </w:r>
          </w:p>
        </w:tc>
        <w:tc>
          <w:tcPr>
            <w:tcW w:w="2712" w:type="dxa"/>
            <w:noWrap/>
            <w:vAlign w:val="bottom"/>
            <w:hideMark/>
          </w:tcPr>
          <w:p w14:paraId="535682C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P-2600-16</w:t>
            </w:r>
          </w:p>
        </w:tc>
        <w:tc>
          <w:tcPr>
            <w:tcW w:w="1097" w:type="dxa"/>
            <w:noWrap/>
            <w:vAlign w:val="bottom"/>
            <w:hideMark/>
          </w:tcPr>
          <w:p w14:paraId="38E4635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2CC3BFE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C5DFF59" w14:textId="77777777" w:rsidTr="008B7C11">
        <w:trPr>
          <w:trHeight w:val="600"/>
        </w:trPr>
        <w:tc>
          <w:tcPr>
            <w:tcW w:w="958" w:type="dxa"/>
            <w:noWrap/>
            <w:vAlign w:val="center"/>
            <w:hideMark/>
          </w:tcPr>
          <w:p w14:paraId="4B90CD1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611</w:t>
            </w:r>
          </w:p>
        </w:tc>
        <w:tc>
          <w:tcPr>
            <w:tcW w:w="1718" w:type="dxa"/>
            <w:noWrap/>
            <w:vAlign w:val="bottom"/>
            <w:hideMark/>
          </w:tcPr>
          <w:p w14:paraId="0D18A82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PANAMA</w:t>
            </w:r>
          </w:p>
        </w:tc>
        <w:tc>
          <w:tcPr>
            <w:tcW w:w="2712" w:type="dxa"/>
            <w:noWrap/>
            <w:vAlign w:val="bottom"/>
            <w:hideMark/>
          </w:tcPr>
          <w:p w14:paraId="05F6930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P-1818-14</w:t>
            </w:r>
          </w:p>
        </w:tc>
        <w:tc>
          <w:tcPr>
            <w:tcW w:w="1097" w:type="dxa"/>
            <w:noWrap/>
            <w:vAlign w:val="bottom"/>
            <w:hideMark/>
          </w:tcPr>
          <w:p w14:paraId="5F72CD8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524496E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8D7BBF7" w14:textId="77777777" w:rsidTr="008B7C11">
        <w:trPr>
          <w:trHeight w:val="600"/>
        </w:trPr>
        <w:tc>
          <w:tcPr>
            <w:tcW w:w="958" w:type="dxa"/>
            <w:noWrap/>
            <w:vAlign w:val="center"/>
            <w:hideMark/>
          </w:tcPr>
          <w:p w14:paraId="2D19D49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612</w:t>
            </w:r>
          </w:p>
        </w:tc>
        <w:tc>
          <w:tcPr>
            <w:tcW w:w="1718" w:type="dxa"/>
            <w:noWrap/>
            <w:vAlign w:val="bottom"/>
            <w:hideMark/>
          </w:tcPr>
          <w:p w14:paraId="52FDAE3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PANAMA</w:t>
            </w:r>
          </w:p>
        </w:tc>
        <w:tc>
          <w:tcPr>
            <w:tcW w:w="2712" w:type="dxa"/>
            <w:noWrap/>
            <w:vAlign w:val="bottom"/>
            <w:hideMark/>
          </w:tcPr>
          <w:p w14:paraId="6910B25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P-515-14</w:t>
            </w:r>
          </w:p>
        </w:tc>
        <w:tc>
          <w:tcPr>
            <w:tcW w:w="1097" w:type="dxa"/>
            <w:noWrap/>
            <w:vAlign w:val="bottom"/>
            <w:hideMark/>
          </w:tcPr>
          <w:p w14:paraId="4096AF5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6FD065A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B1FE8B8" w14:textId="77777777" w:rsidTr="008B7C11">
        <w:trPr>
          <w:trHeight w:val="600"/>
        </w:trPr>
        <w:tc>
          <w:tcPr>
            <w:tcW w:w="958" w:type="dxa"/>
            <w:noWrap/>
            <w:vAlign w:val="center"/>
            <w:hideMark/>
          </w:tcPr>
          <w:p w14:paraId="7752AA8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613</w:t>
            </w:r>
          </w:p>
        </w:tc>
        <w:tc>
          <w:tcPr>
            <w:tcW w:w="1718" w:type="dxa"/>
            <w:noWrap/>
            <w:vAlign w:val="bottom"/>
            <w:hideMark/>
          </w:tcPr>
          <w:p w14:paraId="3965C96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PANAMA</w:t>
            </w:r>
          </w:p>
        </w:tc>
        <w:tc>
          <w:tcPr>
            <w:tcW w:w="2712" w:type="dxa"/>
            <w:noWrap/>
            <w:vAlign w:val="bottom"/>
            <w:hideMark/>
          </w:tcPr>
          <w:p w14:paraId="10ED2B2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P-700-17</w:t>
            </w:r>
          </w:p>
        </w:tc>
        <w:tc>
          <w:tcPr>
            <w:tcW w:w="1097" w:type="dxa"/>
            <w:noWrap/>
            <w:vAlign w:val="bottom"/>
            <w:hideMark/>
          </w:tcPr>
          <w:p w14:paraId="759D0E6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253E1E5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DD33482" w14:textId="77777777" w:rsidTr="008B7C11">
        <w:trPr>
          <w:trHeight w:val="600"/>
        </w:trPr>
        <w:tc>
          <w:tcPr>
            <w:tcW w:w="958" w:type="dxa"/>
            <w:noWrap/>
            <w:vAlign w:val="center"/>
            <w:hideMark/>
          </w:tcPr>
          <w:p w14:paraId="722FBC3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614</w:t>
            </w:r>
          </w:p>
        </w:tc>
        <w:tc>
          <w:tcPr>
            <w:tcW w:w="1718" w:type="dxa"/>
            <w:noWrap/>
            <w:vAlign w:val="bottom"/>
            <w:hideMark/>
          </w:tcPr>
          <w:p w14:paraId="2C55C23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PARAGUAY</w:t>
            </w:r>
          </w:p>
        </w:tc>
        <w:tc>
          <w:tcPr>
            <w:tcW w:w="2712" w:type="dxa"/>
            <w:noWrap/>
            <w:vAlign w:val="bottom"/>
            <w:hideMark/>
          </w:tcPr>
          <w:p w14:paraId="7107644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P-1140-16</w:t>
            </w:r>
          </w:p>
        </w:tc>
        <w:tc>
          <w:tcPr>
            <w:tcW w:w="1097" w:type="dxa"/>
            <w:noWrap/>
            <w:vAlign w:val="bottom"/>
            <w:hideMark/>
          </w:tcPr>
          <w:p w14:paraId="439FFF5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6C149CE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FFEED44" w14:textId="77777777" w:rsidTr="008B7C11">
        <w:trPr>
          <w:trHeight w:val="600"/>
        </w:trPr>
        <w:tc>
          <w:tcPr>
            <w:tcW w:w="958" w:type="dxa"/>
            <w:noWrap/>
            <w:vAlign w:val="center"/>
            <w:hideMark/>
          </w:tcPr>
          <w:p w14:paraId="5A92583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615</w:t>
            </w:r>
          </w:p>
        </w:tc>
        <w:tc>
          <w:tcPr>
            <w:tcW w:w="1718" w:type="dxa"/>
            <w:noWrap/>
            <w:vAlign w:val="bottom"/>
            <w:hideMark/>
          </w:tcPr>
          <w:p w14:paraId="3B4FDD2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PARAGUAY</w:t>
            </w:r>
          </w:p>
        </w:tc>
        <w:tc>
          <w:tcPr>
            <w:tcW w:w="2712" w:type="dxa"/>
            <w:noWrap/>
            <w:vAlign w:val="bottom"/>
            <w:hideMark/>
          </w:tcPr>
          <w:p w14:paraId="01E2DA9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P-713-10</w:t>
            </w:r>
          </w:p>
        </w:tc>
        <w:tc>
          <w:tcPr>
            <w:tcW w:w="1097" w:type="dxa"/>
            <w:noWrap/>
            <w:vAlign w:val="bottom"/>
            <w:hideMark/>
          </w:tcPr>
          <w:p w14:paraId="76E95F2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10</w:t>
            </w:r>
          </w:p>
        </w:tc>
        <w:tc>
          <w:tcPr>
            <w:tcW w:w="2600" w:type="dxa"/>
            <w:vAlign w:val="center"/>
            <w:hideMark/>
          </w:tcPr>
          <w:p w14:paraId="71F5064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DB73547" w14:textId="77777777" w:rsidTr="008B7C11">
        <w:trPr>
          <w:trHeight w:val="600"/>
        </w:trPr>
        <w:tc>
          <w:tcPr>
            <w:tcW w:w="958" w:type="dxa"/>
            <w:noWrap/>
            <w:vAlign w:val="center"/>
            <w:hideMark/>
          </w:tcPr>
          <w:p w14:paraId="51E1464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616</w:t>
            </w:r>
          </w:p>
        </w:tc>
        <w:tc>
          <w:tcPr>
            <w:tcW w:w="1718" w:type="dxa"/>
            <w:noWrap/>
            <w:vAlign w:val="bottom"/>
            <w:hideMark/>
          </w:tcPr>
          <w:p w14:paraId="4A53212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PARAGUAY</w:t>
            </w:r>
          </w:p>
        </w:tc>
        <w:tc>
          <w:tcPr>
            <w:tcW w:w="2712" w:type="dxa"/>
            <w:noWrap/>
            <w:vAlign w:val="bottom"/>
            <w:hideMark/>
          </w:tcPr>
          <w:p w14:paraId="722C014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P-1218-07</w:t>
            </w:r>
          </w:p>
        </w:tc>
        <w:tc>
          <w:tcPr>
            <w:tcW w:w="1097" w:type="dxa"/>
            <w:noWrap/>
            <w:vAlign w:val="bottom"/>
            <w:hideMark/>
          </w:tcPr>
          <w:p w14:paraId="1D39E36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7</w:t>
            </w:r>
          </w:p>
        </w:tc>
        <w:tc>
          <w:tcPr>
            <w:tcW w:w="2600" w:type="dxa"/>
            <w:vAlign w:val="center"/>
            <w:hideMark/>
          </w:tcPr>
          <w:p w14:paraId="50D59B6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2ACFABA" w14:textId="77777777" w:rsidTr="008B7C11">
        <w:trPr>
          <w:trHeight w:val="600"/>
        </w:trPr>
        <w:tc>
          <w:tcPr>
            <w:tcW w:w="958" w:type="dxa"/>
            <w:noWrap/>
            <w:vAlign w:val="center"/>
            <w:hideMark/>
          </w:tcPr>
          <w:p w14:paraId="6883B87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617</w:t>
            </w:r>
          </w:p>
        </w:tc>
        <w:tc>
          <w:tcPr>
            <w:tcW w:w="1718" w:type="dxa"/>
            <w:noWrap/>
            <w:vAlign w:val="bottom"/>
            <w:hideMark/>
          </w:tcPr>
          <w:p w14:paraId="2049692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PERU</w:t>
            </w:r>
          </w:p>
        </w:tc>
        <w:tc>
          <w:tcPr>
            <w:tcW w:w="2712" w:type="dxa"/>
            <w:noWrap/>
            <w:vAlign w:val="bottom"/>
            <w:hideMark/>
          </w:tcPr>
          <w:p w14:paraId="3B52E90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P-1407-14</w:t>
            </w:r>
          </w:p>
        </w:tc>
        <w:tc>
          <w:tcPr>
            <w:tcW w:w="1097" w:type="dxa"/>
            <w:noWrap/>
            <w:vAlign w:val="bottom"/>
            <w:hideMark/>
          </w:tcPr>
          <w:p w14:paraId="76C2D42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2B5122B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A845AC5" w14:textId="77777777" w:rsidTr="008B7C11">
        <w:trPr>
          <w:trHeight w:val="600"/>
        </w:trPr>
        <w:tc>
          <w:tcPr>
            <w:tcW w:w="958" w:type="dxa"/>
            <w:noWrap/>
            <w:vAlign w:val="center"/>
            <w:hideMark/>
          </w:tcPr>
          <w:p w14:paraId="211B994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618</w:t>
            </w:r>
          </w:p>
        </w:tc>
        <w:tc>
          <w:tcPr>
            <w:tcW w:w="1718" w:type="dxa"/>
            <w:noWrap/>
            <w:vAlign w:val="bottom"/>
            <w:hideMark/>
          </w:tcPr>
          <w:p w14:paraId="3AD3D4E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PERU</w:t>
            </w:r>
          </w:p>
        </w:tc>
        <w:tc>
          <w:tcPr>
            <w:tcW w:w="2712" w:type="dxa"/>
            <w:noWrap/>
            <w:vAlign w:val="bottom"/>
            <w:hideMark/>
          </w:tcPr>
          <w:p w14:paraId="6B9B0D1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P-1014-17</w:t>
            </w:r>
          </w:p>
        </w:tc>
        <w:tc>
          <w:tcPr>
            <w:tcW w:w="1097" w:type="dxa"/>
            <w:noWrap/>
            <w:vAlign w:val="bottom"/>
            <w:hideMark/>
          </w:tcPr>
          <w:p w14:paraId="3651F22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0C401C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AAA4B57" w14:textId="77777777" w:rsidTr="008B7C11">
        <w:trPr>
          <w:trHeight w:val="600"/>
        </w:trPr>
        <w:tc>
          <w:tcPr>
            <w:tcW w:w="958" w:type="dxa"/>
            <w:noWrap/>
            <w:vAlign w:val="center"/>
            <w:hideMark/>
          </w:tcPr>
          <w:p w14:paraId="429B3BF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619</w:t>
            </w:r>
          </w:p>
        </w:tc>
        <w:tc>
          <w:tcPr>
            <w:tcW w:w="1718" w:type="dxa"/>
            <w:noWrap/>
            <w:vAlign w:val="bottom"/>
            <w:hideMark/>
          </w:tcPr>
          <w:p w14:paraId="5858569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PERU</w:t>
            </w:r>
          </w:p>
        </w:tc>
        <w:tc>
          <w:tcPr>
            <w:tcW w:w="2712" w:type="dxa"/>
            <w:noWrap/>
            <w:vAlign w:val="bottom"/>
            <w:hideMark/>
          </w:tcPr>
          <w:p w14:paraId="4FFF7D6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P-646-17</w:t>
            </w:r>
          </w:p>
        </w:tc>
        <w:tc>
          <w:tcPr>
            <w:tcW w:w="1097" w:type="dxa"/>
            <w:noWrap/>
            <w:vAlign w:val="bottom"/>
            <w:hideMark/>
          </w:tcPr>
          <w:p w14:paraId="1779E2D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3A00C5A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018ADBFB" w14:textId="77777777" w:rsidTr="008B7C11">
        <w:trPr>
          <w:trHeight w:val="600"/>
        </w:trPr>
        <w:tc>
          <w:tcPr>
            <w:tcW w:w="958" w:type="dxa"/>
            <w:noWrap/>
            <w:vAlign w:val="center"/>
            <w:hideMark/>
          </w:tcPr>
          <w:p w14:paraId="021915A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620</w:t>
            </w:r>
          </w:p>
        </w:tc>
        <w:tc>
          <w:tcPr>
            <w:tcW w:w="1718" w:type="dxa"/>
            <w:noWrap/>
            <w:vAlign w:val="bottom"/>
            <w:hideMark/>
          </w:tcPr>
          <w:p w14:paraId="175FB73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PERU</w:t>
            </w:r>
          </w:p>
        </w:tc>
        <w:tc>
          <w:tcPr>
            <w:tcW w:w="2712" w:type="dxa"/>
            <w:noWrap/>
            <w:vAlign w:val="bottom"/>
            <w:hideMark/>
          </w:tcPr>
          <w:p w14:paraId="4E04071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P-1510-14</w:t>
            </w:r>
          </w:p>
        </w:tc>
        <w:tc>
          <w:tcPr>
            <w:tcW w:w="1097" w:type="dxa"/>
            <w:noWrap/>
            <w:vAlign w:val="bottom"/>
            <w:hideMark/>
          </w:tcPr>
          <w:p w14:paraId="0B907C2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40F7E7F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1FCB95AF" w14:textId="77777777" w:rsidTr="008B7C11">
        <w:trPr>
          <w:trHeight w:val="600"/>
        </w:trPr>
        <w:tc>
          <w:tcPr>
            <w:tcW w:w="958" w:type="dxa"/>
            <w:noWrap/>
            <w:vAlign w:val="center"/>
            <w:hideMark/>
          </w:tcPr>
          <w:p w14:paraId="4725D93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621</w:t>
            </w:r>
          </w:p>
        </w:tc>
        <w:tc>
          <w:tcPr>
            <w:tcW w:w="1718" w:type="dxa"/>
            <w:noWrap/>
            <w:vAlign w:val="bottom"/>
            <w:hideMark/>
          </w:tcPr>
          <w:p w14:paraId="120AF33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PERU</w:t>
            </w:r>
          </w:p>
        </w:tc>
        <w:tc>
          <w:tcPr>
            <w:tcW w:w="2712" w:type="dxa"/>
            <w:noWrap/>
            <w:vAlign w:val="bottom"/>
            <w:hideMark/>
          </w:tcPr>
          <w:p w14:paraId="4920666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P-1573-17</w:t>
            </w:r>
          </w:p>
        </w:tc>
        <w:tc>
          <w:tcPr>
            <w:tcW w:w="1097" w:type="dxa"/>
            <w:noWrap/>
            <w:vAlign w:val="bottom"/>
            <w:hideMark/>
          </w:tcPr>
          <w:p w14:paraId="7B067CA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42E9D63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52D058A" w14:textId="77777777" w:rsidTr="008B7C11">
        <w:trPr>
          <w:trHeight w:val="600"/>
        </w:trPr>
        <w:tc>
          <w:tcPr>
            <w:tcW w:w="958" w:type="dxa"/>
            <w:noWrap/>
            <w:vAlign w:val="center"/>
            <w:hideMark/>
          </w:tcPr>
          <w:p w14:paraId="603A19A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622</w:t>
            </w:r>
          </w:p>
        </w:tc>
        <w:tc>
          <w:tcPr>
            <w:tcW w:w="1718" w:type="dxa"/>
            <w:noWrap/>
            <w:vAlign w:val="bottom"/>
            <w:hideMark/>
          </w:tcPr>
          <w:p w14:paraId="2FF7665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PERU</w:t>
            </w:r>
          </w:p>
        </w:tc>
        <w:tc>
          <w:tcPr>
            <w:tcW w:w="2712" w:type="dxa"/>
            <w:noWrap/>
            <w:vAlign w:val="bottom"/>
            <w:hideMark/>
          </w:tcPr>
          <w:p w14:paraId="411E4B2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P-680-17</w:t>
            </w:r>
          </w:p>
        </w:tc>
        <w:tc>
          <w:tcPr>
            <w:tcW w:w="1097" w:type="dxa"/>
            <w:noWrap/>
            <w:vAlign w:val="bottom"/>
            <w:hideMark/>
          </w:tcPr>
          <w:p w14:paraId="4235394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0EE3688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6864E9C" w14:textId="77777777" w:rsidTr="008B7C11">
        <w:trPr>
          <w:trHeight w:val="600"/>
        </w:trPr>
        <w:tc>
          <w:tcPr>
            <w:tcW w:w="958" w:type="dxa"/>
            <w:noWrap/>
            <w:vAlign w:val="center"/>
            <w:hideMark/>
          </w:tcPr>
          <w:p w14:paraId="6B3A4F7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623</w:t>
            </w:r>
          </w:p>
        </w:tc>
        <w:tc>
          <w:tcPr>
            <w:tcW w:w="1718" w:type="dxa"/>
            <w:noWrap/>
            <w:vAlign w:val="bottom"/>
            <w:hideMark/>
          </w:tcPr>
          <w:p w14:paraId="37070A8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PERU</w:t>
            </w:r>
          </w:p>
        </w:tc>
        <w:tc>
          <w:tcPr>
            <w:tcW w:w="2712" w:type="dxa"/>
            <w:noWrap/>
            <w:vAlign w:val="bottom"/>
            <w:hideMark/>
          </w:tcPr>
          <w:p w14:paraId="242CB55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P-2259-13</w:t>
            </w:r>
          </w:p>
        </w:tc>
        <w:tc>
          <w:tcPr>
            <w:tcW w:w="1097" w:type="dxa"/>
            <w:noWrap/>
            <w:vAlign w:val="bottom"/>
            <w:hideMark/>
          </w:tcPr>
          <w:p w14:paraId="6235969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3CDEB30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3074F85" w14:textId="77777777" w:rsidTr="008B7C11">
        <w:trPr>
          <w:trHeight w:val="600"/>
        </w:trPr>
        <w:tc>
          <w:tcPr>
            <w:tcW w:w="958" w:type="dxa"/>
            <w:noWrap/>
            <w:vAlign w:val="center"/>
            <w:hideMark/>
          </w:tcPr>
          <w:p w14:paraId="29828C5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624</w:t>
            </w:r>
          </w:p>
        </w:tc>
        <w:tc>
          <w:tcPr>
            <w:tcW w:w="1718" w:type="dxa"/>
            <w:noWrap/>
            <w:vAlign w:val="bottom"/>
            <w:hideMark/>
          </w:tcPr>
          <w:p w14:paraId="104DCA8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PERU</w:t>
            </w:r>
          </w:p>
        </w:tc>
        <w:tc>
          <w:tcPr>
            <w:tcW w:w="2712" w:type="dxa"/>
            <w:noWrap/>
            <w:vAlign w:val="bottom"/>
            <w:hideMark/>
          </w:tcPr>
          <w:p w14:paraId="135E90D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P-1434-16</w:t>
            </w:r>
          </w:p>
        </w:tc>
        <w:tc>
          <w:tcPr>
            <w:tcW w:w="1097" w:type="dxa"/>
            <w:noWrap/>
            <w:vAlign w:val="bottom"/>
            <w:hideMark/>
          </w:tcPr>
          <w:p w14:paraId="2DE7DAC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32C1E1F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3AF3542" w14:textId="77777777" w:rsidTr="008B7C11">
        <w:trPr>
          <w:trHeight w:val="600"/>
        </w:trPr>
        <w:tc>
          <w:tcPr>
            <w:tcW w:w="958" w:type="dxa"/>
            <w:noWrap/>
            <w:vAlign w:val="center"/>
            <w:hideMark/>
          </w:tcPr>
          <w:p w14:paraId="5A828C6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625</w:t>
            </w:r>
          </w:p>
        </w:tc>
        <w:tc>
          <w:tcPr>
            <w:tcW w:w="1718" w:type="dxa"/>
            <w:noWrap/>
            <w:vAlign w:val="bottom"/>
            <w:hideMark/>
          </w:tcPr>
          <w:p w14:paraId="5D50A17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PERU</w:t>
            </w:r>
          </w:p>
        </w:tc>
        <w:tc>
          <w:tcPr>
            <w:tcW w:w="2712" w:type="dxa"/>
            <w:noWrap/>
            <w:vAlign w:val="bottom"/>
            <w:hideMark/>
          </w:tcPr>
          <w:p w14:paraId="794EEA2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P-1106-15</w:t>
            </w:r>
          </w:p>
        </w:tc>
        <w:tc>
          <w:tcPr>
            <w:tcW w:w="1097" w:type="dxa"/>
            <w:noWrap/>
            <w:vAlign w:val="bottom"/>
            <w:hideMark/>
          </w:tcPr>
          <w:p w14:paraId="6378F20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31E9716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10E6AD8" w14:textId="77777777" w:rsidTr="008B7C11">
        <w:trPr>
          <w:trHeight w:val="600"/>
        </w:trPr>
        <w:tc>
          <w:tcPr>
            <w:tcW w:w="958" w:type="dxa"/>
            <w:noWrap/>
            <w:vAlign w:val="center"/>
            <w:hideMark/>
          </w:tcPr>
          <w:p w14:paraId="539B067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626</w:t>
            </w:r>
          </w:p>
        </w:tc>
        <w:tc>
          <w:tcPr>
            <w:tcW w:w="1718" w:type="dxa"/>
            <w:noWrap/>
            <w:vAlign w:val="bottom"/>
            <w:hideMark/>
          </w:tcPr>
          <w:p w14:paraId="7D539C6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PERU</w:t>
            </w:r>
          </w:p>
        </w:tc>
        <w:tc>
          <w:tcPr>
            <w:tcW w:w="2712" w:type="dxa"/>
            <w:noWrap/>
            <w:vAlign w:val="bottom"/>
            <w:hideMark/>
          </w:tcPr>
          <w:p w14:paraId="0BA41CD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P-1758-14</w:t>
            </w:r>
          </w:p>
        </w:tc>
        <w:tc>
          <w:tcPr>
            <w:tcW w:w="1097" w:type="dxa"/>
            <w:noWrap/>
            <w:vAlign w:val="bottom"/>
            <w:hideMark/>
          </w:tcPr>
          <w:p w14:paraId="31F2727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3D1D1DD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1D4E6B7" w14:textId="77777777" w:rsidTr="008B7C11">
        <w:trPr>
          <w:trHeight w:val="600"/>
        </w:trPr>
        <w:tc>
          <w:tcPr>
            <w:tcW w:w="958" w:type="dxa"/>
            <w:noWrap/>
            <w:vAlign w:val="center"/>
            <w:hideMark/>
          </w:tcPr>
          <w:p w14:paraId="41259A9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627</w:t>
            </w:r>
          </w:p>
        </w:tc>
        <w:tc>
          <w:tcPr>
            <w:tcW w:w="1718" w:type="dxa"/>
            <w:noWrap/>
            <w:vAlign w:val="bottom"/>
            <w:hideMark/>
          </w:tcPr>
          <w:p w14:paraId="5AA9511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PERU</w:t>
            </w:r>
          </w:p>
        </w:tc>
        <w:tc>
          <w:tcPr>
            <w:tcW w:w="2712" w:type="dxa"/>
            <w:noWrap/>
            <w:vAlign w:val="bottom"/>
            <w:hideMark/>
          </w:tcPr>
          <w:p w14:paraId="2C98302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P-1273-15</w:t>
            </w:r>
          </w:p>
        </w:tc>
        <w:tc>
          <w:tcPr>
            <w:tcW w:w="1097" w:type="dxa"/>
            <w:noWrap/>
            <w:vAlign w:val="bottom"/>
            <w:hideMark/>
          </w:tcPr>
          <w:p w14:paraId="657C115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63B3551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B323F4D" w14:textId="77777777" w:rsidTr="008B7C11">
        <w:trPr>
          <w:trHeight w:val="600"/>
        </w:trPr>
        <w:tc>
          <w:tcPr>
            <w:tcW w:w="958" w:type="dxa"/>
            <w:noWrap/>
            <w:vAlign w:val="center"/>
            <w:hideMark/>
          </w:tcPr>
          <w:p w14:paraId="0FA3E8A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628</w:t>
            </w:r>
          </w:p>
        </w:tc>
        <w:tc>
          <w:tcPr>
            <w:tcW w:w="1718" w:type="dxa"/>
            <w:noWrap/>
            <w:vAlign w:val="bottom"/>
            <w:hideMark/>
          </w:tcPr>
          <w:p w14:paraId="1E201C9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PERU</w:t>
            </w:r>
          </w:p>
        </w:tc>
        <w:tc>
          <w:tcPr>
            <w:tcW w:w="2712" w:type="dxa"/>
            <w:noWrap/>
            <w:vAlign w:val="bottom"/>
            <w:hideMark/>
          </w:tcPr>
          <w:p w14:paraId="50F4A35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P-2505-16</w:t>
            </w:r>
          </w:p>
        </w:tc>
        <w:tc>
          <w:tcPr>
            <w:tcW w:w="1097" w:type="dxa"/>
            <w:noWrap/>
            <w:vAlign w:val="bottom"/>
            <w:hideMark/>
          </w:tcPr>
          <w:p w14:paraId="542C2BE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3D9E410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4DEAEEF" w14:textId="77777777" w:rsidTr="008B7C11">
        <w:trPr>
          <w:trHeight w:val="600"/>
        </w:trPr>
        <w:tc>
          <w:tcPr>
            <w:tcW w:w="958" w:type="dxa"/>
            <w:noWrap/>
            <w:vAlign w:val="center"/>
            <w:hideMark/>
          </w:tcPr>
          <w:p w14:paraId="51B353E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629</w:t>
            </w:r>
          </w:p>
        </w:tc>
        <w:tc>
          <w:tcPr>
            <w:tcW w:w="1718" w:type="dxa"/>
            <w:noWrap/>
            <w:vAlign w:val="bottom"/>
            <w:hideMark/>
          </w:tcPr>
          <w:p w14:paraId="67A774C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PERU</w:t>
            </w:r>
          </w:p>
        </w:tc>
        <w:tc>
          <w:tcPr>
            <w:tcW w:w="2712" w:type="dxa"/>
            <w:noWrap/>
            <w:vAlign w:val="bottom"/>
            <w:hideMark/>
          </w:tcPr>
          <w:p w14:paraId="1E36D8C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P-1483-14</w:t>
            </w:r>
          </w:p>
        </w:tc>
        <w:tc>
          <w:tcPr>
            <w:tcW w:w="1097" w:type="dxa"/>
            <w:noWrap/>
            <w:vAlign w:val="bottom"/>
            <w:hideMark/>
          </w:tcPr>
          <w:p w14:paraId="3927C4E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45BAA87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EB587F2" w14:textId="77777777" w:rsidTr="008B7C11">
        <w:trPr>
          <w:trHeight w:val="600"/>
        </w:trPr>
        <w:tc>
          <w:tcPr>
            <w:tcW w:w="958" w:type="dxa"/>
            <w:noWrap/>
            <w:vAlign w:val="center"/>
            <w:hideMark/>
          </w:tcPr>
          <w:p w14:paraId="0DE9D36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630</w:t>
            </w:r>
          </w:p>
        </w:tc>
        <w:tc>
          <w:tcPr>
            <w:tcW w:w="1718" w:type="dxa"/>
            <w:noWrap/>
            <w:vAlign w:val="bottom"/>
            <w:hideMark/>
          </w:tcPr>
          <w:p w14:paraId="5E5FE25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PERU</w:t>
            </w:r>
          </w:p>
        </w:tc>
        <w:tc>
          <w:tcPr>
            <w:tcW w:w="2712" w:type="dxa"/>
            <w:noWrap/>
            <w:vAlign w:val="bottom"/>
            <w:hideMark/>
          </w:tcPr>
          <w:p w14:paraId="1F7A3DB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P-554-15</w:t>
            </w:r>
          </w:p>
        </w:tc>
        <w:tc>
          <w:tcPr>
            <w:tcW w:w="1097" w:type="dxa"/>
            <w:noWrap/>
            <w:vAlign w:val="bottom"/>
            <w:hideMark/>
          </w:tcPr>
          <w:p w14:paraId="2F9DFB0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5AB4372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CECD0C3" w14:textId="77777777" w:rsidTr="008B7C11">
        <w:trPr>
          <w:trHeight w:val="600"/>
        </w:trPr>
        <w:tc>
          <w:tcPr>
            <w:tcW w:w="958" w:type="dxa"/>
            <w:noWrap/>
            <w:vAlign w:val="center"/>
            <w:hideMark/>
          </w:tcPr>
          <w:p w14:paraId="252D3D8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631</w:t>
            </w:r>
          </w:p>
        </w:tc>
        <w:tc>
          <w:tcPr>
            <w:tcW w:w="1718" w:type="dxa"/>
            <w:noWrap/>
            <w:vAlign w:val="bottom"/>
            <w:hideMark/>
          </w:tcPr>
          <w:p w14:paraId="539D81F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PERU</w:t>
            </w:r>
          </w:p>
        </w:tc>
        <w:tc>
          <w:tcPr>
            <w:tcW w:w="2712" w:type="dxa"/>
            <w:noWrap/>
            <w:vAlign w:val="bottom"/>
            <w:hideMark/>
          </w:tcPr>
          <w:p w14:paraId="5C8F9D1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P-1958-11</w:t>
            </w:r>
          </w:p>
        </w:tc>
        <w:tc>
          <w:tcPr>
            <w:tcW w:w="1097" w:type="dxa"/>
            <w:noWrap/>
            <w:vAlign w:val="bottom"/>
            <w:hideMark/>
          </w:tcPr>
          <w:p w14:paraId="0C8B978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11</w:t>
            </w:r>
          </w:p>
        </w:tc>
        <w:tc>
          <w:tcPr>
            <w:tcW w:w="2600" w:type="dxa"/>
            <w:vAlign w:val="center"/>
            <w:hideMark/>
          </w:tcPr>
          <w:p w14:paraId="6241447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BADE5DE" w14:textId="77777777" w:rsidTr="008B7C11">
        <w:trPr>
          <w:trHeight w:val="600"/>
        </w:trPr>
        <w:tc>
          <w:tcPr>
            <w:tcW w:w="958" w:type="dxa"/>
            <w:noWrap/>
            <w:vAlign w:val="center"/>
            <w:hideMark/>
          </w:tcPr>
          <w:p w14:paraId="2411BDE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632</w:t>
            </w:r>
          </w:p>
        </w:tc>
        <w:tc>
          <w:tcPr>
            <w:tcW w:w="1718" w:type="dxa"/>
            <w:noWrap/>
            <w:vAlign w:val="bottom"/>
            <w:hideMark/>
          </w:tcPr>
          <w:p w14:paraId="57AE301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PERU</w:t>
            </w:r>
          </w:p>
        </w:tc>
        <w:tc>
          <w:tcPr>
            <w:tcW w:w="2712" w:type="dxa"/>
            <w:noWrap/>
            <w:vAlign w:val="bottom"/>
            <w:hideMark/>
          </w:tcPr>
          <w:p w14:paraId="5077A38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P-1002-14</w:t>
            </w:r>
          </w:p>
        </w:tc>
        <w:tc>
          <w:tcPr>
            <w:tcW w:w="1097" w:type="dxa"/>
            <w:noWrap/>
            <w:vAlign w:val="bottom"/>
            <w:hideMark/>
          </w:tcPr>
          <w:p w14:paraId="18C9E66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1498241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87F20AE" w14:textId="77777777" w:rsidTr="008B7C11">
        <w:trPr>
          <w:trHeight w:val="600"/>
        </w:trPr>
        <w:tc>
          <w:tcPr>
            <w:tcW w:w="958" w:type="dxa"/>
            <w:noWrap/>
            <w:vAlign w:val="center"/>
            <w:hideMark/>
          </w:tcPr>
          <w:p w14:paraId="4958491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lastRenderedPageBreak/>
              <w:t>633</w:t>
            </w:r>
          </w:p>
        </w:tc>
        <w:tc>
          <w:tcPr>
            <w:tcW w:w="1718" w:type="dxa"/>
            <w:noWrap/>
            <w:vAlign w:val="bottom"/>
            <w:hideMark/>
          </w:tcPr>
          <w:p w14:paraId="5AF9EB1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PERU</w:t>
            </w:r>
          </w:p>
        </w:tc>
        <w:tc>
          <w:tcPr>
            <w:tcW w:w="2712" w:type="dxa"/>
            <w:noWrap/>
            <w:vAlign w:val="bottom"/>
            <w:hideMark/>
          </w:tcPr>
          <w:p w14:paraId="40BC165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P-1903-17</w:t>
            </w:r>
          </w:p>
        </w:tc>
        <w:tc>
          <w:tcPr>
            <w:tcW w:w="1097" w:type="dxa"/>
            <w:noWrap/>
            <w:vAlign w:val="bottom"/>
            <w:hideMark/>
          </w:tcPr>
          <w:p w14:paraId="0AB0CFC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3C20FC6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C125B3B" w14:textId="77777777" w:rsidTr="008B7C11">
        <w:trPr>
          <w:trHeight w:val="600"/>
        </w:trPr>
        <w:tc>
          <w:tcPr>
            <w:tcW w:w="958" w:type="dxa"/>
            <w:noWrap/>
            <w:vAlign w:val="center"/>
            <w:hideMark/>
          </w:tcPr>
          <w:p w14:paraId="20158E5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634</w:t>
            </w:r>
          </w:p>
        </w:tc>
        <w:tc>
          <w:tcPr>
            <w:tcW w:w="1718" w:type="dxa"/>
            <w:noWrap/>
            <w:vAlign w:val="bottom"/>
            <w:hideMark/>
          </w:tcPr>
          <w:p w14:paraId="7601DB3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PERU</w:t>
            </w:r>
          </w:p>
        </w:tc>
        <w:tc>
          <w:tcPr>
            <w:tcW w:w="2712" w:type="dxa"/>
            <w:noWrap/>
            <w:vAlign w:val="bottom"/>
            <w:hideMark/>
          </w:tcPr>
          <w:p w14:paraId="4042ED3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P-1036-15</w:t>
            </w:r>
          </w:p>
        </w:tc>
        <w:tc>
          <w:tcPr>
            <w:tcW w:w="1097" w:type="dxa"/>
            <w:noWrap/>
            <w:vAlign w:val="bottom"/>
            <w:hideMark/>
          </w:tcPr>
          <w:p w14:paraId="6293787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4E80BE5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FB9CF37" w14:textId="77777777" w:rsidTr="008B7C11">
        <w:trPr>
          <w:trHeight w:val="600"/>
        </w:trPr>
        <w:tc>
          <w:tcPr>
            <w:tcW w:w="958" w:type="dxa"/>
            <w:noWrap/>
            <w:vAlign w:val="center"/>
            <w:hideMark/>
          </w:tcPr>
          <w:p w14:paraId="2742C18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635</w:t>
            </w:r>
          </w:p>
        </w:tc>
        <w:tc>
          <w:tcPr>
            <w:tcW w:w="1718" w:type="dxa"/>
            <w:noWrap/>
            <w:vAlign w:val="bottom"/>
            <w:hideMark/>
          </w:tcPr>
          <w:p w14:paraId="4707ECE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PERU</w:t>
            </w:r>
          </w:p>
        </w:tc>
        <w:tc>
          <w:tcPr>
            <w:tcW w:w="2712" w:type="dxa"/>
            <w:noWrap/>
            <w:vAlign w:val="bottom"/>
            <w:hideMark/>
          </w:tcPr>
          <w:p w14:paraId="161839F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P-824-14</w:t>
            </w:r>
          </w:p>
        </w:tc>
        <w:tc>
          <w:tcPr>
            <w:tcW w:w="1097" w:type="dxa"/>
            <w:noWrap/>
            <w:vAlign w:val="bottom"/>
            <w:hideMark/>
          </w:tcPr>
          <w:p w14:paraId="3A75006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359DBF1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2BD90D0" w14:textId="77777777" w:rsidTr="008B7C11">
        <w:trPr>
          <w:trHeight w:val="600"/>
        </w:trPr>
        <w:tc>
          <w:tcPr>
            <w:tcW w:w="958" w:type="dxa"/>
            <w:noWrap/>
            <w:vAlign w:val="center"/>
            <w:hideMark/>
          </w:tcPr>
          <w:p w14:paraId="164F71B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636</w:t>
            </w:r>
          </w:p>
        </w:tc>
        <w:tc>
          <w:tcPr>
            <w:tcW w:w="1718" w:type="dxa"/>
            <w:noWrap/>
            <w:vAlign w:val="bottom"/>
            <w:hideMark/>
          </w:tcPr>
          <w:p w14:paraId="00CA08F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PERU</w:t>
            </w:r>
          </w:p>
        </w:tc>
        <w:tc>
          <w:tcPr>
            <w:tcW w:w="2712" w:type="dxa"/>
            <w:noWrap/>
            <w:vAlign w:val="bottom"/>
            <w:hideMark/>
          </w:tcPr>
          <w:p w14:paraId="61C7C2C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P-1315-15</w:t>
            </w:r>
          </w:p>
        </w:tc>
        <w:tc>
          <w:tcPr>
            <w:tcW w:w="1097" w:type="dxa"/>
            <w:noWrap/>
            <w:vAlign w:val="bottom"/>
            <w:hideMark/>
          </w:tcPr>
          <w:p w14:paraId="47872EB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15</w:t>
            </w:r>
          </w:p>
        </w:tc>
        <w:tc>
          <w:tcPr>
            <w:tcW w:w="2600" w:type="dxa"/>
            <w:vAlign w:val="center"/>
            <w:hideMark/>
          </w:tcPr>
          <w:p w14:paraId="28182E86"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F646104" w14:textId="77777777" w:rsidTr="008B7C11">
        <w:trPr>
          <w:trHeight w:val="600"/>
        </w:trPr>
        <w:tc>
          <w:tcPr>
            <w:tcW w:w="958" w:type="dxa"/>
            <w:noWrap/>
            <w:vAlign w:val="center"/>
            <w:hideMark/>
          </w:tcPr>
          <w:p w14:paraId="7D6955F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637</w:t>
            </w:r>
          </w:p>
        </w:tc>
        <w:tc>
          <w:tcPr>
            <w:tcW w:w="1718" w:type="dxa"/>
            <w:noWrap/>
            <w:vAlign w:val="bottom"/>
            <w:hideMark/>
          </w:tcPr>
          <w:p w14:paraId="4D15210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PERU</w:t>
            </w:r>
          </w:p>
        </w:tc>
        <w:tc>
          <w:tcPr>
            <w:tcW w:w="2712" w:type="dxa"/>
            <w:noWrap/>
            <w:vAlign w:val="bottom"/>
            <w:hideMark/>
          </w:tcPr>
          <w:p w14:paraId="3EA1F50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P-838-10</w:t>
            </w:r>
          </w:p>
        </w:tc>
        <w:tc>
          <w:tcPr>
            <w:tcW w:w="1097" w:type="dxa"/>
            <w:noWrap/>
            <w:vAlign w:val="bottom"/>
            <w:hideMark/>
          </w:tcPr>
          <w:p w14:paraId="66419FF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10</w:t>
            </w:r>
          </w:p>
        </w:tc>
        <w:tc>
          <w:tcPr>
            <w:tcW w:w="2600" w:type="dxa"/>
            <w:vAlign w:val="center"/>
            <w:hideMark/>
          </w:tcPr>
          <w:p w14:paraId="7EA3078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5F683B9" w14:textId="77777777" w:rsidTr="008B7C11">
        <w:trPr>
          <w:trHeight w:val="600"/>
        </w:trPr>
        <w:tc>
          <w:tcPr>
            <w:tcW w:w="958" w:type="dxa"/>
            <w:noWrap/>
            <w:vAlign w:val="center"/>
            <w:hideMark/>
          </w:tcPr>
          <w:p w14:paraId="58EABF4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638</w:t>
            </w:r>
          </w:p>
        </w:tc>
        <w:tc>
          <w:tcPr>
            <w:tcW w:w="1718" w:type="dxa"/>
            <w:noWrap/>
            <w:vAlign w:val="bottom"/>
            <w:hideMark/>
          </w:tcPr>
          <w:p w14:paraId="40B8E50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PERU</w:t>
            </w:r>
          </w:p>
        </w:tc>
        <w:tc>
          <w:tcPr>
            <w:tcW w:w="2712" w:type="dxa"/>
            <w:noWrap/>
            <w:vAlign w:val="bottom"/>
            <w:hideMark/>
          </w:tcPr>
          <w:p w14:paraId="103810E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P-1552-16</w:t>
            </w:r>
          </w:p>
        </w:tc>
        <w:tc>
          <w:tcPr>
            <w:tcW w:w="1097" w:type="dxa"/>
            <w:noWrap/>
            <w:vAlign w:val="bottom"/>
            <w:hideMark/>
          </w:tcPr>
          <w:p w14:paraId="51ECED9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0964AAB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23578E04" w14:textId="77777777" w:rsidTr="008B7C11">
        <w:trPr>
          <w:trHeight w:val="290"/>
        </w:trPr>
        <w:tc>
          <w:tcPr>
            <w:tcW w:w="958" w:type="dxa"/>
            <w:noWrap/>
            <w:vAlign w:val="center"/>
            <w:hideMark/>
          </w:tcPr>
          <w:p w14:paraId="0D284E7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639</w:t>
            </w:r>
          </w:p>
        </w:tc>
        <w:tc>
          <w:tcPr>
            <w:tcW w:w="1718" w:type="dxa"/>
            <w:vAlign w:val="bottom"/>
            <w:hideMark/>
          </w:tcPr>
          <w:p w14:paraId="5E56E14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t>DOMINICAN REPUBLIC</w:t>
            </w:r>
          </w:p>
        </w:tc>
        <w:tc>
          <w:tcPr>
            <w:tcW w:w="2712" w:type="dxa"/>
            <w:noWrap/>
            <w:vAlign w:val="bottom"/>
            <w:hideMark/>
          </w:tcPr>
          <w:p w14:paraId="460C530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P-689-13</w:t>
            </w:r>
          </w:p>
        </w:tc>
        <w:tc>
          <w:tcPr>
            <w:tcW w:w="1097" w:type="dxa"/>
            <w:noWrap/>
            <w:vAlign w:val="bottom"/>
            <w:hideMark/>
          </w:tcPr>
          <w:p w14:paraId="61DA1A4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072EA40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A40947C" w14:textId="77777777" w:rsidTr="008B7C11">
        <w:trPr>
          <w:trHeight w:val="600"/>
        </w:trPr>
        <w:tc>
          <w:tcPr>
            <w:tcW w:w="958" w:type="dxa"/>
            <w:noWrap/>
            <w:vAlign w:val="center"/>
            <w:hideMark/>
          </w:tcPr>
          <w:p w14:paraId="70EFF16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640</w:t>
            </w:r>
          </w:p>
        </w:tc>
        <w:tc>
          <w:tcPr>
            <w:tcW w:w="1718" w:type="dxa"/>
            <w:noWrap/>
            <w:vAlign w:val="bottom"/>
            <w:hideMark/>
          </w:tcPr>
          <w:p w14:paraId="400C5D2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URUGUAY</w:t>
            </w:r>
          </w:p>
        </w:tc>
        <w:tc>
          <w:tcPr>
            <w:tcW w:w="2712" w:type="dxa"/>
            <w:noWrap/>
            <w:vAlign w:val="bottom"/>
            <w:hideMark/>
          </w:tcPr>
          <w:p w14:paraId="355F44B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P-669-17</w:t>
            </w:r>
          </w:p>
        </w:tc>
        <w:tc>
          <w:tcPr>
            <w:tcW w:w="1097" w:type="dxa"/>
            <w:noWrap/>
            <w:vAlign w:val="bottom"/>
            <w:hideMark/>
          </w:tcPr>
          <w:p w14:paraId="22DBF14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17</w:t>
            </w:r>
          </w:p>
        </w:tc>
        <w:tc>
          <w:tcPr>
            <w:tcW w:w="2600" w:type="dxa"/>
            <w:vAlign w:val="center"/>
            <w:hideMark/>
          </w:tcPr>
          <w:p w14:paraId="6AC31D1B"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CD0249A" w14:textId="77777777" w:rsidTr="008B7C11">
        <w:trPr>
          <w:trHeight w:val="600"/>
        </w:trPr>
        <w:tc>
          <w:tcPr>
            <w:tcW w:w="958" w:type="dxa"/>
            <w:noWrap/>
            <w:vAlign w:val="center"/>
            <w:hideMark/>
          </w:tcPr>
          <w:p w14:paraId="7A8D46A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641</w:t>
            </w:r>
          </w:p>
        </w:tc>
        <w:tc>
          <w:tcPr>
            <w:tcW w:w="1718" w:type="dxa"/>
            <w:noWrap/>
            <w:vAlign w:val="bottom"/>
            <w:hideMark/>
          </w:tcPr>
          <w:p w14:paraId="18DCDDF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URUGUAY</w:t>
            </w:r>
          </w:p>
        </w:tc>
        <w:tc>
          <w:tcPr>
            <w:tcW w:w="2712" w:type="dxa"/>
            <w:noWrap/>
            <w:vAlign w:val="bottom"/>
            <w:hideMark/>
          </w:tcPr>
          <w:p w14:paraId="6C3D4B6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P-873-14</w:t>
            </w:r>
          </w:p>
        </w:tc>
        <w:tc>
          <w:tcPr>
            <w:tcW w:w="1097" w:type="dxa"/>
            <w:noWrap/>
            <w:vAlign w:val="bottom"/>
            <w:hideMark/>
          </w:tcPr>
          <w:p w14:paraId="0682074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455F1C5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5A4A5CF4" w14:textId="77777777" w:rsidTr="008B7C11">
        <w:trPr>
          <w:trHeight w:val="600"/>
        </w:trPr>
        <w:tc>
          <w:tcPr>
            <w:tcW w:w="958" w:type="dxa"/>
            <w:noWrap/>
            <w:vAlign w:val="center"/>
            <w:hideMark/>
          </w:tcPr>
          <w:p w14:paraId="08191BB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642</w:t>
            </w:r>
          </w:p>
        </w:tc>
        <w:tc>
          <w:tcPr>
            <w:tcW w:w="1718" w:type="dxa"/>
            <w:noWrap/>
            <w:vAlign w:val="bottom"/>
            <w:hideMark/>
          </w:tcPr>
          <w:p w14:paraId="4648E10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URUGUAY</w:t>
            </w:r>
          </w:p>
        </w:tc>
        <w:tc>
          <w:tcPr>
            <w:tcW w:w="2712" w:type="dxa"/>
            <w:noWrap/>
            <w:vAlign w:val="bottom"/>
            <w:hideMark/>
          </w:tcPr>
          <w:p w14:paraId="74ED56B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P-2530-16</w:t>
            </w:r>
          </w:p>
        </w:tc>
        <w:tc>
          <w:tcPr>
            <w:tcW w:w="1097" w:type="dxa"/>
            <w:noWrap/>
            <w:vAlign w:val="bottom"/>
            <w:hideMark/>
          </w:tcPr>
          <w:p w14:paraId="50251C9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16</w:t>
            </w:r>
          </w:p>
        </w:tc>
        <w:tc>
          <w:tcPr>
            <w:tcW w:w="2600" w:type="dxa"/>
            <w:vAlign w:val="center"/>
            <w:hideMark/>
          </w:tcPr>
          <w:p w14:paraId="3AC608BF"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F98DE2E" w14:textId="77777777" w:rsidTr="008B7C11">
        <w:trPr>
          <w:trHeight w:val="600"/>
        </w:trPr>
        <w:tc>
          <w:tcPr>
            <w:tcW w:w="958" w:type="dxa"/>
            <w:noWrap/>
            <w:vAlign w:val="center"/>
            <w:hideMark/>
          </w:tcPr>
          <w:p w14:paraId="71DCE71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643</w:t>
            </w:r>
          </w:p>
        </w:tc>
        <w:tc>
          <w:tcPr>
            <w:tcW w:w="1718" w:type="dxa"/>
            <w:noWrap/>
            <w:vAlign w:val="bottom"/>
            <w:hideMark/>
          </w:tcPr>
          <w:p w14:paraId="429B21A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URUGUAY</w:t>
            </w:r>
          </w:p>
        </w:tc>
        <w:tc>
          <w:tcPr>
            <w:tcW w:w="2712" w:type="dxa"/>
            <w:noWrap/>
            <w:vAlign w:val="bottom"/>
            <w:hideMark/>
          </w:tcPr>
          <w:p w14:paraId="5466962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P-534-14</w:t>
            </w:r>
          </w:p>
        </w:tc>
        <w:tc>
          <w:tcPr>
            <w:tcW w:w="1097" w:type="dxa"/>
            <w:noWrap/>
            <w:vAlign w:val="bottom"/>
            <w:hideMark/>
          </w:tcPr>
          <w:p w14:paraId="7E9C110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4445AA0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31AAE8AA" w14:textId="77777777" w:rsidTr="008B7C11">
        <w:trPr>
          <w:trHeight w:val="600"/>
        </w:trPr>
        <w:tc>
          <w:tcPr>
            <w:tcW w:w="958" w:type="dxa"/>
            <w:noWrap/>
            <w:vAlign w:val="center"/>
            <w:hideMark/>
          </w:tcPr>
          <w:p w14:paraId="66906C6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644</w:t>
            </w:r>
          </w:p>
        </w:tc>
        <w:tc>
          <w:tcPr>
            <w:tcW w:w="1718" w:type="dxa"/>
            <w:noWrap/>
            <w:vAlign w:val="bottom"/>
            <w:hideMark/>
          </w:tcPr>
          <w:p w14:paraId="4D9C195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URUGUAY</w:t>
            </w:r>
          </w:p>
        </w:tc>
        <w:tc>
          <w:tcPr>
            <w:tcW w:w="2712" w:type="dxa"/>
            <w:noWrap/>
            <w:vAlign w:val="bottom"/>
            <w:hideMark/>
          </w:tcPr>
          <w:p w14:paraId="7884071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P-558-14</w:t>
            </w:r>
          </w:p>
        </w:tc>
        <w:tc>
          <w:tcPr>
            <w:tcW w:w="1097" w:type="dxa"/>
            <w:noWrap/>
            <w:vAlign w:val="bottom"/>
            <w:hideMark/>
          </w:tcPr>
          <w:p w14:paraId="7C113FA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14</w:t>
            </w:r>
          </w:p>
        </w:tc>
        <w:tc>
          <w:tcPr>
            <w:tcW w:w="2600" w:type="dxa"/>
            <w:vAlign w:val="center"/>
            <w:hideMark/>
          </w:tcPr>
          <w:p w14:paraId="3CC376A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8960A1E" w14:textId="77777777" w:rsidTr="008B7C11">
        <w:trPr>
          <w:trHeight w:val="600"/>
        </w:trPr>
        <w:tc>
          <w:tcPr>
            <w:tcW w:w="958" w:type="dxa"/>
            <w:noWrap/>
            <w:vAlign w:val="center"/>
            <w:hideMark/>
          </w:tcPr>
          <w:p w14:paraId="04AC840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645</w:t>
            </w:r>
          </w:p>
        </w:tc>
        <w:tc>
          <w:tcPr>
            <w:tcW w:w="1718" w:type="dxa"/>
            <w:noWrap/>
            <w:vAlign w:val="bottom"/>
            <w:hideMark/>
          </w:tcPr>
          <w:p w14:paraId="695096F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VENEZUELA</w:t>
            </w:r>
          </w:p>
        </w:tc>
        <w:tc>
          <w:tcPr>
            <w:tcW w:w="2712" w:type="dxa"/>
            <w:noWrap/>
            <w:vAlign w:val="bottom"/>
            <w:hideMark/>
          </w:tcPr>
          <w:p w14:paraId="53BD6171"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P-369-08</w:t>
            </w:r>
          </w:p>
        </w:tc>
        <w:tc>
          <w:tcPr>
            <w:tcW w:w="1097" w:type="dxa"/>
            <w:noWrap/>
            <w:vAlign w:val="bottom"/>
            <w:hideMark/>
          </w:tcPr>
          <w:p w14:paraId="23501DB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8</w:t>
            </w:r>
          </w:p>
        </w:tc>
        <w:tc>
          <w:tcPr>
            <w:tcW w:w="2600" w:type="dxa"/>
            <w:vAlign w:val="center"/>
            <w:hideMark/>
          </w:tcPr>
          <w:p w14:paraId="5390E46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7DCECF0A" w14:textId="77777777" w:rsidTr="008B7C11">
        <w:trPr>
          <w:trHeight w:val="600"/>
        </w:trPr>
        <w:tc>
          <w:tcPr>
            <w:tcW w:w="958" w:type="dxa"/>
            <w:noWrap/>
            <w:vAlign w:val="center"/>
            <w:hideMark/>
          </w:tcPr>
          <w:p w14:paraId="2F0F198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646</w:t>
            </w:r>
          </w:p>
        </w:tc>
        <w:tc>
          <w:tcPr>
            <w:tcW w:w="1718" w:type="dxa"/>
            <w:noWrap/>
            <w:vAlign w:val="bottom"/>
            <w:hideMark/>
          </w:tcPr>
          <w:p w14:paraId="71536154"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VENEZUELA</w:t>
            </w:r>
          </w:p>
        </w:tc>
        <w:tc>
          <w:tcPr>
            <w:tcW w:w="2712" w:type="dxa"/>
            <w:noWrap/>
            <w:vAlign w:val="bottom"/>
            <w:hideMark/>
          </w:tcPr>
          <w:p w14:paraId="26C9B513"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P-2256-13</w:t>
            </w:r>
          </w:p>
        </w:tc>
        <w:tc>
          <w:tcPr>
            <w:tcW w:w="1097" w:type="dxa"/>
            <w:noWrap/>
            <w:vAlign w:val="bottom"/>
            <w:hideMark/>
          </w:tcPr>
          <w:p w14:paraId="23346090"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2B6932CE"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629258DE" w14:textId="77777777" w:rsidTr="008B7C11">
        <w:trPr>
          <w:trHeight w:val="600"/>
        </w:trPr>
        <w:tc>
          <w:tcPr>
            <w:tcW w:w="958" w:type="dxa"/>
            <w:noWrap/>
            <w:vAlign w:val="center"/>
            <w:hideMark/>
          </w:tcPr>
          <w:p w14:paraId="01E9BA68"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647</w:t>
            </w:r>
          </w:p>
        </w:tc>
        <w:tc>
          <w:tcPr>
            <w:tcW w:w="1718" w:type="dxa"/>
            <w:noWrap/>
            <w:vAlign w:val="bottom"/>
            <w:hideMark/>
          </w:tcPr>
          <w:p w14:paraId="7EA0E059"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VENEZUELA</w:t>
            </w:r>
          </w:p>
        </w:tc>
        <w:tc>
          <w:tcPr>
            <w:tcW w:w="2712" w:type="dxa"/>
            <w:noWrap/>
            <w:vAlign w:val="bottom"/>
            <w:hideMark/>
          </w:tcPr>
          <w:p w14:paraId="7CCBBBDA"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P-2257-13</w:t>
            </w:r>
          </w:p>
        </w:tc>
        <w:tc>
          <w:tcPr>
            <w:tcW w:w="1097" w:type="dxa"/>
            <w:noWrap/>
            <w:vAlign w:val="bottom"/>
            <w:hideMark/>
          </w:tcPr>
          <w:p w14:paraId="2EF2A55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13</w:t>
            </w:r>
          </w:p>
        </w:tc>
        <w:tc>
          <w:tcPr>
            <w:tcW w:w="2600" w:type="dxa"/>
            <w:vAlign w:val="center"/>
            <w:hideMark/>
          </w:tcPr>
          <w:p w14:paraId="2DBDB9E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r w:rsidR="007425A1" w:rsidRPr="00524435" w14:paraId="4CAB13DE" w14:textId="77777777" w:rsidTr="008B7C11">
        <w:trPr>
          <w:trHeight w:val="600"/>
        </w:trPr>
        <w:tc>
          <w:tcPr>
            <w:tcW w:w="958" w:type="dxa"/>
            <w:noWrap/>
            <w:vAlign w:val="center"/>
            <w:hideMark/>
          </w:tcPr>
          <w:p w14:paraId="23681717"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648</w:t>
            </w:r>
          </w:p>
        </w:tc>
        <w:tc>
          <w:tcPr>
            <w:tcW w:w="1718" w:type="dxa"/>
            <w:noWrap/>
            <w:vAlign w:val="bottom"/>
            <w:hideMark/>
          </w:tcPr>
          <w:p w14:paraId="6B4A8A0C"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VENEZUELA</w:t>
            </w:r>
          </w:p>
        </w:tc>
        <w:tc>
          <w:tcPr>
            <w:tcW w:w="2712" w:type="dxa"/>
            <w:noWrap/>
            <w:vAlign w:val="bottom"/>
            <w:hideMark/>
          </w:tcPr>
          <w:p w14:paraId="259ECD25"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P-2283-18</w:t>
            </w:r>
          </w:p>
        </w:tc>
        <w:tc>
          <w:tcPr>
            <w:tcW w:w="1097" w:type="dxa"/>
            <w:noWrap/>
            <w:vAlign w:val="bottom"/>
            <w:hideMark/>
          </w:tcPr>
          <w:p w14:paraId="5830D5BD"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t>18</w:t>
            </w:r>
          </w:p>
        </w:tc>
        <w:tc>
          <w:tcPr>
            <w:tcW w:w="2600" w:type="dxa"/>
            <w:vAlign w:val="center"/>
            <w:hideMark/>
          </w:tcPr>
          <w:p w14:paraId="64849092" w14:textId="77777777" w:rsidR="007425A1" w:rsidRPr="00524435" w:rsidRDefault="007425A1" w:rsidP="008B7C11">
            <w:pPr>
              <w:spacing w:before="60" w:after="60"/>
              <w:jc w:val="center"/>
              <w:rPr>
                <w:rFonts w:ascii="Cambria" w:hAnsi="Cambria" w:cs="Calibri"/>
                <w:color w:val="000000"/>
                <w:sz w:val="20"/>
                <w:szCs w:val="20"/>
              </w:rPr>
            </w:pPr>
            <w:r w:rsidRPr="00524435">
              <w:rPr>
                <w:rFonts w:ascii="Cambria" w:hAnsi="Cambria" w:cs="Calibri"/>
                <w:color w:val="000000"/>
                <w:sz w:val="20"/>
                <w:szCs w:val="20"/>
              </w:rPr>
              <w:br/>
            </w:r>
            <w:r w:rsidRPr="00524435">
              <w:rPr>
                <w:rFonts w:ascii="Cambria" w:hAnsi="Cambria" w:cs="Calibri"/>
                <w:i/>
                <w:iCs/>
                <w:color w:val="000000"/>
                <w:sz w:val="20"/>
                <w:szCs w:val="20"/>
              </w:rPr>
              <w:t>Initial review</w:t>
            </w:r>
          </w:p>
        </w:tc>
      </w:tr>
    </w:tbl>
    <w:p w14:paraId="6D9E7B77" w14:textId="40CBAFC7" w:rsidR="007425A1" w:rsidRPr="00524435" w:rsidRDefault="007425A1" w:rsidP="007425A1">
      <w:pPr>
        <w:spacing w:after="0" w:line="240" w:lineRule="auto"/>
        <w:rPr>
          <w:rFonts w:ascii="Cambria" w:hAnsi="Cambria"/>
          <w:color w:val="000000"/>
          <w:sz w:val="20"/>
          <w:szCs w:val="20"/>
        </w:rPr>
      </w:pPr>
    </w:p>
    <w:p w14:paraId="61234413" w14:textId="20F7847D" w:rsidR="007425A1" w:rsidRPr="00524435" w:rsidRDefault="007425A1" w:rsidP="007425A1">
      <w:pPr>
        <w:spacing w:after="0" w:line="240" w:lineRule="auto"/>
        <w:rPr>
          <w:rFonts w:ascii="Cambria" w:hAnsi="Cambria"/>
          <w:color w:val="000000"/>
          <w:sz w:val="20"/>
          <w:szCs w:val="20"/>
        </w:rPr>
      </w:pPr>
    </w:p>
    <w:p w14:paraId="672CF689" w14:textId="77777777" w:rsidR="00622342" w:rsidRPr="00524435" w:rsidRDefault="00622342">
      <w:pPr>
        <w:rPr>
          <w:rFonts w:ascii="Cambria" w:eastAsia="Yu Gothic Light" w:hAnsi="Cambria" w:cs="Calibri"/>
          <w:b/>
          <w:szCs w:val="20"/>
        </w:rPr>
      </w:pPr>
      <w:r w:rsidRPr="00524435">
        <w:br w:type="page"/>
      </w:r>
    </w:p>
    <w:p w14:paraId="7BA1D982" w14:textId="7AB75B0D" w:rsidR="007E31E3" w:rsidRPr="00524435" w:rsidRDefault="007E31E3" w:rsidP="007E31E3">
      <w:pPr>
        <w:pStyle w:val="Heading1"/>
        <w:rPr>
          <w:rFonts w:cs="Calibri Light"/>
        </w:rPr>
      </w:pPr>
      <w:r w:rsidRPr="00524435">
        <w:lastRenderedPageBreak/>
        <w:t>Advances and regressions on negotiation and implementation of friendly settlements</w:t>
      </w:r>
    </w:p>
    <w:p w14:paraId="3D0FEDBF" w14:textId="77777777" w:rsidR="007E31E3" w:rsidRPr="00524435" w:rsidRDefault="007E31E3" w:rsidP="00E82663">
      <w:pPr>
        <w:pStyle w:val="Heading3"/>
      </w:pPr>
      <w:r w:rsidRPr="00524435">
        <w:t>Introduction</w:t>
      </w:r>
    </w:p>
    <w:p w14:paraId="24A84E80" w14:textId="77777777" w:rsidR="007E31E3" w:rsidRPr="00524435" w:rsidRDefault="007E31E3" w:rsidP="007E31E3">
      <w:pPr>
        <w:pStyle w:val="ListParagraph"/>
      </w:pPr>
      <w:r w:rsidRPr="00524435">
        <w:t>The Inter-American Commission on Human Rights, presents for the first time an independent chapter dedicated to the work of promoting negotiations and compliance with friendly settlement agreements, as well as for the visibility of the efforts made by the IACHR in the framework of its Strategic Plan 2017-2021, to potentiate the friendly settlement mechanism, as an effective tool for the attention of matters that fall under the system of individual petitions and cases, as well as for obtaining full reparation by victims of human rights violations and to expand the use of the friendly settlement procedure as a strategy to address the procedural backlog.</w:t>
      </w:r>
    </w:p>
    <w:p w14:paraId="6D0DA1CF" w14:textId="77777777" w:rsidR="007E31E3" w:rsidRPr="00524435" w:rsidRDefault="007E31E3" w:rsidP="007E31E3">
      <w:pPr>
        <w:pStyle w:val="ListParagraph"/>
      </w:pPr>
      <w:r w:rsidRPr="00524435">
        <w:t xml:space="preserve">The Commission addresses in this chapter first the relevant results in the negotiation processes and implementation of friendly settlement agreements, including the agreements fully complied with in 2021; the specific advances in the implementation of measures of friendly settlement agreements; the new agreements signed during the year; and the new friendly settlement follow up processes. On the other hand, the activities for the promotion of friendly settlement agreements carried out during the year are addressed, including activities to promote negotiations and compliance with agreements; activities to promote the exchange and dissemination of good practices on the mechanism and the development of tools for access to information for users of the IACHR regarding friendly solutions. Likewise, the compliance status of the friendly settlement reports approved by the Commission is presented in the light of Article 49 of the American Convention and the good practices and setbacks observed in 2021 regarding friendly solutions are raised. </w:t>
      </w:r>
    </w:p>
    <w:p w14:paraId="4F0FB645" w14:textId="77777777" w:rsidR="007E31E3" w:rsidRPr="00524435" w:rsidRDefault="007E31E3" w:rsidP="007E31E3">
      <w:pPr>
        <w:pStyle w:val="ListParagraph"/>
      </w:pPr>
      <w:r w:rsidRPr="00524435">
        <w:t xml:space="preserve">Finally, it must be noted that pursuant to Article 17.2.a of the IACHR’s Rules of Procedure, the President of the Commission, Commissioner President Antonia Urrejola </w:t>
      </w:r>
      <w:proofErr w:type="spellStart"/>
      <w:r w:rsidRPr="00524435">
        <w:t>Noguera</w:t>
      </w:r>
      <w:proofErr w:type="spellEnd"/>
      <w:r w:rsidRPr="00524435">
        <w:t xml:space="preserve">, a Chilean national, did not participate in the deliberations or conclusions of the reports that refer to Chile; just as Commissioners and First and Second Vice Presidents Julissa Mantilla and Flavia </w:t>
      </w:r>
      <w:proofErr w:type="spellStart"/>
      <w:r w:rsidRPr="00524435">
        <w:t>Piovesan</w:t>
      </w:r>
      <w:proofErr w:type="spellEnd"/>
      <w:r w:rsidRPr="00524435">
        <w:t xml:space="preserve">, nationals of Peru and Brazil, respectively, did not participate in the deliberations or conclusions regarding their respective countries: and successively for Commissioners Joel Hernández, in the matters regarding Mexico, Margaret Macaulay, in the matters regarding Jamaica; Esmeralda </w:t>
      </w:r>
      <w:proofErr w:type="spellStart"/>
      <w:r w:rsidRPr="00524435">
        <w:t>Arosemena</w:t>
      </w:r>
      <w:proofErr w:type="spellEnd"/>
      <w:r w:rsidRPr="00524435">
        <w:t xml:space="preserve"> de </w:t>
      </w:r>
      <w:proofErr w:type="spellStart"/>
      <w:r w:rsidRPr="00524435">
        <w:t>Troitiño</w:t>
      </w:r>
      <w:proofErr w:type="spellEnd"/>
      <w:r w:rsidRPr="00524435">
        <w:t xml:space="preserve">, in the matters regarding Panama, and Edgar </w:t>
      </w:r>
      <w:proofErr w:type="spellStart"/>
      <w:r w:rsidRPr="00524435">
        <w:t>Stuardo</w:t>
      </w:r>
      <w:proofErr w:type="spellEnd"/>
      <w:r w:rsidRPr="00524435">
        <w:t xml:space="preserve"> </w:t>
      </w:r>
      <w:proofErr w:type="spellStart"/>
      <w:r w:rsidRPr="00524435">
        <w:t>Ralón</w:t>
      </w:r>
      <w:proofErr w:type="spellEnd"/>
      <w:r w:rsidRPr="00524435">
        <w:t xml:space="preserve"> Orellana, in the matters regarding Guatemala.</w:t>
      </w:r>
    </w:p>
    <w:p w14:paraId="594D9904" w14:textId="2D24F4B6" w:rsidR="007E31E3" w:rsidRPr="00524435" w:rsidRDefault="007E31E3" w:rsidP="00E82663">
      <w:pPr>
        <w:pStyle w:val="Heading3"/>
        <w:rPr>
          <w:rFonts w:cs="Calibri Light"/>
          <w:szCs w:val="20"/>
        </w:rPr>
      </w:pPr>
      <w:r w:rsidRPr="00524435">
        <w:t xml:space="preserve">Relevant results on negotiation and implementation of friendly settlement agreements </w:t>
      </w:r>
    </w:p>
    <w:p w14:paraId="7C0061A6" w14:textId="77777777" w:rsidR="007E31E3" w:rsidRPr="00524435" w:rsidRDefault="007E31E3" w:rsidP="00A966FA">
      <w:pPr>
        <w:pStyle w:val="Heading4"/>
      </w:pPr>
      <w:r w:rsidRPr="00524435">
        <w:t>Friendly settlement agreements fully implemented in 2021</w:t>
      </w:r>
    </w:p>
    <w:p w14:paraId="197EFC63" w14:textId="77777777" w:rsidR="007E31E3" w:rsidRPr="00524435" w:rsidRDefault="007E31E3" w:rsidP="007E31E3">
      <w:pPr>
        <w:pStyle w:val="ListParagraph"/>
        <w:rPr>
          <w:rFonts w:cs="Calibri Light"/>
        </w:rPr>
      </w:pPr>
      <w:r w:rsidRPr="00524435">
        <w:rPr>
          <w:rFonts w:cs="Calibri Light"/>
        </w:rPr>
        <w:t xml:space="preserve">The Commission observes with satisfaction that in 2021 progress was made in the total implementation of 11 friendly settlement agreements. In that sense, this year the Commission approved four friendly settlement agreements that have met with total compliance. Accordingly, in 2021 the Commission decided to stop supervising them. In this respect, it should be indicated that in 2021 the Commission approved two friendly settlement agreements on arbitrary dismissal of police agents in Honduras, in the context of the issuance of Decree 58-2001, which attained total compliance prior to its approval by the Commission. Specifically, in </w:t>
      </w:r>
      <w:r w:rsidRPr="00524435">
        <w:rPr>
          <w:rFonts w:cs="Calibri Light"/>
          <w:b/>
        </w:rPr>
        <w:t xml:space="preserve">Case 12.961 E, </w:t>
      </w:r>
      <w:proofErr w:type="spellStart"/>
      <w:r w:rsidRPr="00524435">
        <w:rPr>
          <w:rFonts w:cs="Calibri Light"/>
          <w:b/>
        </w:rPr>
        <w:t>Ecar</w:t>
      </w:r>
      <w:proofErr w:type="spellEnd"/>
      <w:r w:rsidRPr="00524435">
        <w:rPr>
          <w:rFonts w:cs="Calibri Light"/>
          <w:b/>
        </w:rPr>
        <w:t xml:space="preserve"> Fernando Zavala Valladares et al., and Case 12.961 J, Faustino García Cárdenas et al.</w:t>
      </w:r>
      <w:r w:rsidRPr="00524435">
        <w:rPr>
          <w:rFonts w:cs="Calibri Light"/>
        </w:rPr>
        <w:t>, the Honduran State paid economic compensation to the victims</w:t>
      </w:r>
      <w:r w:rsidRPr="00524435">
        <w:rPr>
          <w:rStyle w:val="FootnoteReference"/>
          <w:rFonts w:cs="Calibri Light"/>
        </w:rPr>
        <w:footnoteReference w:id="10"/>
      </w:r>
      <w:r w:rsidRPr="00524435">
        <w:rPr>
          <w:rFonts w:cs="Calibri Light"/>
        </w:rPr>
        <w:t xml:space="preserve">, thus the Commission found that those agreements had met with total compliance. In the context of Case 12.961E, the Commission reported in its Report </w:t>
      </w:r>
      <w:r w:rsidRPr="00524435">
        <w:t xml:space="preserve">No. </w:t>
      </w:r>
      <w:hyperlink r:id="rId13" w:history="1">
        <w:r w:rsidRPr="00524435">
          <w:rPr>
            <w:rStyle w:val="Hyperlink"/>
          </w:rPr>
          <w:t>42/21</w:t>
        </w:r>
      </w:hyperlink>
      <w:r w:rsidRPr="00524435">
        <w:t xml:space="preserve"> that the State paid economic compensation to the 58 beneficiaries of the friendly </w:t>
      </w:r>
      <w:r w:rsidRPr="00524435">
        <w:lastRenderedPageBreak/>
        <w:t xml:space="preserve">settlement agreement in the full amount of 20,580,000 L (twenty million five hundred eighty thousand lempiras), i.e. approximately US$854,495.59 (eight hundred fifty-four thousand four hundred ninety-five dollars and fifty-nine cents). In the second matter, in Report No. </w:t>
      </w:r>
      <w:hyperlink r:id="rId14" w:history="1">
        <w:r w:rsidRPr="00524435">
          <w:rPr>
            <w:rStyle w:val="Hyperlink"/>
          </w:rPr>
          <w:t>205/21</w:t>
        </w:r>
      </w:hyperlink>
      <w:r w:rsidRPr="00524435">
        <w:t xml:space="preserve">, the Commission reported that the State paid economic compensation to the two beneficiaries of the friendly settlement agreement in the total amount of </w:t>
      </w:r>
      <w:r w:rsidRPr="00524435">
        <w:rPr>
          <w:rFonts w:cs="Calibri Light"/>
        </w:rPr>
        <w:t xml:space="preserve">1,020,000 L (one million twenty thousand lempiras), or approximately US$42,961.19 (forty-two thousand nine hundred sixty-one dollars and nineteen cents). </w:t>
      </w:r>
      <w:proofErr w:type="gramStart"/>
      <w:r w:rsidRPr="00524435">
        <w:rPr>
          <w:rFonts w:cs="Calibri Light"/>
        </w:rPr>
        <w:t>In light of</w:t>
      </w:r>
      <w:proofErr w:type="gramEnd"/>
      <w:r w:rsidRPr="00524435">
        <w:rPr>
          <w:rFonts w:cs="Calibri Light"/>
        </w:rPr>
        <w:t xml:space="preserve"> the foregoing, both agreements were approved with total compliance. </w:t>
      </w:r>
    </w:p>
    <w:p w14:paraId="56BDD8FC" w14:textId="77777777" w:rsidR="007E31E3" w:rsidRPr="00524435" w:rsidRDefault="007E31E3" w:rsidP="007E31E3">
      <w:pPr>
        <w:pStyle w:val="ListParagraph"/>
        <w:rPr>
          <w:rFonts w:cs="Calibri Light"/>
        </w:rPr>
      </w:pPr>
      <w:r w:rsidRPr="00524435">
        <w:rPr>
          <w:rFonts w:cs="Calibri Light"/>
        </w:rPr>
        <w:t xml:space="preserve">Along the same lines, with respect to Honduras, the Commission approved the friendly settlement agreement related to </w:t>
      </w:r>
      <w:r w:rsidRPr="00524435">
        <w:rPr>
          <w:rFonts w:cs="Calibri Light"/>
          <w:b/>
          <w:bCs/>
          <w:i/>
          <w:iCs/>
        </w:rPr>
        <w:t>Case 12.960 Ronald Jared Martínez et al.</w:t>
      </w:r>
      <w:r w:rsidRPr="00524435">
        <w:rPr>
          <w:rFonts w:cs="Calibri Light"/>
        </w:rPr>
        <w:t xml:space="preserve"> The case is related to the international responsibility of the State of Honduras stemming from the alleged disproportionate use of force and abuse of authority by the police agents and officers of the National Army that led the child Ronald Jared Martínez to acquire a physical </w:t>
      </w:r>
      <w:r w:rsidRPr="00524435">
        <w:t>disability</w:t>
      </w:r>
      <w:r w:rsidRPr="00524435">
        <w:rPr>
          <w:rFonts w:cs="Calibri Light"/>
        </w:rPr>
        <w:t xml:space="preserve"> (irreversible paraplegia) and the child </w:t>
      </w:r>
      <w:proofErr w:type="spellStart"/>
      <w:r w:rsidRPr="00524435">
        <w:rPr>
          <w:rFonts w:cs="Calibri Light"/>
        </w:rPr>
        <w:t>Marlón</w:t>
      </w:r>
      <w:proofErr w:type="spellEnd"/>
      <w:r w:rsidRPr="00524435">
        <w:rPr>
          <w:rFonts w:cs="Calibri Light"/>
        </w:rPr>
        <w:t xml:space="preserve"> Fabricio Hernández </w:t>
      </w:r>
      <w:proofErr w:type="spellStart"/>
      <w:r w:rsidRPr="00524435">
        <w:rPr>
          <w:rFonts w:cs="Calibri Light"/>
        </w:rPr>
        <w:t>Fúnez</w:t>
      </w:r>
      <w:proofErr w:type="spellEnd"/>
      <w:r w:rsidRPr="00524435">
        <w:rPr>
          <w:rFonts w:cs="Calibri Light"/>
        </w:rPr>
        <w:t xml:space="preserve"> to be injured and with a temporary disability of twenty-one days. On September 22, 2020, the parties signed a friendly settlement agreement, in which the Honduran State undertook to make an economic reparation payment to the beneficiaries, that is, to Ronald Jared Martínez </w:t>
      </w:r>
      <w:proofErr w:type="spellStart"/>
      <w:r w:rsidRPr="00524435">
        <w:rPr>
          <w:rFonts w:cs="Calibri Light"/>
        </w:rPr>
        <w:t>Velásquez</w:t>
      </w:r>
      <w:proofErr w:type="spellEnd"/>
      <w:r w:rsidRPr="00524435">
        <w:rPr>
          <w:rFonts w:cs="Calibri Light"/>
        </w:rPr>
        <w:t xml:space="preserve">, José Roberto Martínez, and Marlon Fabricio Hernández. In this regard, in its Report No. </w:t>
      </w:r>
      <w:hyperlink r:id="rId15" w:history="1">
        <w:r w:rsidRPr="00524435">
          <w:rPr>
            <w:rStyle w:val="Hyperlink"/>
            <w:rFonts w:cs="Calibri Light"/>
          </w:rPr>
          <w:t>269/21</w:t>
        </w:r>
      </w:hyperlink>
      <w:r w:rsidRPr="00524435">
        <w:rPr>
          <w:rFonts w:cs="Calibri Light"/>
          <w:b/>
          <w:bCs/>
          <w:color w:val="FF0000"/>
        </w:rPr>
        <w:t xml:space="preserve"> </w:t>
      </w:r>
      <w:r w:rsidRPr="00524435">
        <w:rPr>
          <w:rFonts w:cs="Calibri Light"/>
        </w:rPr>
        <w:t xml:space="preserve">the Commission assessed total compliance with the sixth clause of the agreement, referring to the payment of economic reparation to the beneficiaries of the agreement. </w:t>
      </w:r>
      <w:proofErr w:type="gramStart"/>
      <w:r w:rsidRPr="00524435">
        <w:rPr>
          <w:rFonts w:cs="Calibri Light"/>
        </w:rPr>
        <w:t>In light of</w:t>
      </w:r>
      <w:proofErr w:type="gramEnd"/>
      <w:r w:rsidRPr="00524435">
        <w:rPr>
          <w:rFonts w:cs="Calibri Light"/>
        </w:rPr>
        <w:t xml:space="preserve"> the foregoing, the IACHR considered that the agreement has met with total compliance and, accordingly, ordered that monitoring end and that the matter be closed. </w:t>
      </w:r>
    </w:p>
    <w:p w14:paraId="6C309EAD" w14:textId="77777777" w:rsidR="007E31E3" w:rsidRPr="00524435" w:rsidRDefault="007E31E3" w:rsidP="007E31E3">
      <w:pPr>
        <w:pStyle w:val="ListParagraph"/>
        <w:rPr>
          <w:rFonts w:cs="Calibri Light"/>
        </w:rPr>
      </w:pPr>
      <w:r w:rsidRPr="00524435">
        <w:rPr>
          <w:rFonts w:cs="Calibri Light"/>
        </w:rPr>
        <w:t xml:space="preserve">In addition, with respect to Argentina, on March 19, 2021, the Commission approved the friendly settlement agreement on </w:t>
      </w:r>
      <w:r w:rsidRPr="00524435">
        <w:rPr>
          <w:rFonts w:cs="Calibri Light"/>
          <w:b/>
        </w:rPr>
        <w:t xml:space="preserve">Petition 245-03, Walter Mauro </w:t>
      </w:r>
      <w:proofErr w:type="spellStart"/>
      <w:r w:rsidRPr="00524435">
        <w:rPr>
          <w:rFonts w:cs="Calibri Light"/>
          <w:b/>
        </w:rPr>
        <w:t>Yáñez</w:t>
      </w:r>
      <w:proofErr w:type="spellEnd"/>
      <w:r w:rsidRPr="00524435">
        <w:rPr>
          <w:rFonts w:cs="Calibri Light"/>
        </w:rPr>
        <w:t xml:space="preserve">, signed November 3, 2009, by the representatives of the victim’s family members and the Argentine State. The case is related to the international responsibility of the Argentine State for the arbitrary execution of Walter </w:t>
      </w:r>
      <w:proofErr w:type="spellStart"/>
      <w:r w:rsidRPr="00524435">
        <w:rPr>
          <w:rFonts w:cs="Calibri Light"/>
        </w:rPr>
        <w:t>Yáñez</w:t>
      </w:r>
      <w:proofErr w:type="spellEnd"/>
      <w:r w:rsidRPr="00524435">
        <w:rPr>
          <w:rFonts w:cs="Calibri Light"/>
        </w:rPr>
        <w:t xml:space="preserve">, who is said to have died on March 11, 2001, as the result of a gunshot wound, purportedly perpetrated by an Infantry Agent of the Mendoza Police, as well as by the lack of investigation and punishment of the persons responsible. In the friendly settlement agreement the Argentine State recognized its international responsibility for the human rights violations committed to the detriment of youth Walter Mauro </w:t>
      </w:r>
      <w:proofErr w:type="spellStart"/>
      <w:r w:rsidRPr="00524435">
        <w:rPr>
          <w:rFonts w:cs="Calibri Light"/>
        </w:rPr>
        <w:t>Yáñez</w:t>
      </w:r>
      <w:proofErr w:type="spellEnd"/>
      <w:r w:rsidRPr="00524435">
        <w:rPr>
          <w:rFonts w:cs="Calibri Light"/>
        </w:rPr>
        <w:t xml:space="preserve"> and the parties ratified compliance with all the measures of reparation agreed upon for the successors of Walter Mauro </w:t>
      </w:r>
      <w:proofErr w:type="spellStart"/>
      <w:r w:rsidRPr="00524435">
        <w:rPr>
          <w:rFonts w:cs="Calibri Light"/>
        </w:rPr>
        <w:t>Yáñez</w:t>
      </w:r>
      <w:proofErr w:type="spellEnd"/>
      <w:r w:rsidRPr="00524435">
        <w:rPr>
          <w:rFonts w:cs="Calibri Light"/>
        </w:rPr>
        <w:t xml:space="preserve">, among which special mention is made of the establishment of a Prosecutorial Human Rights Unit (Unidad Fiscal de Derechos Humanos), entrusted with carrying out the preparatory criminal investigation into crimes committed by members of the security forces and the prison personnel.  In this respect, the Commission found, in its Friendly Settlement Report No. </w:t>
      </w:r>
      <w:hyperlink r:id="rId16" w:history="1">
        <w:r w:rsidRPr="00524435">
          <w:rPr>
            <w:rStyle w:val="Hyperlink"/>
            <w:rFonts w:cs="Calibri Light"/>
          </w:rPr>
          <w:t>39/21</w:t>
        </w:r>
      </w:hyperlink>
      <w:r w:rsidRPr="00524435">
        <w:rPr>
          <w:rFonts w:cs="Calibri Light"/>
        </w:rPr>
        <w:t xml:space="preserve">, total compliance with the measures of reparation contained in the friendly settlement agreement related to holding a public ceremony to apologize to the victim’s family members, training of the members of the security forces and prison personnel, and economic reparation for the victim’s mother, as well as the measure mentioned for a high structural impact, referring to the establishment of a specialized Prosecutorial Human Rights Unit. In view of the foregoing, the Commission found that the agreement had met with total compliance. </w:t>
      </w:r>
    </w:p>
    <w:p w14:paraId="76921E4B" w14:textId="77777777" w:rsidR="007E31E3" w:rsidRPr="00524435" w:rsidRDefault="007E31E3" w:rsidP="007E31E3">
      <w:pPr>
        <w:pStyle w:val="ListParagraph"/>
        <w:rPr>
          <w:rFonts w:cs="Calibri Light"/>
        </w:rPr>
      </w:pPr>
      <w:r w:rsidRPr="00524435">
        <w:rPr>
          <w:rFonts w:cs="Calibri Light"/>
        </w:rPr>
        <w:t xml:space="preserve">In the context of monitoring friendly settlement agreements approved by the Commission, in 2021 major progress was observed in </w:t>
      </w:r>
      <w:r w:rsidRPr="00524435">
        <w:t>terms</w:t>
      </w:r>
      <w:r w:rsidRPr="00524435">
        <w:rPr>
          <w:rFonts w:cs="Calibri Light"/>
        </w:rPr>
        <w:t xml:space="preserve"> of total compliance with seven friendly settlement agreements that were already subject to that monitoring mechanism, in the following terms, the details of which can be found in the respective country data sheets with the corresponding findings: </w:t>
      </w:r>
    </w:p>
    <w:p w14:paraId="666F6962" w14:textId="77777777" w:rsidR="007E31E3" w:rsidRPr="003F238D" w:rsidRDefault="007E31E3" w:rsidP="0009324C">
      <w:pPr>
        <w:pStyle w:val="FootnoteText"/>
        <w:numPr>
          <w:ilvl w:val="0"/>
          <w:numId w:val="20"/>
        </w:numPr>
        <w:jc w:val="both"/>
        <w:rPr>
          <w:rFonts w:ascii="Cambria" w:hAnsi="Cambria"/>
          <w:lang w:val="es-US"/>
        </w:rPr>
      </w:pPr>
      <w:proofErr w:type="spellStart"/>
      <w:r w:rsidRPr="003F238D">
        <w:rPr>
          <w:rFonts w:ascii="Cambria" w:hAnsi="Cambria"/>
          <w:lang w:val="es-US"/>
        </w:rPr>
        <w:t>Petition</w:t>
      </w:r>
      <w:proofErr w:type="spellEnd"/>
      <w:r w:rsidRPr="003F238D">
        <w:rPr>
          <w:rFonts w:ascii="Cambria" w:hAnsi="Cambria"/>
          <w:lang w:val="es-US"/>
        </w:rPr>
        <w:t xml:space="preserve"> 242-03, </w:t>
      </w:r>
      <w:proofErr w:type="spellStart"/>
      <w:r w:rsidRPr="003F238D">
        <w:rPr>
          <w:rFonts w:ascii="Cambria" w:hAnsi="Cambria"/>
          <w:lang w:val="es-US"/>
        </w:rPr>
        <w:t>Report</w:t>
      </w:r>
      <w:proofErr w:type="spellEnd"/>
      <w:r w:rsidRPr="003F238D">
        <w:rPr>
          <w:rFonts w:ascii="Cambria" w:hAnsi="Cambria"/>
          <w:lang w:val="es-US"/>
        </w:rPr>
        <w:t xml:space="preserve"> No. 160/10, Inocencia Luca </w:t>
      </w:r>
      <w:proofErr w:type="spellStart"/>
      <w:r w:rsidRPr="003F238D">
        <w:rPr>
          <w:rFonts w:ascii="Cambria" w:hAnsi="Cambria"/>
          <w:lang w:val="es-US"/>
        </w:rPr>
        <w:t>Pegoraro</w:t>
      </w:r>
      <w:proofErr w:type="spellEnd"/>
      <w:r w:rsidRPr="003F238D">
        <w:rPr>
          <w:rFonts w:ascii="Cambria" w:hAnsi="Cambria"/>
          <w:lang w:val="es-US"/>
        </w:rPr>
        <w:t xml:space="preserve"> (Argentina); </w:t>
      </w:r>
    </w:p>
    <w:p w14:paraId="5B2ABAF4" w14:textId="77777777" w:rsidR="007E31E3" w:rsidRPr="00524435" w:rsidRDefault="007E31E3" w:rsidP="0009324C">
      <w:pPr>
        <w:pStyle w:val="FootnoteText"/>
        <w:numPr>
          <w:ilvl w:val="0"/>
          <w:numId w:val="20"/>
        </w:numPr>
        <w:jc w:val="both"/>
        <w:rPr>
          <w:rFonts w:ascii="Cambria" w:hAnsi="Cambria"/>
        </w:rPr>
      </w:pPr>
      <w:r w:rsidRPr="00524435">
        <w:rPr>
          <w:rFonts w:ascii="Cambria" w:hAnsi="Cambria"/>
        </w:rPr>
        <w:t>Case 13.011, Report No. 197/20, Graciela Ramos Rocha and family (Argentina</w:t>
      </w:r>
      <w:proofErr w:type="gramStart"/>
      <w:r w:rsidRPr="00524435">
        <w:rPr>
          <w:rFonts w:ascii="Cambria" w:hAnsi="Cambria"/>
        </w:rPr>
        <w:t>);</w:t>
      </w:r>
      <w:proofErr w:type="gramEnd"/>
    </w:p>
    <w:p w14:paraId="11530121" w14:textId="77777777" w:rsidR="007E31E3" w:rsidRPr="003F238D" w:rsidRDefault="007E31E3" w:rsidP="0009324C">
      <w:pPr>
        <w:pStyle w:val="FootnoteText"/>
        <w:numPr>
          <w:ilvl w:val="0"/>
          <w:numId w:val="20"/>
        </w:numPr>
        <w:jc w:val="both"/>
        <w:rPr>
          <w:rFonts w:ascii="Cambria" w:hAnsi="Cambria"/>
          <w:lang w:val="es-US"/>
        </w:rPr>
      </w:pPr>
      <w:r w:rsidRPr="003F238D">
        <w:rPr>
          <w:rFonts w:ascii="Cambria" w:hAnsi="Cambria"/>
          <w:lang w:val="es-US"/>
        </w:rPr>
        <w:t xml:space="preserve">Case 12.957, </w:t>
      </w:r>
      <w:proofErr w:type="spellStart"/>
      <w:r w:rsidRPr="003F238D">
        <w:rPr>
          <w:rFonts w:ascii="Cambria" w:hAnsi="Cambria"/>
          <w:lang w:val="es-US"/>
        </w:rPr>
        <w:t>Report</w:t>
      </w:r>
      <w:proofErr w:type="spellEnd"/>
      <w:r w:rsidRPr="003F238D">
        <w:rPr>
          <w:rFonts w:ascii="Cambria" w:hAnsi="Cambria"/>
          <w:lang w:val="es-US"/>
        </w:rPr>
        <w:t xml:space="preserve"> No. 167/18, Luis Bolívar Hernández Peñaherrera (Ecuador); </w:t>
      </w:r>
    </w:p>
    <w:p w14:paraId="385F0457" w14:textId="77777777" w:rsidR="007E31E3" w:rsidRPr="003F238D" w:rsidRDefault="007E31E3" w:rsidP="0009324C">
      <w:pPr>
        <w:pStyle w:val="FootnoteText"/>
        <w:numPr>
          <w:ilvl w:val="0"/>
          <w:numId w:val="20"/>
        </w:numPr>
        <w:jc w:val="both"/>
        <w:rPr>
          <w:rFonts w:ascii="Cambria" w:hAnsi="Cambria"/>
          <w:lang w:val="es-US"/>
        </w:rPr>
      </w:pPr>
      <w:r w:rsidRPr="003F238D">
        <w:rPr>
          <w:rFonts w:ascii="Cambria" w:hAnsi="Cambria"/>
          <w:lang w:val="es-US"/>
        </w:rPr>
        <w:t xml:space="preserve">Case 12.847, </w:t>
      </w:r>
      <w:proofErr w:type="spellStart"/>
      <w:r w:rsidRPr="003F238D">
        <w:rPr>
          <w:rFonts w:ascii="Cambria" w:hAnsi="Cambria"/>
          <w:lang w:val="es-US"/>
        </w:rPr>
        <w:t>Report</w:t>
      </w:r>
      <w:proofErr w:type="spellEnd"/>
      <w:r w:rsidRPr="003F238D">
        <w:rPr>
          <w:rFonts w:ascii="Cambria" w:hAnsi="Cambria"/>
          <w:lang w:val="es-US"/>
        </w:rPr>
        <w:t xml:space="preserve"> No. 16/16, Vicenta Sánchez Valdivieso (</w:t>
      </w:r>
      <w:proofErr w:type="spellStart"/>
      <w:r w:rsidRPr="003F238D">
        <w:rPr>
          <w:rFonts w:ascii="Cambria" w:hAnsi="Cambria"/>
          <w:lang w:val="es-US"/>
        </w:rPr>
        <w:t>Mexico</w:t>
      </w:r>
      <w:proofErr w:type="spellEnd"/>
      <w:r w:rsidRPr="003F238D">
        <w:rPr>
          <w:rFonts w:ascii="Cambria" w:hAnsi="Cambria"/>
          <w:lang w:val="es-US"/>
        </w:rPr>
        <w:t xml:space="preserve">); </w:t>
      </w:r>
    </w:p>
    <w:p w14:paraId="30363DAC" w14:textId="77777777" w:rsidR="007E31E3" w:rsidRPr="003F238D" w:rsidRDefault="007E31E3" w:rsidP="0009324C">
      <w:pPr>
        <w:pStyle w:val="FootnoteText"/>
        <w:numPr>
          <w:ilvl w:val="0"/>
          <w:numId w:val="20"/>
        </w:numPr>
        <w:jc w:val="both"/>
        <w:rPr>
          <w:rFonts w:ascii="Cambria" w:hAnsi="Cambria"/>
          <w:lang w:val="es-US"/>
        </w:rPr>
      </w:pPr>
      <w:r w:rsidRPr="003F238D">
        <w:rPr>
          <w:rFonts w:ascii="Cambria" w:hAnsi="Cambria"/>
          <w:lang w:val="es-US"/>
        </w:rPr>
        <w:t xml:space="preserve">Case 12.627, </w:t>
      </w:r>
      <w:proofErr w:type="spellStart"/>
      <w:r w:rsidRPr="003F238D">
        <w:rPr>
          <w:rFonts w:ascii="Cambria" w:hAnsi="Cambria"/>
          <w:lang w:val="es-US"/>
        </w:rPr>
        <w:t>Report</w:t>
      </w:r>
      <w:proofErr w:type="spellEnd"/>
      <w:r w:rsidRPr="003F238D">
        <w:rPr>
          <w:rFonts w:ascii="Cambria" w:hAnsi="Cambria"/>
          <w:lang w:val="es-US"/>
        </w:rPr>
        <w:t xml:space="preserve"> No. 92/17, Maria Nicolasa García Reynoso (</w:t>
      </w:r>
      <w:proofErr w:type="spellStart"/>
      <w:r w:rsidRPr="003F238D">
        <w:rPr>
          <w:rFonts w:ascii="Cambria" w:hAnsi="Cambria"/>
          <w:lang w:val="es-US"/>
        </w:rPr>
        <w:t>Mexico</w:t>
      </w:r>
      <w:proofErr w:type="spellEnd"/>
      <w:r w:rsidRPr="003F238D">
        <w:rPr>
          <w:rFonts w:ascii="Cambria" w:hAnsi="Cambria"/>
          <w:lang w:val="es-US"/>
        </w:rPr>
        <w:t xml:space="preserve">); </w:t>
      </w:r>
    </w:p>
    <w:p w14:paraId="2BE8AE93" w14:textId="77777777" w:rsidR="007E31E3" w:rsidRPr="00524435" w:rsidRDefault="007E31E3" w:rsidP="0009324C">
      <w:pPr>
        <w:pStyle w:val="FootnoteText"/>
        <w:numPr>
          <w:ilvl w:val="0"/>
          <w:numId w:val="20"/>
        </w:numPr>
        <w:jc w:val="both"/>
        <w:rPr>
          <w:rFonts w:ascii="Cambria" w:hAnsi="Cambria"/>
        </w:rPr>
      </w:pPr>
      <w:r w:rsidRPr="003F238D">
        <w:rPr>
          <w:rFonts w:ascii="Cambria" w:hAnsi="Cambria"/>
          <w:lang w:val="es-US"/>
        </w:rPr>
        <w:t xml:space="preserve">Case 12.915, </w:t>
      </w:r>
      <w:proofErr w:type="spellStart"/>
      <w:r w:rsidRPr="003F238D">
        <w:rPr>
          <w:rFonts w:ascii="Cambria" w:hAnsi="Cambria"/>
          <w:lang w:val="es-US"/>
        </w:rPr>
        <w:t>Report</w:t>
      </w:r>
      <w:proofErr w:type="spellEnd"/>
      <w:r w:rsidRPr="003F238D">
        <w:rPr>
          <w:rFonts w:ascii="Cambria" w:hAnsi="Cambria"/>
          <w:lang w:val="es-US"/>
        </w:rPr>
        <w:t xml:space="preserve"> No. 2/20, Angel Díaz Cruz et al. </w:t>
      </w:r>
      <w:r w:rsidRPr="00524435">
        <w:rPr>
          <w:rFonts w:ascii="Cambria" w:hAnsi="Cambria"/>
        </w:rPr>
        <w:t xml:space="preserve">(Mexico); </w:t>
      </w:r>
    </w:p>
    <w:p w14:paraId="187E14FF" w14:textId="270A9027" w:rsidR="007E31E3" w:rsidRPr="007A5442" w:rsidRDefault="007E31E3" w:rsidP="0009324C">
      <w:pPr>
        <w:pStyle w:val="FootnoteText"/>
        <w:numPr>
          <w:ilvl w:val="0"/>
          <w:numId w:val="20"/>
        </w:numPr>
        <w:jc w:val="both"/>
        <w:rPr>
          <w:rFonts w:ascii="Cambria" w:hAnsi="Cambria" w:cs="Calibri Light"/>
          <w:lang w:val="pt-PT"/>
        </w:rPr>
      </w:pPr>
      <w:r w:rsidRPr="007A5442">
        <w:rPr>
          <w:rFonts w:ascii="Cambria" w:hAnsi="Cambria"/>
          <w:lang w:val="pt-PT"/>
        </w:rPr>
        <w:t>Case 12.374, Report No. 85/20, Jorge Enrique Patiño Palacios (Paraguay).</w:t>
      </w:r>
    </w:p>
    <w:p w14:paraId="5B48EF0C" w14:textId="11D0FF0A" w:rsidR="00A966FA" w:rsidRPr="007A5442" w:rsidRDefault="00A966FA" w:rsidP="00A966FA">
      <w:pPr>
        <w:pStyle w:val="FootnoteText"/>
        <w:jc w:val="both"/>
        <w:rPr>
          <w:rFonts w:ascii="Cambria" w:hAnsi="Cambria" w:cs="Calibri Light"/>
          <w:lang w:val="pt-PT"/>
        </w:rPr>
      </w:pPr>
    </w:p>
    <w:p w14:paraId="19D4F01C" w14:textId="77777777" w:rsidR="00F0077A" w:rsidRPr="007A5442" w:rsidRDefault="00F0077A" w:rsidP="00A966FA">
      <w:pPr>
        <w:pStyle w:val="FootnoteText"/>
        <w:jc w:val="both"/>
        <w:rPr>
          <w:rFonts w:ascii="Cambria" w:hAnsi="Cambria" w:cs="Calibri Light"/>
          <w:lang w:val="pt-PT"/>
        </w:rPr>
      </w:pPr>
    </w:p>
    <w:p w14:paraId="48FF29D5" w14:textId="77777777" w:rsidR="007E31E3" w:rsidRPr="00524435" w:rsidRDefault="007E31E3" w:rsidP="00A966FA">
      <w:pPr>
        <w:pStyle w:val="ListParagraph"/>
      </w:pPr>
      <w:r w:rsidRPr="00524435">
        <w:t xml:space="preserve">The Commission considers that this progress is very important, and commends the states of Argentina, Ecuador, Honduras, Mexico, and Paraguay for advancing in the full implementation of friendly settlement agreements and urges them to continue making use of the mechanism for resolving matters that are pending in the system of individual petitions and cases by having recourse to this non-contentious procedure. </w:t>
      </w:r>
    </w:p>
    <w:p w14:paraId="6A85FD3E" w14:textId="77777777" w:rsidR="007E31E3" w:rsidRPr="00524435" w:rsidRDefault="007E31E3" w:rsidP="00A966FA">
      <w:pPr>
        <w:pStyle w:val="Heading4"/>
        <w:rPr>
          <w:szCs w:val="20"/>
        </w:rPr>
      </w:pPr>
      <w:r w:rsidRPr="00524435">
        <w:t>Progress toward Implementing Friendly Settlement Agreements in 2021</w:t>
      </w:r>
    </w:p>
    <w:p w14:paraId="11D0088A" w14:textId="77777777" w:rsidR="007E31E3" w:rsidRPr="00524435" w:rsidRDefault="007E31E3" w:rsidP="007E31E3">
      <w:pPr>
        <w:pStyle w:val="ListParagraph"/>
        <w:rPr>
          <w:rFonts w:cs="Calibri Light"/>
        </w:rPr>
      </w:pPr>
      <w:r w:rsidRPr="00524435">
        <w:rPr>
          <w:rFonts w:cs="Calibri Light"/>
        </w:rPr>
        <w:t>The Commission is pleased to observe progress in the implementation of measures in 50 friendly settlement agreements. In addition, it was observed in the Commission’s analysis that in 2021, 11 petitions and cases reached total compliance</w:t>
      </w:r>
      <w:r w:rsidRPr="00524435">
        <w:rPr>
          <w:rStyle w:val="FootnoteReference"/>
          <w:rFonts w:cs="Calibri Light"/>
        </w:rPr>
        <w:footnoteReference w:id="11"/>
      </w:r>
      <w:r w:rsidRPr="00524435">
        <w:rPr>
          <w:rFonts w:cs="Calibri Light"/>
        </w:rPr>
        <w:t xml:space="preserve"> and 12 cases met with partial compliance.</w:t>
      </w:r>
      <w:r w:rsidRPr="00524435">
        <w:rPr>
          <w:rStyle w:val="FootnoteReference"/>
          <w:rFonts w:cs="Calibri Light"/>
        </w:rPr>
        <w:footnoteReference w:id="12"/>
      </w:r>
      <w:r w:rsidRPr="00524435">
        <w:rPr>
          <w:rFonts w:cs="Calibri Light"/>
        </w:rPr>
        <w:t xml:space="preserve"> </w:t>
      </w:r>
    </w:p>
    <w:p w14:paraId="77EB14AE" w14:textId="77777777" w:rsidR="007E31E3" w:rsidRPr="00524435" w:rsidRDefault="007E31E3" w:rsidP="007E31E3">
      <w:pPr>
        <w:pStyle w:val="ListParagraph"/>
        <w:rPr>
          <w:rFonts w:cs="Calibri Light"/>
        </w:rPr>
      </w:pPr>
      <w:r w:rsidRPr="00524435">
        <w:rPr>
          <w:rFonts w:cs="Calibri Light"/>
        </w:rPr>
        <w:t xml:space="preserve">Additionally, the Commission observes that progress was made in implementing </w:t>
      </w:r>
      <w:r w:rsidRPr="00524435">
        <w:rPr>
          <w:rFonts w:cs="Calibri Light"/>
          <w:b/>
          <w:bCs/>
        </w:rPr>
        <w:t>132</w:t>
      </w:r>
      <w:r w:rsidRPr="00524435">
        <w:rPr>
          <w:rFonts w:cs="Calibri Light"/>
        </w:rPr>
        <w:t xml:space="preserve"> measures, attaining total </w:t>
      </w:r>
      <w:r w:rsidRPr="00524435">
        <w:t>compliance</w:t>
      </w:r>
      <w:r w:rsidRPr="00524435">
        <w:rPr>
          <w:rFonts w:cs="Calibri Light"/>
        </w:rPr>
        <w:t xml:space="preserve"> with respect to </w:t>
      </w:r>
      <w:r w:rsidRPr="00524435">
        <w:rPr>
          <w:rFonts w:cs="Calibri Light"/>
          <w:b/>
          <w:bCs/>
        </w:rPr>
        <w:t>94</w:t>
      </w:r>
      <w:r w:rsidRPr="00524435">
        <w:rPr>
          <w:rFonts w:cs="Calibri Light"/>
        </w:rPr>
        <w:t xml:space="preserve"> measures of reparation; partial substantial compliance with respect to </w:t>
      </w:r>
      <w:r w:rsidRPr="00524435">
        <w:rPr>
          <w:rFonts w:cs="Calibri Light"/>
          <w:b/>
          <w:bCs/>
        </w:rPr>
        <w:t>12</w:t>
      </w:r>
      <w:r w:rsidRPr="00524435">
        <w:rPr>
          <w:rFonts w:cs="Calibri Light"/>
        </w:rPr>
        <w:t xml:space="preserve"> measures of reparation; and partial compliance with respect to </w:t>
      </w:r>
      <w:r w:rsidRPr="00524435">
        <w:rPr>
          <w:rFonts w:cs="Calibri Light"/>
          <w:b/>
          <w:bCs/>
        </w:rPr>
        <w:t xml:space="preserve">26 </w:t>
      </w:r>
      <w:r w:rsidRPr="00524435">
        <w:rPr>
          <w:rFonts w:cs="Calibri Light"/>
        </w:rPr>
        <w:t xml:space="preserve">measures of reparation. Of the </w:t>
      </w:r>
      <w:r w:rsidRPr="00524435">
        <w:rPr>
          <w:rFonts w:cs="Calibri Light"/>
          <w:b/>
          <w:bCs/>
        </w:rPr>
        <w:t>132</w:t>
      </w:r>
      <w:r w:rsidRPr="00524435">
        <w:rPr>
          <w:rFonts w:cs="Calibri Light"/>
        </w:rPr>
        <w:t xml:space="preserve"> measures that saw progress in 2021, </w:t>
      </w:r>
      <w:r w:rsidRPr="00524435">
        <w:rPr>
          <w:rFonts w:cs="Calibri Light"/>
          <w:b/>
          <w:bCs/>
        </w:rPr>
        <w:t>42</w:t>
      </w:r>
      <w:r w:rsidRPr="00524435">
        <w:rPr>
          <w:rFonts w:cs="Calibri Light"/>
        </w:rPr>
        <w:t xml:space="preserve"> are structural and </w:t>
      </w:r>
      <w:r w:rsidRPr="00524435">
        <w:rPr>
          <w:rFonts w:cs="Calibri Light"/>
          <w:b/>
          <w:bCs/>
        </w:rPr>
        <w:t xml:space="preserve">90 </w:t>
      </w:r>
      <w:r w:rsidRPr="00524435">
        <w:rPr>
          <w:rFonts w:cs="Calibri Light"/>
        </w:rPr>
        <w:t xml:space="preserve">are individual in nature. </w:t>
      </w:r>
    </w:p>
    <w:p w14:paraId="67A241CD" w14:textId="77777777" w:rsidR="007E31E3" w:rsidRPr="00524435" w:rsidRDefault="007E31E3" w:rsidP="007E31E3">
      <w:pPr>
        <w:pStyle w:val="ListParagraph"/>
        <w:rPr>
          <w:rFonts w:cs="Calibri Light"/>
        </w:rPr>
      </w:pPr>
      <w:r w:rsidRPr="00524435">
        <w:rPr>
          <w:rFonts w:cs="Calibri Light"/>
        </w:rPr>
        <w:t xml:space="preserve">In this respect, the Commission observes that the countries that saw the most progress in implementing measures were, first, Colombia, with 27 measures on which progress was made in 2021, 15 of which attained total compliance, 3 with partial substantial compliance, and 9 attained partial compliance. In addition, Paraguay made progress </w:t>
      </w:r>
      <w:r w:rsidRPr="00524435">
        <w:t>in</w:t>
      </w:r>
      <w:r w:rsidRPr="00524435">
        <w:rPr>
          <w:rFonts w:cs="Calibri Light"/>
        </w:rPr>
        <w:t xml:space="preserve"> compliance with 24 measures (22 with full compliance and 2 with partial compliance); Mexico made progress in 21 measures, with total compliance of 15 measures, partial substantial compliance with 3 clauses, as well as partial compliance with another 3 clauses. In the case of Argentina, it was observed that said State was able to move forward in the implementation of 20 measures of reparation (16 with total compliance; 3 with partial substantial compliance and partial compliance in 1 clause). </w:t>
      </w:r>
    </w:p>
    <w:p w14:paraId="1EB7BFA7" w14:textId="77777777" w:rsidR="007E31E3" w:rsidRPr="00524435" w:rsidRDefault="007E31E3" w:rsidP="007E31E3">
      <w:pPr>
        <w:pStyle w:val="ListParagraph"/>
        <w:rPr>
          <w:rFonts w:cs="Calibri Light"/>
        </w:rPr>
      </w:pPr>
      <w:r w:rsidRPr="00524435">
        <w:rPr>
          <w:rFonts w:cs="Calibri Light"/>
        </w:rPr>
        <w:t xml:space="preserve">Other states that showed gains in implementing friendly settlement agreements were Brazil, which made progress in </w:t>
      </w:r>
      <w:r w:rsidRPr="00524435">
        <w:t>compliance</w:t>
      </w:r>
      <w:r w:rsidRPr="00524435">
        <w:rPr>
          <w:rFonts w:cs="Calibri Light"/>
        </w:rPr>
        <w:t xml:space="preserve"> with 14 measures (7 with total compliance, 2 with partial substantial compliance, and 5 with partial compliance); Honduras, which also achieved compliance with 14 clauses (10 with total compliance and 4 with partial compliance); and Guatemala, which made gains in 9 clauses (7 with total compliance and 2 with partial compliance). Finally, Ecuador made progress with total compliance of 2 measures and Peru in partial substantial compliance with 1 measure. </w:t>
      </w:r>
    </w:p>
    <w:p w14:paraId="0458DCEC" w14:textId="77777777" w:rsidR="00F0077A" w:rsidRPr="00524435" w:rsidRDefault="00F0077A">
      <w:pPr>
        <w:rPr>
          <w:rFonts w:ascii="Cambria" w:eastAsia="Calibri" w:hAnsi="Cambria" w:cs="Calibri Light"/>
          <w:sz w:val="20"/>
          <w:szCs w:val="20"/>
        </w:rPr>
      </w:pPr>
      <w:r w:rsidRPr="00524435">
        <w:rPr>
          <w:rFonts w:cs="Calibri Light"/>
        </w:rPr>
        <w:br w:type="page"/>
      </w:r>
    </w:p>
    <w:p w14:paraId="5937BFC6" w14:textId="190C34F8" w:rsidR="007E31E3" w:rsidRPr="00524435" w:rsidRDefault="007E31E3" w:rsidP="007E31E3">
      <w:pPr>
        <w:pStyle w:val="ListParagraph"/>
        <w:rPr>
          <w:rFonts w:cs="Calibri Light"/>
        </w:rPr>
      </w:pPr>
      <w:r w:rsidRPr="00524435">
        <w:rPr>
          <w:rFonts w:cs="Calibri Light"/>
        </w:rPr>
        <w:lastRenderedPageBreak/>
        <w:t xml:space="preserve">The following is a </w:t>
      </w:r>
      <w:r w:rsidRPr="00524435">
        <w:t>detail</w:t>
      </w:r>
      <w:r w:rsidRPr="00524435">
        <w:rPr>
          <w:rFonts w:cs="Calibri Light"/>
        </w:rPr>
        <w:t xml:space="preserve"> of the specific progress in each case by country in total, substantial partial, and partial compliance with the clauses of the friendly settlement agreements as of 2021:</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1418"/>
        <w:gridCol w:w="1081"/>
        <w:gridCol w:w="1262"/>
        <w:gridCol w:w="4042"/>
        <w:gridCol w:w="1411"/>
        <w:gridCol w:w="29"/>
      </w:tblGrid>
      <w:tr w:rsidR="007E31E3" w:rsidRPr="00524435" w14:paraId="7FD6EAAC" w14:textId="77777777" w:rsidTr="00820229">
        <w:tc>
          <w:tcPr>
            <w:tcW w:w="9805" w:type="dxa"/>
            <w:gridSpan w:val="7"/>
            <w:tcBorders>
              <w:bottom w:val="single" w:sz="4" w:space="0" w:color="auto"/>
            </w:tcBorders>
            <w:shd w:val="clear" w:color="auto" w:fill="002060"/>
            <w:tcMar>
              <w:top w:w="0" w:type="dxa"/>
              <w:left w:w="108" w:type="dxa"/>
              <w:bottom w:w="0" w:type="dxa"/>
              <w:right w:w="108" w:type="dxa"/>
            </w:tcMar>
            <w:vAlign w:val="center"/>
          </w:tcPr>
          <w:p w14:paraId="034D0F43" w14:textId="77777777" w:rsidR="007E31E3" w:rsidRPr="00524435" w:rsidRDefault="007E31E3" w:rsidP="00820229">
            <w:pPr>
              <w:ind w:right="-18"/>
              <w:jc w:val="center"/>
              <w:rPr>
                <w:rFonts w:ascii="Cambria" w:eastAsia="MS Mincho" w:hAnsi="Cambria" w:cs="Times New Roman"/>
                <w:b/>
                <w:sz w:val="18"/>
                <w:szCs w:val="18"/>
              </w:rPr>
            </w:pPr>
            <w:r w:rsidRPr="00524435">
              <w:rPr>
                <w:rFonts w:ascii="Cambria" w:eastAsia="MS Mincho" w:hAnsi="Cambria" w:cs="Times New Roman"/>
                <w:b/>
                <w:sz w:val="18"/>
                <w:szCs w:val="18"/>
              </w:rPr>
              <w:t>PROGRESS REPORT ON THE IMPLEMENTATION OF FRIENDLY SETTLEMENT AGREEMENTS</w:t>
            </w:r>
          </w:p>
          <w:p w14:paraId="3E4F35FC" w14:textId="77777777" w:rsidR="007E31E3" w:rsidRPr="00524435" w:rsidRDefault="007E31E3" w:rsidP="00820229">
            <w:pPr>
              <w:ind w:right="-18"/>
              <w:jc w:val="center"/>
              <w:rPr>
                <w:rFonts w:ascii="Cambria" w:hAnsi="Cambria"/>
                <w:b/>
                <w:sz w:val="18"/>
                <w:szCs w:val="18"/>
              </w:rPr>
            </w:pPr>
            <w:r w:rsidRPr="00524435">
              <w:rPr>
                <w:rFonts w:ascii="Cambria" w:eastAsia="MS Mincho" w:hAnsi="Cambria" w:cs="Times New Roman"/>
                <w:b/>
                <w:sz w:val="18"/>
                <w:szCs w:val="18"/>
              </w:rPr>
              <w:t xml:space="preserve">  2021</w:t>
            </w:r>
          </w:p>
        </w:tc>
      </w:tr>
      <w:tr w:rsidR="007E31E3" w:rsidRPr="00524435" w14:paraId="5FC8AD18" w14:textId="77777777" w:rsidTr="00820229">
        <w:tc>
          <w:tcPr>
            <w:tcW w:w="562" w:type="dxa"/>
            <w:tcBorders>
              <w:bottom w:val="single" w:sz="4" w:space="0" w:color="auto"/>
            </w:tcBorders>
            <w:shd w:val="clear" w:color="auto" w:fill="92D050"/>
            <w:tcMar>
              <w:top w:w="0" w:type="dxa"/>
              <w:left w:w="108" w:type="dxa"/>
              <w:bottom w:w="0" w:type="dxa"/>
              <w:right w:w="108" w:type="dxa"/>
            </w:tcMar>
            <w:vAlign w:val="center"/>
            <w:hideMark/>
          </w:tcPr>
          <w:p w14:paraId="72F5CF6D" w14:textId="77777777" w:rsidR="007E31E3" w:rsidRPr="00524435" w:rsidRDefault="007E31E3" w:rsidP="00820229">
            <w:pPr>
              <w:ind w:right="-18"/>
              <w:jc w:val="center"/>
              <w:rPr>
                <w:rFonts w:ascii="Cambria" w:eastAsia="MS Mincho" w:hAnsi="Cambria" w:cs="Times New Roman"/>
                <w:b/>
                <w:sz w:val="18"/>
                <w:szCs w:val="18"/>
              </w:rPr>
            </w:pPr>
            <w:r w:rsidRPr="00524435">
              <w:rPr>
                <w:rFonts w:ascii="Cambria" w:eastAsia="MS Mincho" w:hAnsi="Cambria" w:cs="Times New Roman"/>
                <w:b/>
                <w:sz w:val="18"/>
                <w:szCs w:val="18"/>
              </w:rPr>
              <w:t>No.</w:t>
            </w:r>
          </w:p>
        </w:tc>
        <w:tc>
          <w:tcPr>
            <w:tcW w:w="1418" w:type="dxa"/>
            <w:tcBorders>
              <w:bottom w:val="single" w:sz="4" w:space="0" w:color="auto"/>
            </w:tcBorders>
            <w:shd w:val="clear" w:color="auto" w:fill="92D050"/>
            <w:tcMar>
              <w:top w:w="0" w:type="dxa"/>
              <w:left w:w="108" w:type="dxa"/>
              <w:bottom w:w="0" w:type="dxa"/>
              <w:right w:w="108" w:type="dxa"/>
            </w:tcMar>
            <w:vAlign w:val="center"/>
            <w:hideMark/>
          </w:tcPr>
          <w:p w14:paraId="5B238E0B" w14:textId="77777777" w:rsidR="007E31E3" w:rsidRPr="00524435" w:rsidRDefault="007E31E3" w:rsidP="00820229">
            <w:pPr>
              <w:ind w:right="-18"/>
              <w:jc w:val="center"/>
              <w:rPr>
                <w:rFonts w:ascii="Cambria" w:eastAsia="MS Mincho" w:hAnsi="Cambria" w:cs="Times New Roman"/>
                <w:b/>
                <w:sz w:val="18"/>
                <w:szCs w:val="18"/>
              </w:rPr>
            </w:pPr>
            <w:r w:rsidRPr="00524435">
              <w:rPr>
                <w:rFonts w:ascii="Cambria" w:eastAsia="MS Mincho" w:hAnsi="Cambria" w:cs="Times New Roman"/>
                <w:b/>
                <w:sz w:val="18"/>
                <w:szCs w:val="18"/>
              </w:rPr>
              <w:t>Matter</w:t>
            </w:r>
          </w:p>
        </w:tc>
        <w:tc>
          <w:tcPr>
            <w:tcW w:w="1081" w:type="dxa"/>
            <w:tcBorders>
              <w:bottom w:val="single" w:sz="4" w:space="0" w:color="auto"/>
            </w:tcBorders>
            <w:shd w:val="clear" w:color="auto" w:fill="92D050"/>
            <w:tcMar>
              <w:top w:w="0" w:type="dxa"/>
              <w:left w:w="108" w:type="dxa"/>
              <w:bottom w:w="0" w:type="dxa"/>
              <w:right w:w="108" w:type="dxa"/>
            </w:tcMar>
            <w:vAlign w:val="center"/>
            <w:hideMark/>
          </w:tcPr>
          <w:p w14:paraId="7E0D292A" w14:textId="77777777" w:rsidR="007E31E3" w:rsidRPr="00524435" w:rsidRDefault="007E31E3" w:rsidP="00820229">
            <w:pPr>
              <w:ind w:right="-18"/>
              <w:jc w:val="center"/>
              <w:rPr>
                <w:rFonts w:ascii="Cambria" w:eastAsia="MS Mincho" w:hAnsi="Cambria" w:cs="Times New Roman"/>
                <w:b/>
                <w:sz w:val="18"/>
                <w:szCs w:val="18"/>
              </w:rPr>
            </w:pPr>
            <w:r w:rsidRPr="00524435">
              <w:rPr>
                <w:rFonts w:ascii="Cambria" w:eastAsia="MS Mincho" w:hAnsi="Cambria" w:cs="Times New Roman"/>
                <w:b/>
                <w:sz w:val="18"/>
                <w:szCs w:val="18"/>
              </w:rPr>
              <w:t>Impact</w:t>
            </w:r>
          </w:p>
        </w:tc>
        <w:tc>
          <w:tcPr>
            <w:tcW w:w="5304" w:type="dxa"/>
            <w:gridSpan w:val="2"/>
            <w:tcBorders>
              <w:bottom w:val="single" w:sz="4" w:space="0" w:color="auto"/>
            </w:tcBorders>
            <w:shd w:val="clear" w:color="auto" w:fill="92D050"/>
            <w:tcMar>
              <w:top w:w="0" w:type="dxa"/>
              <w:left w:w="108" w:type="dxa"/>
              <w:bottom w:w="0" w:type="dxa"/>
              <w:right w:w="108" w:type="dxa"/>
            </w:tcMar>
            <w:vAlign w:val="center"/>
            <w:hideMark/>
          </w:tcPr>
          <w:p w14:paraId="59F1230C" w14:textId="77777777" w:rsidR="007E31E3" w:rsidRPr="00524435" w:rsidRDefault="007E31E3" w:rsidP="00820229">
            <w:pPr>
              <w:ind w:right="-18"/>
              <w:jc w:val="center"/>
              <w:rPr>
                <w:rFonts w:ascii="Cambria" w:eastAsia="MS Mincho" w:hAnsi="Cambria" w:cs="Times New Roman"/>
                <w:b/>
                <w:sz w:val="18"/>
                <w:szCs w:val="18"/>
              </w:rPr>
            </w:pPr>
            <w:r w:rsidRPr="00524435">
              <w:rPr>
                <w:rFonts w:ascii="Cambria" w:eastAsia="MS Mincho" w:hAnsi="Cambria" w:cs="Times New Roman"/>
                <w:b/>
                <w:sz w:val="18"/>
                <w:szCs w:val="18"/>
              </w:rPr>
              <w:t>Clause or measure</w:t>
            </w:r>
          </w:p>
        </w:tc>
        <w:tc>
          <w:tcPr>
            <w:tcW w:w="1440" w:type="dxa"/>
            <w:gridSpan w:val="2"/>
            <w:shd w:val="clear" w:color="auto" w:fill="92D050"/>
            <w:tcMar>
              <w:top w:w="0" w:type="dxa"/>
              <w:left w:w="108" w:type="dxa"/>
              <w:bottom w:w="0" w:type="dxa"/>
              <w:right w:w="108" w:type="dxa"/>
            </w:tcMar>
            <w:vAlign w:val="center"/>
            <w:hideMark/>
          </w:tcPr>
          <w:p w14:paraId="12DA67B1" w14:textId="77777777" w:rsidR="007E31E3" w:rsidRPr="00524435" w:rsidRDefault="007E31E3" w:rsidP="00820229">
            <w:pPr>
              <w:ind w:right="-18"/>
              <w:jc w:val="center"/>
              <w:rPr>
                <w:rFonts w:ascii="Cambria" w:eastAsia="MS Mincho" w:hAnsi="Cambria" w:cs="Times New Roman"/>
                <w:b/>
                <w:sz w:val="18"/>
                <w:szCs w:val="18"/>
              </w:rPr>
            </w:pPr>
            <w:r w:rsidRPr="00524435">
              <w:rPr>
                <w:rFonts w:ascii="Cambria" w:eastAsia="MS Mincho" w:hAnsi="Cambria" w:cs="Times New Roman"/>
                <w:b/>
                <w:sz w:val="18"/>
                <w:szCs w:val="18"/>
              </w:rPr>
              <w:t>Level of compliance achieved</w:t>
            </w:r>
          </w:p>
        </w:tc>
      </w:tr>
      <w:tr w:rsidR="007E31E3" w:rsidRPr="00524435" w14:paraId="5005C1FC" w14:textId="77777777" w:rsidTr="00820229">
        <w:trPr>
          <w:trHeight w:val="431"/>
        </w:trPr>
        <w:tc>
          <w:tcPr>
            <w:tcW w:w="9805" w:type="dxa"/>
            <w:gridSpan w:val="7"/>
            <w:shd w:val="clear" w:color="auto" w:fill="002060"/>
            <w:tcMar>
              <w:top w:w="0" w:type="dxa"/>
              <w:left w:w="108" w:type="dxa"/>
              <w:bottom w:w="0" w:type="dxa"/>
              <w:right w:w="108" w:type="dxa"/>
            </w:tcMar>
            <w:vAlign w:val="center"/>
          </w:tcPr>
          <w:p w14:paraId="30A5499C" w14:textId="77777777" w:rsidR="007E31E3" w:rsidRPr="00524435" w:rsidRDefault="007E31E3" w:rsidP="00820229">
            <w:pPr>
              <w:ind w:right="-18"/>
              <w:jc w:val="center"/>
              <w:rPr>
                <w:rFonts w:ascii="Cambria" w:hAnsi="Cambria"/>
                <w:b/>
                <w:sz w:val="18"/>
                <w:szCs w:val="18"/>
              </w:rPr>
            </w:pPr>
            <w:r w:rsidRPr="00524435">
              <w:rPr>
                <w:rFonts w:ascii="Cambria" w:eastAsia="MS Mincho" w:hAnsi="Cambria" w:cs="Times New Roman"/>
                <w:b/>
                <w:color w:val="FFFFFF" w:themeColor="background1"/>
                <w:sz w:val="18"/>
                <w:szCs w:val="18"/>
              </w:rPr>
              <w:t>ARGENTINA</w:t>
            </w:r>
          </w:p>
        </w:tc>
      </w:tr>
      <w:tr w:rsidR="007E31E3" w:rsidRPr="00524435" w14:paraId="2E65CF1D" w14:textId="77777777" w:rsidTr="00820229">
        <w:trPr>
          <w:trHeight w:val="64"/>
        </w:trPr>
        <w:tc>
          <w:tcPr>
            <w:tcW w:w="562" w:type="dxa"/>
            <w:shd w:val="clear" w:color="auto" w:fill="D9D9D9" w:themeFill="background1" w:themeFillShade="D9"/>
            <w:tcMar>
              <w:top w:w="0" w:type="dxa"/>
              <w:left w:w="108" w:type="dxa"/>
              <w:bottom w:w="0" w:type="dxa"/>
              <w:right w:w="108" w:type="dxa"/>
            </w:tcMar>
            <w:vAlign w:val="center"/>
          </w:tcPr>
          <w:p w14:paraId="07EFB1FF"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val="restart"/>
            <w:shd w:val="clear" w:color="auto" w:fill="D9D9D9" w:themeFill="background1" w:themeFillShade="D9"/>
            <w:tcMar>
              <w:top w:w="0" w:type="dxa"/>
              <w:left w:w="108" w:type="dxa"/>
              <w:bottom w:w="0" w:type="dxa"/>
              <w:right w:w="108" w:type="dxa"/>
            </w:tcMar>
            <w:vAlign w:val="center"/>
          </w:tcPr>
          <w:p w14:paraId="118C4820"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 xml:space="preserve">Case 12.080, Report No.102/05, Sergio </w:t>
            </w:r>
            <w:proofErr w:type="spellStart"/>
            <w:r w:rsidRPr="00524435">
              <w:rPr>
                <w:rFonts w:ascii="Cambria" w:hAnsi="Cambria"/>
                <w:b/>
                <w:sz w:val="18"/>
                <w:szCs w:val="18"/>
              </w:rPr>
              <w:t>Schiavini</w:t>
            </w:r>
            <w:proofErr w:type="spellEnd"/>
            <w:r w:rsidRPr="00524435">
              <w:rPr>
                <w:rFonts w:ascii="Cambria" w:hAnsi="Cambria"/>
                <w:b/>
                <w:sz w:val="18"/>
                <w:szCs w:val="18"/>
              </w:rPr>
              <w:t xml:space="preserve"> and Maria Teresa </w:t>
            </w:r>
            <w:proofErr w:type="spellStart"/>
            <w:r w:rsidRPr="00524435">
              <w:rPr>
                <w:rFonts w:ascii="Cambria" w:hAnsi="Cambria"/>
                <w:b/>
                <w:sz w:val="18"/>
                <w:szCs w:val="18"/>
              </w:rPr>
              <w:t>Schnack</w:t>
            </w:r>
            <w:proofErr w:type="spellEnd"/>
          </w:p>
          <w:p w14:paraId="4DB7A7D9"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 xml:space="preserve">(Argentina) </w:t>
            </w:r>
          </w:p>
        </w:tc>
        <w:tc>
          <w:tcPr>
            <w:tcW w:w="1081" w:type="dxa"/>
            <w:shd w:val="clear" w:color="auto" w:fill="D9D9D9" w:themeFill="background1" w:themeFillShade="D9"/>
            <w:tcMar>
              <w:top w:w="0" w:type="dxa"/>
              <w:left w:w="108" w:type="dxa"/>
              <w:bottom w:w="0" w:type="dxa"/>
              <w:right w:w="108" w:type="dxa"/>
            </w:tcMar>
            <w:vAlign w:val="center"/>
          </w:tcPr>
          <w:p w14:paraId="19AF20D4"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D9D9D9" w:themeFill="background1" w:themeFillShade="D9"/>
            <w:tcMar>
              <w:top w:w="0" w:type="dxa"/>
              <w:left w:w="108" w:type="dxa"/>
              <w:bottom w:w="0" w:type="dxa"/>
              <w:right w:w="108" w:type="dxa"/>
            </w:tcMar>
            <w:vAlign w:val="center"/>
          </w:tcPr>
          <w:p w14:paraId="6E8B1531" w14:textId="77777777" w:rsidR="007E31E3" w:rsidRPr="00524435" w:rsidRDefault="007E31E3" w:rsidP="00820229">
            <w:pPr>
              <w:tabs>
                <w:tab w:val="left" w:pos="360"/>
              </w:tabs>
              <w:jc w:val="both"/>
              <w:rPr>
                <w:rFonts w:ascii="Cambria" w:eastAsia="Calibri" w:hAnsi="Cambria"/>
                <w:color w:val="000000"/>
                <w:sz w:val="18"/>
                <w:szCs w:val="18"/>
              </w:rPr>
            </w:pPr>
            <w:r w:rsidRPr="00524435">
              <w:rPr>
                <w:rFonts w:ascii="Cambria" w:hAnsi="Cambria"/>
                <w:b/>
                <w:color w:val="000000"/>
                <w:sz w:val="18"/>
                <w:szCs w:val="18"/>
              </w:rPr>
              <w:t xml:space="preserve">Clause B </w:t>
            </w:r>
            <w:r w:rsidRPr="00524435">
              <w:rPr>
                <w:rFonts w:ascii="Cambria" w:hAnsi="Cambria"/>
                <w:b/>
                <w:bCs/>
                <w:color w:val="000000"/>
                <w:sz w:val="18"/>
                <w:szCs w:val="18"/>
              </w:rPr>
              <w:t>Measures of non- monetary reparation</w:t>
            </w:r>
            <w:r w:rsidRPr="00524435">
              <w:rPr>
                <w:rFonts w:ascii="Cambria" w:hAnsi="Cambria"/>
                <w:b/>
                <w:color w:val="000000"/>
                <w:sz w:val="18"/>
                <w:szCs w:val="18"/>
              </w:rPr>
              <w:t xml:space="preserve">. 1. a) Legislative reform: </w:t>
            </w:r>
            <w:r w:rsidRPr="00524435">
              <w:rPr>
                <w:rFonts w:ascii="Cambria" w:hAnsi="Cambria"/>
                <w:bCs/>
                <w:color w:val="000000"/>
                <w:sz w:val="18"/>
                <w:szCs w:val="18"/>
              </w:rPr>
              <w:t>a)</w:t>
            </w:r>
            <w:r w:rsidRPr="00524435">
              <w:rPr>
                <w:rFonts w:ascii="Cambria" w:hAnsi="Cambria"/>
                <w:b/>
                <w:color w:val="000000"/>
                <w:sz w:val="18"/>
                <w:szCs w:val="18"/>
              </w:rPr>
              <w:t xml:space="preserve"> </w:t>
            </w:r>
            <w:r w:rsidRPr="00524435">
              <w:rPr>
                <w:rFonts w:ascii="Cambria" w:hAnsi="Cambria"/>
                <w:iCs/>
                <w:color w:val="000000"/>
                <w:sz w:val="18"/>
                <w:szCs w:val="18"/>
              </w:rPr>
              <w:t xml:space="preserve">Draft legislative reform bill making it mandatory, with no exceptions, to perform and autopsy in all cases of violent or criminally suspicious deaths. It will also prohibit members of the security forces from being involved in this process with respect to facts in which they have </w:t>
            </w:r>
            <w:proofErr w:type="gramStart"/>
            <w:r w:rsidRPr="00524435">
              <w:rPr>
                <w:rFonts w:ascii="Cambria" w:hAnsi="Cambria"/>
                <w:iCs/>
                <w:color w:val="000000"/>
                <w:sz w:val="18"/>
                <w:szCs w:val="18"/>
              </w:rPr>
              <w:t>participated;</w:t>
            </w:r>
            <w:proofErr w:type="gramEnd"/>
          </w:p>
          <w:p w14:paraId="68B8F122" w14:textId="77777777" w:rsidR="007E31E3" w:rsidRPr="00524435" w:rsidRDefault="007E31E3" w:rsidP="00820229">
            <w:pPr>
              <w:tabs>
                <w:tab w:val="left" w:pos="360"/>
              </w:tabs>
              <w:jc w:val="both"/>
              <w:rPr>
                <w:rFonts w:ascii="Cambria" w:hAnsi="Cambria"/>
                <w:color w:val="000000"/>
                <w:sz w:val="18"/>
                <w:szCs w:val="18"/>
              </w:rPr>
            </w:pPr>
            <w:r w:rsidRPr="00524435">
              <w:rPr>
                <w:rFonts w:ascii="Cambria" w:hAnsi="Cambria"/>
                <w:iCs/>
                <w:color w:val="000000"/>
                <w:sz w:val="18"/>
                <w:szCs w:val="18"/>
              </w:rPr>
              <w:t xml:space="preserve"> b) Draft reform of the Criminal Procedures Code of the Nation granting a victim’s relatives the right to choose to designate their own expert before the autopsy is </w:t>
            </w:r>
            <w:proofErr w:type="gramStart"/>
            <w:r w:rsidRPr="00524435">
              <w:rPr>
                <w:rFonts w:ascii="Cambria" w:hAnsi="Cambria"/>
                <w:iCs/>
                <w:color w:val="000000"/>
                <w:sz w:val="18"/>
                <w:szCs w:val="18"/>
              </w:rPr>
              <w:t>performed;</w:t>
            </w:r>
            <w:proofErr w:type="gramEnd"/>
          </w:p>
          <w:p w14:paraId="1A079AC4" w14:textId="77777777" w:rsidR="007E31E3" w:rsidRPr="00524435" w:rsidRDefault="007E31E3" w:rsidP="00820229">
            <w:pPr>
              <w:tabs>
                <w:tab w:val="left" w:pos="360"/>
              </w:tabs>
              <w:jc w:val="both"/>
              <w:rPr>
                <w:rFonts w:ascii="Cambria" w:hAnsi="Cambria"/>
                <w:b/>
                <w:color w:val="000000"/>
                <w:sz w:val="18"/>
                <w:szCs w:val="18"/>
              </w:rPr>
            </w:pPr>
            <w:r w:rsidRPr="00524435">
              <w:rPr>
                <w:rFonts w:ascii="Cambria" w:hAnsi="Cambria"/>
                <w:color w:val="000000"/>
                <w:sz w:val="18"/>
                <w:szCs w:val="18"/>
              </w:rPr>
              <w:t> </w:t>
            </w:r>
            <w:r w:rsidRPr="00524435">
              <w:rPr>
                <w:rFonts w:ascii="Cambria" w:hAnsi="Cambria"/>
                <w:iCs/>
                <w:color w:val="000000"/>
                <w:sz w:val="18"/>
                <w:szCs w:val="18"/>
              </w:rPr>
              <w:t xml:space="preserve">c) Analysis of the legislation in force on the procedures followed by the forensic medical office to evaluate possible modifications that could contribute to ensuring transparency and effectiveness in its performance. </w:t>
            </w:r>
          </w:p>
        </w:tc>
        <w:tc>
          <w:tcPr>
            <w:tcW w:w="1440" w:type="dxa"/>
            <w:gridSpan w:val="2"/>
            <w:shd w:val="clear" w:color="auto" w:fill="D9D9D9" w:themeFill="background1" w:themeFillShade="D9"/>
            <w:tcMar>
              <w:top w:w="0" w:type="dxa"/>
              <w:left w:w="108" w:type="dxa"/>
              <w:bottom w:w="0" w:type="dxa"/>
              <w:right w:w="108" w:type="dxa"/>
            </w:tcMar>
            <w:vAlign w:val="center"/>
          </w:tcPr>
          <w:p w14:paraId="30C91CE2"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5018E823" w14:textId="77777777" w:rsidTr="00820229">
        <w:trPr>
          <w:trHeight w:val="64"/>
        </w:trPr>
        <w:tc>
          <w:tcPr>
            <w:tcW w:w="562" w:type="dxa"/>
            <w:shd w:val="clear" w:color="auto" w:fill="D9D9D9" w:themeFill="background1" w:themeFillShade="D9"/>
            <w:tcMar>
              <w:top w:w="0" w:type="dxa"/>
              <w:left w:w="108" w:type="dxa"/>
              <w:bottom w:w="0" w:type="dxa"/>
              <w:right w:w="108" w:type="dxa"/>
            </w:tcMar>
            <w:vAlign w:val="center"/>
          </w:tcPr>
          <w:p w14:paraId="12C74A2E"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tcMar>
              <w:top w:w="0" w:type="dxa"/>
              <w:left w:w="108" w:type="dxa"/>
              <w:bottom w:w="0" w:type="dxa"/>
              <w:right w:w="108" w:type="dxa"/>
            </w:tcMar>
            <w:vAlign w:val="center"/>
          </w:tcPr>
          <w:p w14:paraId="0275747F"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6F02DEF0"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D9D9D9" w:themeFill="background1" w:themeFillShade="D9"/>
            <w:tcMar>
              <w:top w:w="0" w:type="dxa"/>
              <w:left w:w="108" w:type="dxa"/>
              <w:bottom w:w="0" w:type="dxa"/>
              <w:right w:w="108" w:type="dxa"/>
            </w:tcMar>
            <w:vAlign w:val="center"/>
          </w:tcPr>
          <w:p w14:paraId="5C2F7CDF" w14:textId="77777777" w:rsidR="007E31E3" w:rsidRPr="00524435" w:rsidRDefault="007E31E3" w:rsidP="00820229">
            <w:pPr>
              <w:tabs>
                <w:tab w:val="left" w:pos="173"/>
              </w:tabs>
              <w:jc w:val="both"/>
              <w:rPr>
                <w:rFonts w:ascii="Cambria" w:eastAsia="Calibri" w:hAnsi="Cambria"/>
                <w:color w:val="000000"/>
                <w:sz w:val="18"/>
                <w:szCs w:val="18"/>
              </w:rPr>
            </w:pPr>
            <w:r w:rsidRPr="00524435">
              <w:rPr>
                <w:rFonts w:ascii="Cambria" w:hAnsi="Cambria"/>
                <w:b/>
                <w:color w:val="000000"/>
                <w:sz w:val="18"/>
                <w:szCs w:val="18"/>
              </w:rPr>
              <w:t xml:space="preserve">Clause B </w:t>
            </w:r>
            <w:r w:rsidRPr="00524435">
              <w:rPr>
                <w:rFonts w:ascii="Cambria" w:hAnsi="Cambria"/>
                <w:b/>
                <w:bCs/>
                <w:color w:val="000000"/>
                <w:sz w:val="18"/>
                <w:szCs w:val="18"/>
              </w:rPr>
              <w:t>Measures of non-monetary reparation</w:t>
            </w:r>
            <w:r w:rsidRPr="00524435">
              <w:rPr>
                <w:rFonts w:ascii="Cambria" w:hAnsi="Cambria"/>
                <w:b/>
                <w:color w:val="000000"/>
                <w:sz w:val="18"/>
                <w:szCs w:val="18"/>
              </w:rPr>
              <w:t xml:space="preserve">. 1. d) Legislative reforms: </w:t>
            </w:r>
            <w:r w:rsidRPr="00524435">
              <w:rPr>
                <w:rFonts w:ascii="Cambria" w:hAnsi="Cambria"/>
                <w:iCs/>
                <w:color w:val="000000"/>
                <w:sz w:val="18"/>
                <w:szCs w:val="18"/>
              </w:rPr>
              <w:t>Draft reform of the Criminal Procedures Code of the Nation to incorporate the violation of human rights as grounds for review.</w:t>
            </w:r>
          </w:p>
        </w:tc>
        <w:tc>
          <w:tcPr>
            <w:tcW w:w="1440" w:type="dxa"/>
            <w:gridSpan w:val="2"/>
            <w:shd w:val="clear" w:color="auto" w:fill="D9D9D9" w:themeFill="background1" w:themeFillShade="D9"/>
            <w:tcMar>
              <w:top w:w="0" w:type="dxa"/>
              <w:left w:w="108" w:type="dxa"/>
              <w:bottom w:w="0" w:type="dxa"/>
              <w:right w:w="108" w:type="dxa"/>
            </w:tcMar>
            <w:vAlign w:val="center"/>
          </w:tcPr>
          <w:p w14:paraId="24D66622"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224E63C0" w14:textId="77777777" w:rsidTr="00820229">
        <w:trPr>
          <w:trHeight w:val="64"/>
        </w:trPr>
        <w:tc>
          <w:tcPr>
            <w:tcW w:w="562" w:type="dxa"/>
            <w:shd w:val="clear" w:color="auto" w:fill="D9D9D9" w:themeFill="background1" w:themeFillShade="D9"/>
            <w:tcMar>
              <w:top w:w="0" w:type="dxa"/>
              <w:left w:w="108" w:type="dxa"/>
              <w:bottom w:w="0" w:type="dxa"/>
              <w:right w:w="108" w:type="dxa"/>
            </w:tcMar>
            <w:vAlign w:val="center"/>
          </w:tcPr>
          <w:p w14:paraId="668E72FC"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tcMar>
              <w:top w:w="0" w:type="dxa"/>
              <w:left w:w="108" w:type="dxa"/>
              <w:bottom w:w="0" w:type="dxa"/>
              <w:right w:w="108" w:type="dxa"/>
            </w:tcMar>
            <w:vAlign w:val="center"/>
          </w:tcPr>
          <w:p w14:paraId="01DE1973"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4082F378"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D9D9D9" w:themeFill="background1" w:themeFillShade="D9"/>
            <w:tcMar>
              <w:top w:w="0" w:type="dxa"/>
              <w:left w:w="108" w:type="dxa"/>
              <w:bottom w:w="0" w:type="dxa"/>
              <w:right w:w="108" w:type="dxa"/>
            </w:tcMar>
            <w:vAlign w:val="center"/>
          </w:tcPr>
          <w:p w14:paraId="7AC32041" w14:textId="77777777" w:rsidR="007E31E3" w:rsidRPr="00524435" w:rsidRDefault="007E31E3" w:rsidP="00820229">
            <w:pPr>
              <w:jc w:val="both"/>
              <w:rPr>
                <w:rFonts w:ascii="Cambria" w:hAnsi="Cambria"/>
                <w:b/>
                <w:color w:val="000000"/>
                <w:sz w:val="18"/>
                <w:szCs w:val="18"/>
              </w:rPr>
            </w:pPr>
            <w:r w:rsidRPr="00524435">
              <w:rPr>
                <w:rFonts w:ascii="Cambria" w:hAnsi="Cambria"/>
                <w:b/>
                <w:color w:val="000000"/>
                <w:sz w:val="18"/>
                <w:szCs w:val="18"/>
              </w:rPr>
              <w:t xml:space="preserve">Clause B </w:t>
            </w:r>
            <w:r w:rsidRPr="00524435">
              <w:rPr>
                <w:rFonts w:ascii="Cambria" w:hAnsi="Cambria"/>
                <w:b/>
                <w:bCs/>
                <w:color w:val="000000"/>
                <w:sz w:val="18"/>
                <w:szCs w:val="18"/>
              </w:rPr>
              <w:t>Measures of non-monetary reparation</w:t>
            </w:r>
            <w:r w:rsidRPr="00524435">
              <w:rPr>
                <w:rFonts w:ascii="Cambria" w:hAnsi="Cambria"/>
                <w:b/>
                <w:color w:val="000000"/>
                <w:sz w:val="18"/>
                <w:szCs w:val="18"/>
              </w:rPr>
              <w:t xml:space="preserve">. 1. f): </w:t>
            </w:r>
            <w:r w:rsidRPr="00524435">
              <w:rPr>
                <w:rFonts w:ascii="Cambria" w:hAnsi="Cambria"/>
                <w:iCs/>
                <w:color w:val="000000"/>
                <w:sz w:val="18"/>
                <w:szCs w:val="18"/>
              </w:rPr>
              <w:t xml:space="preserve">Evaluation of domestic law concerning hostage-taking and the use of force to bring it into harmony with international standards in accordance with </w:t>
            </w:r>
            <w:proofErr w:type="gramStart"/>
            <w:r w:rsidRPr="00524435">
              <w:rPr>
                <w:rFonts w:ascii="Cambria" w:hAnsi="Cambria"/>
                <w:iCs/>
                <w:color w:val="000000"/>
                <w:sz w:val="18"/>
                <w:szCs w:val="18"/>
              </w:rPr>
              <w:t>principle</w:t>
            </w:r>
            <w:proofErr w:type="gramEnd"/>
            <w:r w:rsidRPr="00524435">
              <w:rPr>
                <w:rFonts w:ascii="Cambria" w:hAnsi="Cambria"/>
                <w:iCs/>
                <w:color w:val="000000"/>
                <w:sz w:val="18"/>
                <w:szCs w:val="18"/>
              </w:rPr>
              <w:t xml:space="preserve"> N° 3 of U.N. Resolution 1989/65.</w:t>
            </w:r>
          </w:p>
        </w:tc>
        <w:tc>
          <w:tcPr>
            <w:tcW w:w="1440" w:type="dxa"/>
            <w:gridSpan w:val="2"/>
            <w:shd w:val="clear" w:color="auto" w:fill="D9D9D9" w:themeFill="background1" w:themeFillShade="D9"/>
            <w:tcMar>
              <w:top w:w="0" w:type="dxa"/>
              <w:left w:w="108" w:type="dxa"/>
              <w:bottom w:w="0" w:type="dxa"/>
              <w:right w:w="108" w:type="dxa"/>
            </w:tcMar>
            <w:vAlign w:val="center"/>
          </w:tcPr>
          <w:p w14:paraId="2AB95068"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74A27550" w14:textId="77777777" w:rsidTr="00820229">
        <w:trPr>
          <w:trHeight w:val="64"/>
        </w:trPr>
        <w:tc>
          <w:tcPr>
            <w:tcW w:w="562" w:type="dxa"/>
            <w:shd w:val="clear" w:color="auto" w:fill="FFFFFF"/>
            <w:tcMar>
              <w:top w:w="0" w:type="dxa"/>
              <w:left w:w="108" w:type="dxa"/>
              <w:bottom w:w="0" w:type="dxa"/>
              <w:right w:w="108" w:type="dxa"/>
            </w:tcMar>
            <w:vAlign w:val="center"/>
          </w:tcPr>
          <w:p w14:paraId="3455788B"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shd w:val="clear" w:color="auto" w:fill="FFFFFF"/>
            <w:tcMar>
              <w:top w:w="0" w:type="dxa"/>
              <w:left w:w="108" w:type="dxa"/>
              <w:bottom w:w="0" w:type="dxa"/>
              <w:right w:w="108" w:type="dxa"/>
            </w:tcMar>
            <w:vAlign w:val="center"/>
          </w:tcPr>
          <w:p w14:paraId="4DFE4463"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Petition 242/03, Report No.160/10, Inocencia Luca de Pegoraro (Argentina)</w:t>
            </w:r>
          </w:p>
        </w:tc>
        <w:tc>
          <w:tcPr>
            <w:tcW w:w="1081" w:type="dxa"/>
            <w:shd w:val="clear" w:color="auto" w:fill="FFFFFF"/>
            <w:tcMar>
              <w:top w:w="0" w:type="dxa"/>
              <w:left w:w="108" w:type="dxa"/>
              <w:bottom w:w="0" w:type="dxa"/>
              <w:right w:w="108" w:type="dxa"/>
            </w:tcMar>
            <w:vAlign w:val="center"/>
          </w:tcPr>
          <w:p w14:paraId="2E926647"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FFFFFF"/>
            <w:tcMar>
              <w:top w:w="0" w:type="dxa"/>
              <w:left w:w="108" w:type="dxa"/>
              <w:bottom w:w="0" w:type="dxa"/>
              <w:right w:w="108" w:type="dxa"/>
            </w:tcMar>
            <w:vAlign w:val="center"/>
          </w:tcPr>
          <w:p w14:paraId="416A833E" w14:textId="77777777" w:rsidR="007E31E3" w:rsidRPr="00524435" w:rsidRDefault="007E31E3" w:rsidP="00820229">
            <w:pPr>
              <w:jc w:val="both"/>
              <w:rPr>
                <w:rFonts w:ascii="Cambria" w:hAnsi="Cambria"/>
                <w:b/>
                <w:color w:val="000000"/>
                <w:sz w:val="18"/>
                <w:szCs w:val="18"/>
              </w:rPr>
            </w:pPr>
            <w:r w:rsidRPr="00524435">
              <w:rPr>
                <w:rFonts w:ascii="Cambria" w:hAnsi="Cambria"/>
                <w:b/>
                <w:color w:val="000000"/>
                <w:sz w:val="18"/>
                <w:szCs w:val="18"/>
              </w:rPr>
              <w:t xml:space="preserve">Clause 2. Non-monetary reparation measures. 2.3.b) On the training of judicial actors: </w:t>
            </w:r>
            <w:r w:rsidRPr="00524435">
              <w:rPr>
                <w:rFonts w:ascii="Cambria" w:hAnsi="Cambria"/>
                <w:color w:val="000000"/>
                <w:sz w:val="18"/>
                <w:szCs w:val="18"/>
              </w:rPr>
              <w:t xml:space="preserve">The National Executive Branch of the Argentine Republic agrees to urge the Council of the Judiciary of the Nation to plan training courses for judges, functionaries, and employees of the Judicial Branch in the appropriate handling of the victims of these serious crimes (see. Art. 7(11) of Law No. 24.937, </w:t>
            </w:r>
            <w:proofErr w:type="spellStart"/>
            <w:r w:rsidRPr="00524435">
              <w:rPr>
                <w:rFonts w:ascii="Cambria" w:hAnsi="Cambria"/>
                <w:color w:val="000000"/>
                <w:sz w:val="18"/>
                <w:szCs w:val="18"/>
              </w:rPr>
              <w:t>o.t.</w:t>
            </w:r>
            <w:proofErr w:type="spellEnd"/>
            <w:r w:rsidRPr="00524435">
              <w:rPr>
                <w:rFonts w:ascii="Cambria" w:hAnsi="Cambria"/>
                <w:color w:val="000000"/>
                <w:sz w:val="18"/>
                <w:szCs w:val="18"/>
              </w:rPr>
              <w:t xml:space="preserve"> Art. 3 of Law No. 26.080).</w:t>
            </w:r>
          </w:p>
        </w:tc>
        <w:tc>
          <w:tcPr>
            <w:tcW w:w="1440" w:type="dxa"/>
            <w:gridSpan w:val="2"/>
            <w:shd w:val="clear" w:color="auto" w:fill="FFFFFF"/>
            <w:tcMar>
              <w:top w:w="0" w:type="dxa"/>
              <w:left w:w="108" w:type="dxa"/>
              <w:bottom w:w="0" w:type="dxa"/>
              <w:right w:w="108" w:type="dxa"/>
            </w:tcMar>
            <w:vAlign w:val="center"/>
          </w:tcPr>
          <w:p w14:paraId="2E39A602"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55178FBB" w14:textId="77777777" w:rsidTr="00820229">
        <w:trPr>
          <w:trHeight w:val="64"/>
        </w:trPr>
        <w:tc>
          <w:tcPr>
            <w:tcW w:w="562" w:type="dxa"/>
            <w:shd w:val="clear" w:color="auto" w:fill="D9D9D9" w:themeFill="background1" w:themeFillShade="D9"/>
            <w:tcMar>
              <w:top w:w="0" w:type="dxa"/>
              <w:left w:w="108" w:type="dxa"/>
              <w:bottom w:w="0" w:type="dxa"/>
              <w:right w:w="108" w:type="dxa"/>
            </w:tcMar>
            <w:vAlign w:val="center"/>
          </w:tcPr>
          <w:p w14:paraId="177B6F0F"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val="restart"/>
            <w:shd w:val="clear" w:color="auto" w:fill="D9D9D9" w:themeFill="background1" w:themeFillShade="D9"/>
            <w:tcMar>
              <w:top w:w="0" w:type="dxa"/>
              <w:left w:w="108" w:type="dxa"/>
              <w:bottom w:w="0" w:type="dxa"/>
              <w:right w:w="108" w:type="dxa"/>
            </w:tcMar>
            <w:vAlign w:val="center"/>
          </w:tcPr>
          <w:p w14:paraId="756042A0"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Case 12.532, Report No.84/11, Inmates of Mendoza Penitentiaries (Argentina)</w:t>
            </w:r>
          </w:p>
        </w:tc>
        <w:tc>
          <w:tcPr>
            <w:tcW w:w="1081" w:type="dxa"/>
            <w:shd w:val="clear" w:color="auto" w:fill="D9D9D9" w:themeFill="background1" w:themeFillShade="D9"/>
            <w:tcMar>
              <w:top w:w="0" w:type="dxa"/>
              <w:left w:w="108" w:type="dxa"/>
              <w:bottom w:w="0" w:type="dxa"/>
              <w:right w:w="108" w:type="dxa"/>
            </w:tcMar>
            <w:vAlign w:val="center"/>
          </w:tcPr>
          <w:p w14:paraId="08E8EC77"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D9D9D9" w:themeFill="background1" w:themeFillShade="D9"/>
            <w:tcMar>
              <w:top w:w="0" w:type="dxa"/>
              <w:left w:w="108" w:type="dxa"/>
              <w:bottom w:w="0" w:type="dxa"/>
              <w:right w:w="108" w:type="dxa"/>
            </w:tcMar>
            <w:vAlign w:val="center"/>
          </w:tcPr>
          <w:p w14:paraId="6AC439EA" w14:textId="77777777" w:rsidR="007E31E3" w:rsidRPr="00524435" w:rsidRDefault="007E31E3" w:rsidP="00820229">
            <w:pPr>
              <w:jc w:val="both"/>
              <w:rPr>
                <w:rFonts w:ascii="Cambria" w:hAnsi="Cambria"/>
                <w:b/>
                <w:color w:val="000000"/>
                <w:sz w:val="18"/>
                <w:szCs w:val="18"/>
              </w:rPr>
            </w:pPr>
            <w:r w:rsidRPr="00524435">
              <w:rPr>
                <w:rFonts w:ascii="Cambria" w:hAnsi="Cambria"/>
                <w:b/>
                <w:color w:val="000000"/>
                <w:sz w:val="18"/>
                <w:szCs w:val="18"/>
              </w:rPr>
              <w:t xml:space="preserve">Clause III. Measures of non-pecuniary reparation. 2. Other Measures of Satisfaction. C. Plan of Action and Budget. 1.c: </w:t>
            </w:r>
            <w:r w:rsidRPr="00524435">
              <w:rPr>
                <w:rFonts w:ascii="Cambria" w:hAnsi="Cambria"/>
                <w:color w:val="000000"/>
                <w:sz w:val="18"/>
                <w:szCs w:val="18"/>
              </w:rPr>
              <w:t>Improve the health-care service of the Provincial Penitentiary in collaboration with the Ministry of Health and make the necessary investments for effective provision of the service to every person deprived of liberty.</w:t>
            </w:r>
          </w:p>
        </w:tc>
        <w:tc>
          <w:tcPr>
            <w:tcW w:w="1440" w:type="dxa"/>
            <w:gridSpan w:val="2"/>
            <w:shd w:val="clear" w:color="auto" w:fill="D9D9D9" w:themeFill="background1" w:themeFillShade="D9"/>
            <w:tcMar>
              <w:top w:w="0" w:type="dxa"/>
              <w:left w:w="108" w:type="dxa"/>
              <w:bottom w:w="0" w:type="dxa"/>
              <w:right w:w="108" w:type="dxa"/>
            </w:tcMar>
            <w:vAlign w:val="center"/>
          </w:tcPr>
          <w:p w14:paraId="04EEB80D"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23AB4327" w14:textId="77777777" w:rsidTr="00820229">
        <w:trPr>
          <w:trHeight w:val="64"/>
        </w:trPr>
        <w:tc>
          <w:tcPr>
            <w:tcW w:w="562" w:type="dxa"/>
            <w:shd w:val="clear" w:color="auto" w:fill="D9D9D9" w:themeFill="background1" w:themeFillShade="D9"/>
            <w:tcMar>
              <w:top w:w="0" w:type="dxa"/>
              <w:left w:w="108" w:type="dxa"/>
              <w:bottom w:w="0" w:type="dxa"/>
              <w:right w:w="108" w:type="dxa"/>
            </w:tcMar>
            <w:vAlign w:val="center"/>
          </w:tcPr>
          <w:p w14:paraId="03F1DDF1"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tcMar>
              <w:top w:w="0" w:type="dxa"/>
              <w:left w:w="108" w:type="dxa"/>
              <w:bottom w:w="0" w:type="dxa"/>
              <w:right w:w="108" w:type="dxa"/>
            </w:tcMar>
            <w:vAlign w:val="center"/>
          </w:tcPr>
          <w:p w14:paraId="70DC1454"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4604DA0B"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D9D9D9" w:themeFill="background1" w:themeFillShade="D9"/>
            <w:tcMar>
              <w:top w:w="0" w:type="dxa"/>
              <w:left w:w="108" w:type="dxa"/>
              <w:bottom w:w="0" w:type="dxa"/>
              <w:right w:w="108" w:type="dxa"/>
            </w:tcMar>
            <w:vAlign w:val="center"/>
          </w:tcPr>
          <w:p w14:paraId="432DB7D4" w14:textId="77777777" w:rsidR="007E31E3" w:rsidRPr="00524435" w:rsidRDefault="007E31E3" w:rsidP="00820229">
            <w:pPr>
              <w:jc w:val="both"/>
              <w:rPr>
                <w:rFonts w:ascii="Cambria" w:hAnsi="Cambria"/>
                <w:b/>
                <w:color w:val="000000"/>
                <w:sz w:val="18"/>
                <w:szCs w:val="18"/>
              </w:rPr>
            </w:pPr>
            <w:r w:rsidRPr="00524435">
              <w:rPr>
                <w:rFonts w:ascii="Cambria" w:hAnsi="Cambria"/>
                <w:b/>
                <w:color w:val="000000"/>
                <w:sz w:val="18"/>
                <w:szCs w:val="18"/>
              </w:rPr>
              <w:t xml:space="preserve">Clause III. Measures of non-pecuniary reparation. 2. Other Measures of Satisfaction. C. Plan of Action and Budget. 1.d: </w:t>
            </w:r>
            <w:r w:rsidRPr="00524435">
              <w:rPr>
                <w:rFonts w:ascii="Cambria" w:hAnsi="Cambria" w:cs="Arial"/>
                <w:color w:val="000000"/>
                <w:sz w:val="18"/>
                <w:szCs w:val="18"/>
              </w:rPr>
              <w:lastRenderedPageBreak/>
              <w:t>Ensure access to a job for all inmates in the Prisons of Mendoza who should so request one.</w:t>
            </w:r>
          </w:p>
        </w:tc>
        <w:tc>
          <w:tcPr>
            <w:tcW w:w="1440" w:type="dxa"/>
            <w:gridSpan w:val="2"/>
            <w:shd w:val="clear" w:color="auto" w:fill="D9D9D9" w:themeFill="background1" w:themeFillShade="D9"/>
            <w:tcMar>
              <w:top w:w="0" w:type="dxa"/>
              <w:left w:w="108" w:type="dxa"/>
              <w:bottom w:w="0" w:type="dxa"/>
              <w:right w:w="108" w:type="dxa"/>
            </w:tcMar>
            <w:vAlign w:val="center"/>
          </w:tcPr>
          <w:p w14:paraId="4BF22611"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lastRenderedPageBreak/>
              <w:t>Total 2021</w:t>
            </w:r>
          </w:p>
        </w:tc>
      </w:tr>
      <w:tr w:rsidR="007E31E3" w:rsidRPr="00524435" w14:paraId="19940BC9" w14:textId="77777777" w:rsidTr="00820229">
        <w:trPr>
          <w:trHeight w:val="64"/>
        </w:trPr>
        <w:tc>
          <w:tcPr>
            <w:tcW w:w="562" w:type="dxa"/>
            <w:shd w:val="clear" w:color="auto" w:fill="D9D9D9" w:themeFill="background1" w:themeFillShade="D9"/>
            <w:tcMar>
              <w:top w:w="0" w:type="dxa"/>
              <w:left w:w="108" w:type="dxa"/>
              <w:bottom w:w="0" w:type="dxa"/>
              <w:right w:w="108" w:type="dxa"/>
            </w:tcMar>
            <w:vAlign w:val="center"/>
          </w:tcPr>
          <w:p w14:paraId="7C3BF4FF"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tcMar>
              <w:top w:w="0" w:type="dxa"/>
              <w:left w:w="108" w:type="dxa"/>
              <w:bottom w:w="0" w:type="dxa"/>
              <w:right w:w="108" w:type="dxa"/>
            </w:tcMar>
            <w:vAlign w:val="center"/>
          </w:tcPr>
          <w:p w14:paraId="2332E5EE"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72ABA8B6"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D9D9D9" w:themeFill="background1" w:themeFillShade="D9"/>
            <w:tcMar>
              <w:top w:w="0" w:type="dxa"/>
              <w:left w:w="108" w:type="dxa"/>
              <w:bottom w:w="0" w:type="dxa"/>
              <w:right w:w="108" w:type="dxa"/>
            </w:tcMar>
            <w:vAlign w:val="center"/>
          </w:tcPr>
          <w:p w14:paraId="3E74325F" w14:textId="77777777" w:rsidR="007E31E3" w:rsidRPr="00524435" w:rsidRDefault="007E31E3" w:rsidP="00820229">
            <w:pPr>
              <w:jc w:val="both"/>
              <w:rPr>
                <w:rFonts w:ascii="Cambria" w:hAnsi="Cambria"/>
                <w:b/>
                <w:color w:val="000000"/>
                <w:sz w:val="18"/>
                <w:szCs w:val="18"/>
              </w:rPr>
            </w:pPr>
            <w:r w:rsidRPr="00524435">
              <w:rPr>
                <w:rFonts w:ascii="Cambria" w:hAnsi="Cambria"/>
                <w:b/>
                <w:color w:val="000000"/>
                <w:sz w:val="18"/>
                <w:szCs w:val="18"/>
              </w:rPr>
              <w:t xml:space="preserve">Clause III. Measures of non-pecuniary reparation. 2. Other Measures of Satisfaction. D. Ratification and dissemination: </w:t>
            </w:r>
            <w:r w:rsidRPr="00524435">
              <w:rPr>
                <w:rFonts w:ascii="Cambria" w:hAnsi="Cambria"/>
                <w:color w:val="000000"/>
                <w:sz w:val="18"/>
                <w:szCs w:val="18"/>
              </w:rPr>
              <w:t xml:space="preserve">The Government of the Province of Mendoza and the petitioners agree that the report produced by the Monitoring Commission should be disseminated in two provincial circulation newspapers and one national circulation newspaper. </w:t>
            </w:r>
          </w:p>
        </w:tc>
        <w:tc>
          <w:tcPr>
            <w:tcW w:w="1440" w:type="dxa"/>
            <w:gridSpan w:val="2"/>
            <w:shd w:val="clear" w:color="auto" w:fill="D9D9D9" w:themeFill="background1" w:themeFillShade="D9"/>
            <w:tcMar>
              <w:top w:w="0" w:type="dxa"/>
              <w:left w:w="108" w:type="dxa"/>
              <w:bottom w:w="0" w:type="dxa"/>
              <w:right w:w="108" w:type="dxa"/>
            </w:tcMar>
            <w:vAlign w:val="center"/>
          </w:tcPr>
          <w:p w14:paraId="0ABD41DA"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Partial 2021</w:t>
            </w:r>
          </w:p>
        </w:tc>
      </w:tr>
      <w:tr w:rsidR="007E31E3" w:rsidRPr="00524435" w14:paraId="168BBD41" w14:textId="77777777" w:rsidTr="00820229">
        <w:trPr>
          <w:trHeight w:val="64"/>
        </w:trPr>
        <w:tc>
          <w:tcPr>
            <w:tcW w:w="562" w:type="dxa"/>
            <w:shd w:val="clear" w:color="auto" w:fill="FFFFFF" w:themeFill="background1"/>
            <w:tcMar>
              <w:top w:w="0" w:type="dxa"/>
              <w:left w:w="108" w:type="dxa"/>
              <w:bottom w:w="0" w:type="dxa"/>
              <w:right w:w="108" w:type="dxa"/>
            </w:tcMar>
            <w:vAlign w:val="center"/>
          </w:tcPr>
          <w:p w14:paraId="5F94CB59"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shd w:val="clear" w:color="auto" w:fill="FFFFFF" w:themeFill="background1"/>
            <w:tcMar>
              <w:top w:w="0" w:type="dxa"/>
              <w:left w:w="108" w:type="dxa"/>
              <w:bottom w:w="0" w:type="dxa"/>
              <w:right w:w="108" w:type="dxa"/>
            </w:tcMar>
            <w:vAlign w:val="center"/>
          </w:tcPr>
          <w:p w14:paraId="6A4A1169" w14:textId="77777777" w:rsidR="007E31E3" w:rsidRPr="007A5442" w:rsidRDefault="007E31E3" w:rsidP="00820229">
            <w:pPr>
              <w:jc w:val="center"/>
              <w:rPr>
                <w:rFonts w:ascii="Cambria" w:hAnsi="Cambria"/>
                <w:b/>
                <w:sz w:val="18"/>
                <w:szCs w:val="18"/>
                <w:lang w:val="es-ES"/>
              </w:rPr>
            </w:pPr>
            <w:r w:rsidRPr="007A5442">
              <w:rPr>
                <w:rFonts w:ascii="Cambria" w:hAnsi="Cambria"/>
                <w:b/>
                <w:sz w:val="18"/>
                <w:szCs w:val="18"/>
                <w:lang w:val="es-ES"/>
              </w:rPr>
              <w:t xml:space="preserve">Case 12.306, </w:t>
            </w:r>
            <w:proofErr w:type="spellStart"/>
            <w:r w:rsidRPr="007A5442">
              <w:rPr>
                <w:rFonts w:ascii="Cambria" w:hAnsi="Cambria"/>
                <w:b/>
                <w:sz w:val="18"/>
                <w:szCs w:val="18"/>
                <w:lang w:val="es-ES"/>
              </w:rPr>
              <w:t>Report</w:t>
            </w:r>
            <w:proofErr w:type="spellEnd"/>
            <w:r w:rsidRPr="007A5442">
              <w:rPr>
                <w:rFonts w:ascii="Cambria" w:hAnsi="Cambria"/>
                <w:b/>
                <w:sz w:val="18"/>
                <w:szCs w:val="18"/>
                <w:lang w:val="es-ES"/>
              </w:rPr>
              <w:t xml:space="preserve"> No.85/11, Juan Carlos De la Torre (Argentina)</w:t>
            </w:r>
          </w:p>
        </w:tc>
        <w:tc>
          <w:tcPr>
            <w:tcW w:w="1081" w:type="dxa"/>
            <w:shd w:val="clear" w:color="auto" w:fill="FFFFFF" w:themeFill="background1"/>
            <w:tcMar>
              <w:top w:w="0" w:type="dxa"/>
              <w:left w:w="108" w:type="dxa"/>
              <w:bottom w:w="0" w:type="dxa"/>
              <w:right w:w="108" w:type="dxa"/>
            </w:tcMar>
            <w:vAlign w:val="center"/>
          </w:tcPr>
          <w:p w14:paraId="368AE18E"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FFFFFF" w:themeFill="background1"/>
            <w:tcMar>
              <w:top w:w="0" w:type="dxa"/>
              <w:left w:w="108" w:type="dxa"/>
              <w:bottom w:w="0" w:type="dxa"/>
              <w:right w:w="108" w:type="dxa"/>
            </w:tcMar>
            <w:vAlign w:val="center"/>
          </w:tcPr>
          <w:p w14:paraId="08FBDA75" w14:textId="77777777" w:rsidR="007E31E3" w:rsidRPr="00524435" w:rsidRDefault="007E31E3" w:rsidP="00820229">
            <w:pPr>
              <w:jc w:val="both"/>
              <w:rPr>
                <w:rFonts w:ascii="Cambria" w:hAnsi="Cambria"/>
                <w:b/>
                <w:color w:val="000000"/>
                <w:sz w:val="18"/>
                <w:szCs w:val="18"/>
              </w:rPr>
            </w:pPr>
            <w:r w:rsidRPr="00524435">
              <w:rPr>
                <w:rFonts w:ascii="Cambria" w:hAnsi="Cambria"/>
                <w:b/>
                <w:color w:val="000000"/>
                <w:sz w:val="18"/>
                <w:szCs w:val="18"/>
              </w:rPr>
              <w:t xml:space="preserve">Clause B. </w:t>
            </w:r>
            <w:r w:rsidRPr="00524435">
              <w:rPr>
                <w:rFonts w:ascii="Cambria" w:hAnsi="Cambria"/>
                <w:color w:val="000000"/>
                <w:sz w:val="18"/>
                <w:szCs w:val="18"/>
              </w:rPr>
              <w:t>The Argentine State undertakes to make a detailed review of the legislation in force on this subject (federal and provincial) to foster the adaptation of those provisions that may contain provisions that effectuate illegitimate discrimination based on the status of a person as a foreigner or on their immigration status to the international and constitutional standards on the subject. In this regard, the parties note the approval of the “National Plan against Discrimination,” which includes a chapter specifically devoted to migrants and refugees.</w:t>
            </w:r>
          </w:p>
        </w:tc>
        <w:tc>
          <w:tcPr>
            <w:tcW w:w="1440" w:type="dxa"/>
            <w:gridSpan w:val="2"/>
            <w:shd w:val="clear" w:color="auto" w:fill="FFFFFF" w:themeFill="background1"/>
            <w:tcMar>
              <w:top w:w="0" w:type="dxa"/>
              <w:left w:w="108" w:type="dxa"/>
              <w:bottom w:w="0" w:type="dxa"/>
              <w:right w:w="108" w:type="dxa"/>
            </w:tcMar>
            <w:vAlign w:val="center"/>
          </w:tcPr>
          <w:p w14:paraId="40F87420"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Partial substantial 2021</w:t>
            </w:r>
          </w:p>
        </w:tc>
      </w:tr>
      <w:tr w:rsidR="007E31E3" w:rsidRPr="00524435" w14:paraId="13C70BB1" w14:textId="77777777" w:rsidTr="00820229">
        <w:trPr>
          <w:trHeight w:val="64"/>
        </w:trPr>
        <w:tc>
          <w:tcPr>
            <w:tcW w:w="562" w:type="dxa"/>
            <w:shd w:val="clear" w:color="auto" w:fill="D9D9D9" w:themeFill="background1" w:themeFillShade="D9"/>
            <w:tcMar>
              <w:top w:w="0" w:type="dxa"/>
              <w:left w:w="108" w:type="dxa"/>
              <w:bottom w:w="0" w:type="dxa"/>
              <w:right w:w="108" w:type="dxa"/>
            </w:tcMar>
            <w:vAlign w:val="center"/>
          </w:tcPr>
          <w:p w14:paraId="09E820FC"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shd w:val="clear" w:color="auto" w:fill="D9D9D9" w:themeFill="background1" w:themeFillShade="D9"/>
            <w:tcMar>
              <w:top w:w="0" w:type="dxa"/>
              <w:left w:w="108" w:type="dxa"/>
              <w:bottom w:w="0" w:type="dxa"/>
              <w:right w:w="108" w:type="dxa"/>
            </w:tcMar>
            <w:vAlign w:val="center"/>
          </w:tcPr>
          <w:p w14:paraId="29462A22"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Petition 21/05, Report No.101/14, Ignacio Cardozo et al (Argentina)</w:t>
            </w:r>
          </w:p>
        </w:tc>
        <w:tc>
          <w:tcPr>
            <w:tcW w:w="1081" w:type="dxa"/>
            <w:shd w:val="clear" w:color="auto" w:fill="D9D9D9" w:themeFill="background1" w:themeFillShade="D9"/>
            <w:tcMar>
              <w:top w:w="0" w:type="dxa"/>
              <w:left w:w="108" w:type="dxa"/>
              <w:bottom w:w="0" w:type="dxa"/>
              <w:right w:w="108" w:type="dxa"/>
            </w:tcMar>
            <w:vAlign w:val="center"/>
          </w:tcPr>
          <w:p w14:paraId="03CB11E1" w14:textId="77777777" w:rsidR="007E31E3" w:rsidRPr="00524435" w:rsidRDefault="007E31E3" w:rsidP="00820229">
            <w:pPr>
              <w:jc w:val="center"/>
              <w:rPr>
                <w:rFonts w:ascii="Cambria" w:hAnsi="Cambria"/>
                <w:sz w:val="18"/>
                <w:szCs w:val="18"/>
              </w:rPr>
            </w:pPr>
            <w:r w:rsidRPr="00524435">
              <w:rPr>
                <w:rFonts w:ascii="Cambria" w:hAnsi="Cambria"/>
                <w:sz w:val="18"/>
                <w:szCs w:val="18"/>
              </w:rPr>
              <w:t xml:space="preserve">Individual </w:t>
            </w:r>
          </w:p>
        </w:tc>
        <w:tc>
          <w:tcPr>
            <w:tcW w:w="5304" w:type="dxa"/>
            <w:gridSpan w:val="2"/>
            <w:shd w:val="clear" w:color="auto" w:fill="D9D9D9" w:themeFill="background1" w:themeFillShade="D9"/>
            <w:tcMar>
              <w:top w:w="0" w:type="dxa"/>
              <w:left w:w="108" w:type="dxa"/>
              <w:bottom w:w="0" w:type="dxa"/>
              <w:right w:w="108" w:type="dxa"/>
            </w:tcMar>
            <w:vAlign w:val="center"/>
          </w:tcPr>
          <w:p w14:paraId="207988B5" w14:textId="77777777" w:rsidR="007E31E3" w:rsidRPr="00524435" w:rsidRDefault="007E31E3" w:rsidP="00820229">
            <w:pPr>
              <w:jc w:val="both"/>
              <w:rPr>
                <w:rFonts w:ascii="Cambria" w:hAnsi="Cambria"/>
                <w:b/>
                <w:color w:val="000000"/>
                <w:sz w:val="18"/>
                <w:szCs w:val="18"/>
              </w:rPr>
            </w:pPr>
            <w:r w:rsidRPr="00524435">
              <w:rPr>
                <w:rFonts w:ascii="Cambria" w:hAnsi="Cambria"/>
                <w:b/>
                <w:color w:val="000000"/>
                <w:sz w:val="18"/>
                <w:szCs w:val="18"/>
              </w:rPr>
              <w:t xml:space="preserve">Clause III. b. </w:t>
            </w:r>
            <w:proofErr w:type="gramStart"/>
            <w:r w:rsidRPr="00524435">
              <w:rPr>
                <w:rFonts w:ascii="Cambria" w:hAnsi="Cambria"/>
                <w:b/>
                <w:color w:val="000000"/>
                <w:sz w:val="18"/>
                <w:szCs w:val="18"/>
              </w:rPr>
              <w:t>Non-pecuniary</w:t>
            </w:r>
            <w:proofErr w:type="gramEnd"/>
            <w:r w:rsidRPr="00524435">
              <w:rPr>
                <w:rFonts w:ascii="Cambria" w:hAnsi="Cambria"/>
                <w:b/>
                <w:color w:val="000000"/>
                <w:sz w:val="18"/>
                <w:szCs w:val="18"/>
              </w:rPr>
              <w:t xml:space="preserve"> measures of reparation. 4: </w:t>
            </w:r>
            <w:r w:rsidRPr="00524435">
              <w:rPr>
                <w:rFonts w:ascii="Cambria" w:hAnsi="Cambria"/>
                <w:color w:val="000000"/>
                <w:sz w:val="18"/>
                <w:szCs w:val="18"/>
              </w:rPr>
              <w:t>The Government of the Argentine Republic undertakes to coordinate with the competent areas for the purposes of forming a technical working group to the effect of continuing to carry out the studies and steps necessary for evaluating the socio-environmental and health situation of the victims and their immediate families, which, independent of and prior to the pecuniary reparations, should provide concrete solutions to their basic material needs and ensure the victims access to adequate control and attention to their physical and mental health.</w:t>
            </w:r>
          </w:p>
        </w:tc>
        <w:tc>
          <w:tcPr>
            <w:tcW w:w="1440" w:type="dxa"/>
            <w:gridSpan w:val="2"/>
            <w:shd w:val="clear" w:color="auto" w:fill="D9D9D9" w:themeFill="background1" w:themeFillShade="D9"/>
            <w:tcMar>
              <w:top w:w="0" w:type="dxa"/>
              <w:left w:w="108" w:type="dxa"/>
              <w:bottom w:w="0" w:type="dxa"/>
              <w:right w:w="108" w:type="dxa"/>
            </w:tcMar>
            <w:vAlign w:val="center"/>
          </w:tcPr>
          <w:p w14:paraId="717E426C"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5308E670" w14:textId="77777777" w:rsidTr="00820229">
        <w:trPr>
          <w:trHeight w:val="64"/>
        </w:trPr>
        <w:tc>
          <w:tcPr>
            <w:tcW w:w="562" w:type="dxa"/>
            <w:shd w:val="clear" w:color="auto" w:fill="auto"/>
            <w:tcMar>
              <w:top w:w="0" w:type="dxa"/>
              <w:left w:w="108" w:type="dxa"/>
              <w:bottom w:w="0" w:type="dxa"/>
              <w:right w:w="108" w:type="dxa"/>
            </w:tcMar>
            <w:vAlign w:val="center"/>
          </w:tcPr>
          <w:p w14:paraId="561852DA"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val="restart"/>
            <w:shd w:val="clear" w:color="auto" w:fill="auto"/>
            <w:tcMar>
              <w:top w:w="0" w:type="dxa"/>
              <w:left w:w="108" w:type="dxa"/>
              <w:bottom w:w="0" w:type="dxa"/>
              <w:right w:w="108" w:type="dxa"/>
            </w:tcMar>
            <w:vAlign w:val="center"/>
          </w:tcPr>
          <w:p w14:paraId="7E2F4EF5"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 xml:space="preserve">Case 12.854, Report No.36/17, Ricardo Javier </w:t>
            </w:r>
            <w:proofErr w:type="spellStart"/>
            <w:r w:rsidRPr="00524435">
              <w:rPr>
                <w:rFonts w:ascii="Cambria" w:hAnsi="Cambria"/>
                <w:b/>
                <w:sz w:val="18"/>
                <w:szCs w:val="18"/>
              </w:rPr>
              <w:t>Kaplun</w:t>
            </w:r>
            <w:proofErr w:type="spellEnd"/>
            <w:r w:rsidRPr="00524435">
              <w:rPr>
                <w:rFonts w:ascii="Cambria" w:hAnsi="Cambria"/>
                <w:b/>
                <w:sz w:val="18"/>
                <w:szCs w:val="18"/>
              </w:rPr>
              <w:t xml:space="preserve"> and Family (Argentina)</w:t>
            </w:r>
          </w:p>
        </w:tc>
        <w:tc>
          <w:tcPr>
            <w:tcW w:w="1081" w:type="dxa"/>
            <w:shd w:val="clear" w:color="auto" w:fill="auto"/>
            <w:tcMar>
              <w:top w:w="0" w:type="dxa"/>
              <w:left w:w="108" w:type="dxa"/>
              <w:bottom w:w="0" w:type="dxa"/>
              <w:right w:w="108" w:type="dxa"/>
            </w:tcMar>
            <w:vAlign w:val="center"/>
          </w:tcPr>
          <w:p w14:paraId="77F4FE11"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0CC3D621" w14:textId="77777777" w:rsidR="007E31E3" w:rsidRPr="00524435" w:rsidRDefault="007E31E3" w:rsidP="00820229">
            <w:pPr>
              <w:jc w:val="both"/>
              <w:rPr>
                <w:rFonts w:ascii="Cambria" w:hAnsi="Cambria"/>
                <w:b/>
                <w:color w:val="000000"/>
                <w:sz w:val="18"/>
                <w:szCs w:val="18"/>
              </w:rPr>
            </w:pPr>
            <w:r w:rsidRPr="00524435">
              <w:rPr>
                <w:rFonts w:ascii="Cambria" w:hAnsi="Cambria"/>
                <w:b/>
                <w:color w:val="000000"/>
                <w:sz w:val="18"/>
                <w:szCs w:val="18"/>
              </w:rPr>
              <w:t xml:space="preserve">Clause II. Non-pecuniary reparation measures. A. Commission of Inquiry: </w:t>
            </w:r>
            <w:r w:rsidRPr="00524435">
              <w:rPr>
                <w:rFonts w:ascii="Cambria" w:hAnsi="Cambria"/>
                <w:color w:val="000000"/>
                <w:sz w:val="18"/>
                <w:szCs w:val="18"/>
              </w:rPr>
              <w:t>The parties agree to set up a commission comprised of a representative for the petitioner and another for the state, which would report on the performance of the duties pertaining to civil servants of the police force, judiciary system, and Office of the Attorney General (</w:t>
            </w:r>
            <w:proofErr w:type="spellStart"/>
            <w:r w:rsidRPr="00524435">
              <w:rPr>
                <w:rFonts w:ascii="Cambria" w:hAnsi="Cambria"/>
                <w:i/>
                <w:iCs/>
                <w:color w:val="000000"/>
                <w:sz w:val="18"/>
                <w:szCs w:val="18"/>
              </w:rPr>
              <w:t>Ministerio</w:t>
            </w:r>
            <w:proofErr w:type="spellEnd"/>
            <w:r w:rsidRPr="00524435">
              <w:rPr>
                <w:rFonts w:ascii="Cambria" w:hAnsi="Cambria"/>
                <w:i/>
                <w:iCs/>
                <w:color w:val="000000"/>
                <w:sz w:val="18"/>
                <w:szCs w:val="18"/>
              </w:rPr>
              <w:t xml:space="preserve"> </w:t>
            </w:r>
            <w:proofErr w:type="spellStart"/>
            <w:r w:rsidRPr="00524435">
              <w:rPr>
                <w:rFonts w:ascii="Cambria" w:hAnsi="Cambria"/>
                <w:i/>
                <w:iCs/>
                <w:color w:val="000000"/>
                <w:sz w:val="18"/>
                <w:szCs w:val="18"/>
              </w:rPr>
              <w:t>Público</w:t>
            </w:r>
            <w:proofErr w:type="spellEnd"/>
            <w:r w:rsidRPr="00524435">
              <w:rPr>
                <w:rFonts w:ascii="Cambria" w:hAnsi="Cambria"/>
                <w:i/>
                <w:iCs/>
                <w:color w:val="000000"/>
                <w:sz w:val="18"/>
                <w:szCs w:val="18"/>
              </w:rPr>
              <w:t xml:space="preserve"> Fiscal</w:t>
            </w:r>
            <w:r w:rsidRPr="00524435">
              <w:rPr>
                <w:rFonts w:ascii="Cambria" w:hAnsi="Cambria"/>
                <w:color w:val="000000"/>
                <w:sz w:val="18"/>
                <w:szCs w:val="18"/>
              </w:rPr>
              <w:t>) in connection with the incidents referred to in the case and arising from the administrative and/or judiciary case files. The costs required for the operation of the above-mentioned commission shall be paid by the Government of the Republic of Argentina, which shall also provide the physical premises, materials, and equipment needed to carry out the task entrusted to it […]</w:t>
            </w:r>
          </w:p>
        </w:tc>
        <w:tc>
          <w:tcPr>
            <w:tcW w:w="1440" w:type="dxa"/>
            <w:gridSpan w:val="2"/>
            <w:shd w:val="clear" w:color="auto" w:fill="auto"/>
            <w:tcMar>
              <w:top w:w="0" w:type="dxa"/>
              <w:left w:w="108" w:type="dxa"/>
              <w:bottom w:w="0" w:type="dxa"/>
              <w:right w:w="108" w:type="dxa"/>
            </w:tcMar>
            <w:vAlign w:val="center"/>
          </w:tcPr>
          <w:p w14:paraId="4FFA5E85"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Partial substantial 2021</w:t>
            </w:r>
          </w:p>
        </w:tc>
      </w:tr>
      <w:tr w:rsidR="007E31E3" w:rsidRPr="00524435" w14:paraId="1EA17A52" w14:textId="77777777" w:rsidTr="00820229">
        <w:trPr>
          <w:trHeight w:val="64"/>
        </w:trPr>
        <w:tc>
          <w:tcPr>
            <w:tcW w:w="562" w:type="dxa"/>
            <w:shd w:val="clear" w:color="auto" w:fill="auto"/>
            <w:tcMar>
              <w:top w:w="0" w:type="dxa"/>
              <w:left w:w="108" w:type="dxa"/>
              <w:bottom w:w="0" w:type="dxa"/>
              <w:right w:w="108" w:type="dxa"/>
            </w:tcMar>
            <w:vAlign w:val="center"/>
          </w:tcPr>
          <w:p w14:paraId="177D3387"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tcMar>
              <w:top w:w="0" w:type="dxa"/>
              <w:left w:w="108" w:type="dxa"/>
              <w:bottom w:w="0" w:type="dxa"/>
              <w:right w:w="108" w:type="dxa"/>
            </w:tcMar>
            <w:vAlign w:val="center"/>
          </w:tcPr>
          <w:p w14:paraId="392E778B" w14:textId="77777777" w:rsidR="007E31E3" w:rsidRPr="00524435" w:rsidRDefault="007E31E3" w:rsidP="00820229">
            <w:pPr>
              <w:jc w:val="center"/>
              <w:rPr>
                <w:rFonts w:ascii="Cambria" w:hAnsi="Cambria"/>
                <w:b/>
                <w:sz w:val="18"/>
                <w:szCs w:val="18"/>
              </w:rPr>
            </w:pPr>
          </w:p>
        </w:tc>
        <w:tc>
          <w:tcPr>
            <w:tcW w:w="1081" w:type="dxa"/>
            <w:shd w:val="clear" w:color="auto" w:fill="auto"/>
            <w:tcMar>
              <w:top w:w="0" w:type="dxa"/>
              <w:left w:w="108" w:type="dxa"/>
              <w:bottom w:w="0" w:type="dxa"/>
              <w:right w:w="108" w:type="dxa"/>
            </w:tcMar>
            <w:vAlign w:val="center"/>
          </w:tcPr>
          <w:p w14:paraId="46ACDD7F"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auto"/>
            <w:tcMar>
              <w:top w:w="0" w:type="dxa"/>
              <w:left w:w="108" w:type="dxa"/>
              <w:bottom w:w="0" w:type="dxa"/>
              <w:right w:w="108" w:type="dxa"/>
            </w:tcMar>
            <w:vAlign w:val="center"/>
          </w:tcPr>
          <w:p w14:paraId="70BA2E58" w14:textId="77777777" w:rsidR="007E31E3" w:rsidRPr="00524435" w:rsidRDefault="007E31E3" w:rsidP="00820229">
            <w:pPr>
              <w:jc w:val="both"/>
              <w:rPr>
                <w:rFonts w:ascii="Cambria" w:hAnsi="Cambria"/>
                <w:color w:val="000000"/>
                <w:sz w:val="18"/>
                <w:szCs w:val="18"/>
              </w:rPr>
            </w:pPr>
            <w:r w:rsidRPr="00524435">
              <w:rPr>
                <w:rFonts w:ascii="Cambria" w:hAnsi="Cambria"/>
                <w:b/>
                <w:color w:val="000000"/>
                <w:sz w:val="18"/>
                <w:szCs w:val="18"/>
              </w:rPr>
              <w:t xml:space="preserve">Clause III. </w:t>
            </w:r>
            <w:r w:rsidRPr="00524435">
              <w:rPr>
                <w:rFonts w:ascii="Cambria" w:hAnsi="Cambria"/>
                <w:b/>
                <w:bCs/>
                <w:color w:val="000000"/>
                <w:sz w:val="18"/>
                <w:szCs w:val="18"/>
              </w:rPr>
              <w:t>Measures for non-repetition</w:t>
            </w:r>
            <w:r w:rsidRPr="00524435">
              <w:rPr>
                <w:rFonts w:ascii="Cambria" w:hAnsi="Cambria"/>
                <w:b/>
                <w:color w:val="000000"/>
                <w:sz w:val="18"/>
                <w:szCs w:val="18"/>
              </w:rPr>
              <w:t xml:space="preserve">. 1. Training: </w:t>
            </w:r>
            <w:r w:rsidRPr="00524435">
              <w:rPr>
                <w:rFonts w:ascii="Cambria" w:hAnsi="Cambria"/>
                <w:color w:val="000000"/>
                <w:sz w:val="18"/>
                <w:szCs w:val="18"/>
              </w:rPr>
              <w:t xml:space="preserve">The Government of the Republic of Argentina pledges to provide more in-depth training activities to officers, non-commissioned officers, and cadets of the Federal Security Forces and also for medical and nursing staff who perform their duties in said institutions, which would focus on fulfilling obligations that have been accepted internationally, regarding the rules for the use of force by the police, especially the Basic Principles on the Use of Force and Firearms by Law Enforcement Officials adopted at the Eighth United Nations Congress on the Prevention of Crime and Treatment of Offenders, as well as rules for the treatment of </w:t>
            </w:r>
            <w:r w:rsidRPr="00524435">
              <w:rPr>
                <w:rFonts w:ascii="Cambria" w:hAnsi="Cambria"/>
                <w:color w:val="000000"/>
                <w:sz w:val="18"/>
                <w:szCs w:val="18"/>
              </w:rPr>
              <w:lastRenderedPageBreak/>
              <w:t>prisoners and principles for the protection of all persons under any form of detention or imprisonment.</w:t>
            </w:r>
          </w:p>
        </w:tc>
        <w:tc>
          <w:tcPr>
            <w:tcW w:w="1440" w:type="dxa"/>
            <w:gridSpan w:val="2"/>
            <w:shd w:val="clear" w:color="auto" w:fill="auto"/>
            <w:tcMar>
              <w:top w:w="0" w:type="dxa"/>
              <w:left w:w="108" w:type="dxa"/>
              <w:bottom w:w="0" w:type="dxa"/>
              <w:right w:w="108" w:type="dxa"/>
            </w:tcMar>
            <w:vAlign w:val="center"/>
          </w:tcPr>
          <w:p w14:paraId="3190E4AC"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lastRenderedPageBreak/>
              <w:t>Total 2021</w:t>
            </w:r>
          </w:p>
        </w:tc>
      </w:tr>
      <w:tr w:rsidR="007E31E3" w:rsidRPr="00524435" w14:paraId="61B5E0B5" w14:textId="77777777" w:rsidTr="00820229">
        <w:trPr>
          <w:trHeight w:val="64"/>
        </w:trPr>
        <w:tc>
          <w:tcPr>
            <w:tcW w:w="562" w:type="dxa"/>
            <w:shd w:val="clear" w:color="auto" w:fill="auto"/>
            <w:tcMar>
              <w:top w:w="0" w:type="dxa"/>
              <w:left w:w="108" w:type="dxa"/>
              <w:bottom w:w="0" w:type="dxa"/>
              <w:right w:w="108" w:type="dxa"/>
            </w:tcMar>
            <w:vAlign w:val="center"/>
          </w:tcPr>
          <w:p w14:paraId="33DE5B7B"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tcMar>
              <w:top w:w="0" w:type="dxa"/>
              <w:left w:w="108" w:type="dxa"/>
              <w:bottom w:w="0" w:type="dxa"/>
              <w:right w:w="108" w:type="dxa"/>
            </w:tcMar>
            <w:vAlign w:val="center"/>
          </w:tcPr>
          <w:p w14:paraId="7468404B" w14:textId="77777777" w:rsidR="007E31E3" w:rsidRPr="00524435" w:rsidRDefault="007E31E3" w:rsidP="00820229">
            <w:pPr>
              <w:jc w:val="center"/>
              <w:rPr>
                <w:rFonts w:ascii="Cambria" w:hAnsi="Cambria"/>
                <w:b/>
                <w:sz w:val="18"/>
                <w:szCs w:val="18"/>
              </w:rPr>
            </w:pPr>
          </w:p>
        </w:tc>
        <w:tc>
          <w:tcPr>
            <w:tcW w:w="1081" w:type="dxa"/>
            <w:shd w:val="clear" w:color="auto" w:fill="auto"/>
            <w:tcMar>
              <w:top w:w="0" w:type="dxa"/>
              <w:left w:w="108" w:type="dxa"/>
              <w:bottom w:w="0" w:type="dxa"/>
              <w:right w:w="108" w:type="dxa"/>
            </w:tcMar>
            <w:vAlign w:val="center"/>
          </w:tcPr>
          <w:p w14:paraId="5E776971"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auto"/>
            <w:tcMar>
              <w:top w:w="0" w:type="dxa"/>
              <w:left w:w="108" w:type="dxa"/>
              <w:bottom w:w="0" w:type="dxa"/>
              <w:right w:w="108" w:type="dxa"/>
            </w:tcMar>
            <w:vAlign w:val="center"/>
          </w:tcPr>
          <w:p w14:paraId="2614F8FB" w14:textId="77777777" w:rsidR="007E31E3" w:rsidRPr="00524435" w:rsidRDefault="007E31E3" w:rsidP="00820229">
            <w:pPr>
              <w:jc w:val="both"/>
              <w:rPr>
                <w:rFonts w:ascii="Cambria" w:hAnsi="Cambria"/>
                <w:b/>
                <w:color w:val="000000"/>
                <w:sz w:val="18"/>
                <w:szCs w:val="18"/>
              </w:rPr>
            </w:pPr>
            <w:r w:rsidRPr="00524435">
              <w:rPr>
                <w:rFonts w:ascii="Cambria" w:hAnsi="Cambria"/>
                <w:b/>
                <w:color w:val="000000"/>
                <w:sz w:val="18"/>
                <w:szCs w:val="18"/>
              </w:rPr>
              <w:t xml:space="preserve">Clause III. </w:t>
            </w:r>
            <w:r w:rsidRPr="00524435">
              <w:rPr>
                <w:rFonts w:ascii="Cambria" w:hAnsi="Cambria"/>
                <w:b/>
                <w:bCs/>
                <w:color w:val="000000"/>
                <w:sz w:val="18"/>
                <w:szCs w:val="18"/>
              </w:rPr>
              <w:t>Measures for non-repetition</w:t>
            </w:r>
            <w:r w:rsidRPr="00524435">
              <w:rPr>
                <w:rFonts w:ascii="Cambria" w:hAnsi="Cambria"/>
                <w:b/>
                <w:color w:val="000000"/>
                <w:sz w:val="18"/>
                <w:szCs w:val="18"/>
              </w:rPr>
              <w:t xml:space="preserve">. 2. Initiatives. 1.1. Security matters: </w:t>
            </w:r>
            <w:r w:rsidRPr="00524435">
              <w:rPr>
                <w:rFonts w:ascii="Cambria" w:hAnsi="Cambria"/>
                <w:color w:val="000000"/>
                <w:sz w:val="18"/>
                <w:szCs w:val="18"/>
              </w:rPr>
              <w:t>Make progress in drawing up a draft bill of law for regulating and implementing a comprehensive external audit, with the authority to receive whistleblowing reports and investigate possible breaches of the disciplinary system currently in force by members of the Federal Security Forces and promote the corresponding administrative penalties depending on the case.</w:t>
            </w:r>
          </w:p>
        </w:tc>
        <w:tc>
          <w:tcPr>
            <w:tcW w:w="1440" w:type="dxa"/>
            <w:gridSpan w:val="2"/>
            <w:shd w:val="clear" w:color="auto" w:fill="auto"/>
            <w:tcMar>
              <w:top w:w="0" w:type="dxa"/>
              <w:left w:w="108" w:type="dxa"/>
              <w:bottom w:w="0" w:type="dxa"/>
              <w:right w:w="108" w:type="dxa"/>
            </w:tcMar>
            <w:vAlign w:val="center"/>
          </w:tcPr>
          <w:p w14:paraId="0DA0825D"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Partial substantial 2021</w:t>
            </w:r>
          </w:p>
        </w:tc>
      </w:tr>
      <w:tr w:rsidR="007E31E3" w:rsidRPr="00524435" w14:paraId="6FE87AC3" w14:textId="77777777" w:rsidTr="00820229">
        <w:trPr>
          <w:trHeight w:val="64"/>
        </w:trPr>
        <w:tc>
          <w:tcPr>
            <w:tcW w:w="562" w:type="dxa"/>
            <w:shd w:val="clear" w:color="auto" w:fill="D9D9D9" w:themeFill="background1" w:themeFillShade="D9"/>
            <w:tcMar>
              <w:top w:w="0" w:type="dxa"/>
              <w:left w:w="108" w:type="dxa"/>
              <w:bottom w:w="0" w:type="dxa"/>
              <w:right w:w="108" w:type="dxa"/>
            </w:tcMar>
            <w:vAlign w:val="center"/>
          </w:tcPr>
          <w:p w14:paraId="197A5F11"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val="restart"/>
            <w:shd w:val="clear" w:color="auto" w:fill="D9D9D9" w:themeFill="background1" w:themeFillShade="D9"/>
            <w:tcMar>
              <w:top w:w="0" w:type="dxa"/>
              <w:left w:w="108" w:type="dxa"/>
              <w:bottom w:w="0" w:type="dxa"/>
              <w:right w:w="108" w:type="dxa"/>
            </w:tcMar>
            <w:vAlign w:val="center"/>
          </w:tcPr>
          <w:p w14:paraId="069DC474"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Case 13.011, Report No.197/20, Graciela Ramos Rocha (Argentina)</w:t>
            </w:r>
          </w:p>
        </w:tc>
        <w:tc>
          <w:tcPr>
            <w:tcW w:w="1081" w:type="dxa"/>
            <w:shd w:val="clear" w:color="auto" w:fill="D9D9D9" w:themeFill="background1" w:themeFillShade="D9"/>
            <w:tcMar>
              <w:top w:w="0" w:type="dxa"/>
              <w:left w:w="108" w:type="dxa"/>
              <w:bottom w:w="0" w:type="dxa"/>
              <w:right w:w="108" w:type="dxa"/>
            </w:tcMar>
            <w:vAlign w:val="center"/>
          </w:tcPr>
          <w:p w14:paraId="6D864F3C"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549A9A5F" w14:textId="77777777" w:rsidR="007E31E3" w:rsidRPr="00524435" w:rsidRDefault="007E31E3" w:rsidP="00820229">
            <w:pPr>
              <w:jc w:val="both"/>
              <w:rPr>
                <w:rFonts w:ascii="Cambria" w:hAnsi="Cambria"/>
                <w:b/>
                <w:color w:val="000000"/>
                <w:sz w:val="18"/>
                <w:szCs w:val="18"/>
              </w:rPr>
            </w:pPr>
            <w:r w:rsidRPr="00524435">
              <w:rPr>
                <w:rFonts w:ascii="Cambria" w:hAnsi="Cambria"/>
                <w:b/>
                <w:color w:val="000000"/>
                <w:sz w:val="18"/>
                <w:szCs w:val="18"/>
              </w:rPr>
              <w:t xml:space="preserve">Clause A. Housing situation. Point 1: </w:t>
            </w:r>
            <w:r w:rsidRPr="00524435">
              <w:rPr>
                <w:rFonts w:ascii="Cambria" w:eastAsia="Times New Roman" w:hAnsi="Cambria"/>
                <w:sz w:val="18"/>
                <w:szCs w:val="18"/>
              </w:rPr>
              <w:t>The Government of the Province of Mendoza undertakes to hand over to Mrs. Graciela Ramos Rocha possession and ownership of the home [in the] Province of Mendoza, consisting of a total area of ONE HUNDRED FORTY-SIX SQUARE METERS FORTY SQUARE CENTIMETERS (146, 40), AS PER CADASTRAL NOMENCLATURE No. XXX, which was awarded by means of Resolution No. XXX, dated September 11, 2018. The property will be turned over to the petitioner by right, without or her family group being responsible for any kind of payment, and with no type of debts or encumbrances.</w:t>
            </w:r>
          </w:p>
        </w:tc>
        <w:tc>
          <w:tcPr>
            <w:tcW w:w="1440" w:type="dxa"/>
            <w:gridSpan w:val="2"/>
            <w:shd w:val="clear" w:color="auto" w:fill="D9D9D9" w:themeFill="background1" w:themeFillShade="D9"/>
            <w:tcMar>
              <w:top w:w="0" w:type="dxa"/>
              <w:left w:w="108" w:type="dxa"/>
              <w:bottom w:w="0" w:type="dxa"/>
              <w:right w:w="108" w:type="dxa"/>
            </w:tcMar>
            <w:vAlign w:val="center"/>
          </w:tcPr>
          <w:p w14:paraId="4A2105CE"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45C582C6" w14:textId="77777777" w:rsidTr="00820229">
        <w:trPr>
          <w:trHeight w:val="64"/>
        </w:trPr>
        <w:tc>
          <w:tcPr>
            <w:tcW w:w="562" w:type="dxa"/>
            <w:shd w:val="clear" w:color="auto" w:fill="D9D9D9" w:themeFill="background1" w:themeFillShade="D9"/>
            <w:tcMar>
              <w:top w:w="0" w:type="dxa"/>
              <w:left w:w="108" w:type="dxa"/>
              <w:bottom w:w="0" w:type="dxa"/>
              <w:right w:w="108" w:type="dxa"/>
            </w:tcMar>
            <w:vAlign w:val="center"/>
          </w:tcPr>
          <w:p w14:paraId="44BA7D41"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tcMar>
              <w:top w:w="0" w:type="dxa"/>
              <w:left w:w="108" w:type="dxa"/>
              <w:bottom w:w="0" w:type="dxa"/>
              <w:right w:w="108" w:type="dxa"/>
            </w:tcMar>
            <w:vAlign w:val="center"/>
          </w:tcPr>
          <w:p w14:paraId="41640E8A"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368E9B80"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17F04F66" w14:textId="77777777" w:rsidR="007E31E3" w:rsidRPr="00524435" w:rsidRDefault="007E31E3" w:rsidP="00820229">
            <w:pPr>
              <w:jc w:val="both"/>
              <w:rPr>
                <w:rFonts w:ascii="Cambria" w:hAnsi="Cambria"/>
                <w:b/>
                <w:color w:val="000000"/>
                <w:sz w:val="18"/>
                <w:szCs w:val="18"/>
              </w:rPr>
            </w:pPr>
            <w:r w:rsidRPr="00524435">
              <w:rPr>
                <w:rFonts w:ascii="Cambria" w:hAnsi="Cambria"/>
                <w:b/>
                <w:color w:val="000000"/>
                <w:sz w:val="18"/>
                <w:szCs w:val="18"/>
              </w:rPr>
              <w:t xml:space="preserve">Clause A. Housing situation. Point 2: </w:t>
            </w:r>
            <w:r w:rsidRPr="00524435">
              <w:rPr>
                <w:rFonts w:ascii="Cambria" w:eastAsia="Times New Roman" w:hAnsi="Cambria"/>
                <w:sz w:val="18"/>
                <w:szCs w:val="18"/>
              </w:rPr>
              <w:t>The Government of the Province of Mendoza turns over the renovated and refurbished property, in accordance with the guidelines duly indicated in the architectural technical report prepared by the National Public Defender’s Office (</w:t>
            </w:r>
            <w:proofErr w:type="spellStart"/>
            <w:r w:rsidRPr="00524435">
              <w:rPr>
                <w:rFonts w:ascii="Cambria" w:eastAsia="Times New Roman" w:hAnsi="Cambria"/>
                <w:i/>
                <w:iCs/>
                <w:sz w:val="18"/>
                <w:szCs w:val="18"/>
              </w:rPr>
              <w:t>Defensoría</w:t>
            </w:r>
            <w:proofErr w:type="spellEnd"/>
            <w:r w:rsidRPr="00524435">
              <w:rPr>
                <w:rFonts w:ascii="Cambria" w:eastAsia="Times New Roman" w:hAnsi="Cambria"/>
                <w:i/>
                <w:iCs/>
                <w:sz w:val="18"/>
                <w:szCs w:val="18"/>
              </w:rPr>
              <w:t xml:space="preserve"> General de la </w:t>
            </w:r>
            <w:proofErr w:type="spellStart"/>
            <w:r w:rsidRPr="00524435">
              <w:rPr>
                <w:rFonts w:ascii="Cambria" w:eastAsia="Times New Roman" w:hAnsi="Cambria"/>
                <w:i/>
                <w:iCs/>
                <w:sz w:val="18"/>
                <w:szCs w:val="18"/>
              </w:rPr>
              <w:t>Nación</w:t>
            </w:r>
            <w:proofErr w:type="spellEnd"/>
            <w:r w:rsidRPr="00524435">
              <w:rPr>
                <w:rFonts w:ascii="Cambria" w:eastAsia="Times New Roman" w:hAnsi="Cambria"/>
                <w:sz w:val="18"/>
                <w:szCs w:val="18"/>
              </w:rPr>
              <w:t>), which is attached hereto. These guidelines are aimed at ensuring living conditions that are satisfactory for the family and adequate for the health of C.M.</w:t>
            </w:r>
          </w:p>
        </w:tc>
        <w:tc>
          <w:tcPr>
            <w:tcW w:w="1440" w:type="dxa"/>
            <w:gridSpan w:val="2"/>
            <w:shd w:val="clear" w:color="auto" w:fill="D9D9D9" w:themeFill="background1" w:themeFillShade="D9"/>
            <w:tcMar>
              <w:top w:w="0" w:type="dxa"/>
              <w:left w:w="108" w:type="dxa"/>
              <w:bottom w:w="0" w:type="dxa"/>
              <w:right w:w="108" w:type="dxa"/>
            </w:tcMar>
            <w:vAlign w:val="center"/>
          </w:tcPr>
          <w:p w14:paraId="7922C3FC"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5E113679" w14:textId="77777777" w:rsidTr="00820229">
        <w:trPr>
          <w:trHeight w:val="64"/>
        </w:trPr>
        <w:tc>
          <w:tcPr>
            <w:tcW w:w="562" w:type="dxa"/>
            <w:shd w:val="clear" w:color="auto" w:fill="D9D9D9" w:themeFill="background1" w:themeFillShade="D9"/>
            <w:tcMar>
              <w:top w:w="0" w:type="dxa"/>
              <w:left w:w="108" w:type="dxa"/>
              <w:bottom w:w="0" w:type="dxa"/>
              <w:right w:w="108" w:type="dxa"/>
            </w:tcMar>
            <w:vAlign w:val="center"/>
          </w:tcPr>
          <w:p w14:paraId="4536B2E2"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tcMar>
              <w:top w:w="0" w:type="dxa"/>
              <w:left w:w="108" w:type="dxa"/>
              <w:bottom w:w="0" w:type="dxa"/>
              <w:right w:w="108" w:type="dxa"/>
            </w:tcMar>
            <w:vAlign w:val="center"/>
          </w:tcPr>
          <w:p w14:paraId="5E79507B"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6F116A5A"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0A29FF93" w14:textId="77777777" w:rsidR="007E31E3" w:rsidRPr="00524435" w:rsidRDefault="007E31E3" w:rsidP="00820229">
            <w:pPr>
              <w:jc w:val="both"/>
              <w:rPr>
                <w:rFonts w:ascii="Cambria" w:hAnsi="Cambria"/>
                <w:b/>
                <w:color w:val="000000"/>
                <w:sz w:val="18"/>
                <w:szCs w:val="18"/>
              </w:rPr>
            </w:pPr>
            <w:r w:rsidRPr="00524435">
              <w:rPr>
                <w:rFonts w:ascii="Cambria" w:hAnsi="Cambria"/>
                <w:b/>
                <w:color w:val="000000"/>
                <w:sz w:val="18"/>
                <w:szCs w:val="18"/>
              </w:rPr>
              <w:t xml:space="preserve">Clause A. Housing situation. Point 4: </w:t>
            </w:r>
            <w:r w:rsidRPr="00524435">
              <w:rPr>
                <w:rFonts w:ascii="Cambria" w:eastAsia="Times New Roman" w:hAnsi="Cambria"/>
                <w:sz w:val="18"/>
                <w:szCs w:val="18"/>
              </w:rPr>
              <w:t xml:space="preserve">Mrs. Graciela Ramos Rocha must initiate the procedures for the registration and transfer of ownership of the </w:t>
            </w:r>
            <w:proofErr w:type="gramStart"/>
            <w:r w:rsidRPr="00524435">
              <w:rPr>
                <w:rFonts w:ascii="Cambria" w:eastAsia="Times New Roman" w:hAnsi="Cambria"/>
                <w:sz w:val="18"/>
                <w:szCs w:val="18"/>
              </w:rPr>
              <w:t>aforementioned property</w:t>
            </w:r>
            <w:proofErr w:type="gramEnd"/>
            <w:r w:rsidRPr="00524435">
              <w:rPr>
                <w:rFonts w:ascii="Cambria" w:eastAsia="Times New Roman" w:hAnsi="Cambria"/>
                <w:sz w:val="18"/>
                <w:szCs w:val="18"/>
              </w:rPr>
              <w:t xml:space="preserve"> with the I.P.V. The processing of the deed will be done at no cost to the petitioner, and the provincial government must collaborate so that the deed can be processed </w:t>
            </w:r>
            <w:r w:rsidRPr="00524435">
              <w:rPr>
                <w:rFonts w:ascii="Cambria" w:eastAsia="MS Mincho" w:hAnsi="Cambria" w:cs="Times New Roman"/>
                <w:sz w:val="18"/>
                <w:szCs w:val="18"/>
              </w:rPr>
              <w:t>in the shortest</w:t>
            </w:r>
            <w:r w:rsidRPr="00524435">
              <w:rPr>
                <w:rFonts w:ascii="Cambria" w:eastAsia="Times New Roman" w:hAnsi="Cambria"/>
                <w:sz w:val="18"/>
                <w:szCs w:val="18"/>
              </w:rPr>
              <w:t xml:space="preserve"> time possible. Once these procedures have been completed and the IACHR’s adoption of the report under Article 49 of the American Convention on Human Rights has been notified, the Government of Mendoza will provide the deed to the petitioner.</w:t>
            </w:r>
          </w:p>
        </w:tc>
        <w:tc>
          <w:tcPr>
            <w:tcW w:w="1440" w:type="dxa"/>
            <w:gridSpan w:val="2"/>
            <w:shd w:val="clear" w:color="auto" w:fill="D9D9D9" w:themeFill="background1" w:themeFillShade="D9"/>
            <w:tcMar>
              <w:top w:w="0" w:type="dxa"/>
              <w:left w:w="108" w:type="dxa"/>
              <w:bottom w:w="0" w:type="dxa"/>
              <w:right w:w="108" w:type="dxa"/>
            </w:tcMar>
            <w:vAlign w:val="center"/>
          </w:tcPr>
          <w:p w14:paraId="083E6E11"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0306A126" w14:textId="77777777" w:rsidTr="00820229">
        <w:trPr>
          <w:trHeight w:val="64"/>
        </w:trPr>
        <w:tc>
          <w:tcPr>
            <w:tcW w:w="562" w:type="dxa"/>
            <w:shd w:val="clear" w:color="auto" w:fill="auto"/>
            <w:tcMar>
              <w:top w:w="0" w:type="dxa"/>
              <w:left w:w="108" w:type="dxa"/>
              <w:bottom w:w="0" w:type="dxa"/>
              <w:right w:w="108" w:type="dxa"/>
            </w:tcMar>
            <w:vAlign w:val="center"/>
          </w:tcPr>
          <w:p w14:paraId="5563B7EB"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val="restart"/>
            <w:shd w:val="clear" w:color="auto" w:fill="auto"/>
            <w:tcMar>
              <w:top w:w="0" w:type="dxa"/>
              <w:left w:w="108" w:type="dxa"/>
              <w:bottom w:w="0" w:type="dxa"/>
              <w:right w:w="108" w:type="dxa"/>
            </w:tcMar>
            <w:vAlign w:val="center"/>
            <w:hideMark/>
          </w:tcPr>
          <w:p w14:paraId="6D9384CA"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 xml:space="preserve">Petition 245/03, Report No.39/21, Walter Mauro </w:t>
            </w:r>
            <w:proofErr w:type="spellStart"/>
            <w:r w:rsidRPr="00524435">
              <w:rPr>
                <w:rFonts w:ascii="Cambria" w:hAnsi="Cambria"/>
                <w:b/>
                <w:sz w:val="18"/>
                <w:szCs w:val="18"/>
              </w:rPr>
              <w:t>Yañez</w:t>
            </w:r>
            <w:proofErr w:type="spellEnd"/>
            <w:r w:rsidRPr="00524435">
              <w:rPr>
                <w:rFonts w:ascii="Cambria" w:hAnsi="Cambria"/>
                <w:b/>
                <w:sz w:val="18"/>
                <w:szCs w:val="18"/>
              </w:rPr>
              <w:t xml:space="preserve"> (Argentina)</w:t>
            </w:r>
          </w:p>
        </w:tc>
        <w:tc>
          <w:tcPr>
            <w:tcW w:w="1081" w:type="dxa"/>
            <w:shd w:val="clear" w:color="auto" w:fill="auto"/>
            <w:tcMar>
              <w:top w:w="0" w:type="dxa"/>
              <w:left w:w="108" w:type="dxa"/>
              <w:bottom w:w="0" w:type="dxa"/>
              <w:right w:w="108" w:type="dxa"/>
            </w:tcMar>
            <w:vAlign w:val="center"/>
            <w:hideMark/>
          </w:tcPr>
          <w:p w14:paraId="4F5A3217"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hideMark/>
          </w:tcPr>
          <w:p w14:paraId="52408E2C" w14:textId="77777777" w:rsidR="007E31E3" w:rsidRPr="00524435" w:rsidRDefault="007E31E3" w:rsidP="00820229">
            <w:pPr>
              <w:jc w:val="both"/>
              <w:rPr>
                <w:rFonts w:ascii="Cambria" w:hAnsi="Cambria"/>
                <w:sz w:val="18"/>
                <w:szCs w:val="18"/>
              </w:rPr>
            </w:pPr>
            <w:r w:rsidRPr="00524435">
              <w:rPr>
                <w:rFonts w:ascii="Cambria" w:hAnsi="Cambria"/>
                <w:b/>
                <w:color w:val="000000"/>
                <w:sz w:val="18"/>
                <w:szCs w:val="18"/>
              </w:rPr>
              <w:t xml:space="preserve">Clause 3. a) Act of public acknowledgement: </w:t>
            </w:r>
            <w:r w:rsidRPr="00524435">
              <w:rPr>
                <w:rFonts w:ascii="Cambria" w:eastAsia="Batang" w:hAnsi="Cambria" w:cs="Calibri Light"/>
                <w:color w:val="000000"/>
                <w:sz w:val="18"/>
                <w:szCs w:val="18"/>
              </w:rPr>
              <w:t>By the highest authorities of the Province of Mendoza making a public request for an apology to the next of kin of the victim.</w:t>
            </w:r>
          </w:p>
        </w:tc>
        <w:tc>
          <w:tcPr>
            <w:tcW w:w="1440" w:type="dxa"/>
            <w:gridSpan w:val="2"/>
            <w:shd w:val="clear" w:color="auto" w:fill="auto"/>
            <w:tcMar>
              <w:top w:w="0" w:type="dxa"/>
              <w:left w:w="108" w:type="dxa"/>
              <w:bottom w:w="0" w:type="dxa"/>
              <w:right w:w="108" w:type="dxa"/>
            </w:tcMar>
            <w:vAlign w:val="center"/>
            <w:hideMark/>
          </w:tcPr>
          <w:p w14:paraId="119B0474"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1A54B76D" w14:textId="77777777" w:rsidTr="00820229">
        <w:tc>
          <w:tcPr>
            <w:tcW w:w="562" w:type="dxa"/>
            <w:shd w:val="clear" w:color="auto" w:fill="auto"/>
            <w:tcMar>
              <w:top w:w="0" w:type="dxa"/>
              <w:left w:w="108" w:type="dxa"/>
              <w:bottom w:w="0" w:type="dxa"/>
              <w:right w:w="108" w:type="dxa"/>
            </w:tcMar>
            <w:vAlign w:val="center"/>
          </w:tcPr>
          <w:p w14:paraId="3060DB77"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tcMar>
              <w:top w:w="0" w:type="dxa"/>
              <w:left w:w="108" w:type="dxa"/>
              <w:bottom w:w="0" w:type="dxa"/>
              <w:right w:w="108" w:type="dxa"/>
            </w:tcMar>
            <w:vAlign w:val="center"/>
          </w:tcPr>
          <w:p w14:paraId="0ED0219A" w14:textId="77777777" w:rsidR="007E31E3" w:rsidRPr="00524435" w:rsidRDefault="007E31E3" w:rsidP="00820229">
            <w:pPr>
              <w:rPr>
                <w:rFonts w:ascii="Cambria" w:hAnsi="Cambria"/>
                <w:b/>
                <w:color w:val="333333"/>
                <w:sz w:val="18"/>
                <w:szCs w:val="18"/>
              </w:rPr>
            </w:pPr>
          </w:p>
        </w:tc>
        <w:tc>
          <w:tcPr>
            <w:tcW w:w="1081" w:type="dxa"/>
            <w:shd w:val="clear" w:color="auto" w:fill="auto"/>
            <w:tcMar>
              <w:top w:w="0" w:type="dxa"/>
              <w:left w:w="108" w:type="dxa"/>
              <w:bottom w:w="0" w:type="dxa"/>
              <w:right w:w="108" w:type="dxa"/>
            </w:tcMar>
            <w:vAlign w:val="center"/>
          </w:tcPr>
          <w:p w14:paraId="61A5D25B"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auto"/>
            <w:tcMar>
              <w:top w:w="0" w:type="dxa"/>
              <w:left w:w="108" w:type="dxa"/>
              <w:bottom w:w="0" w:type="dxa"/>
              <w:right w:w="108" w:type="dxa"/>
            </w:tcMar>
            <w:vAlign w:val="center"/>
          </w:tcPr>
          <w:p w14:paraId="3183DCDA" w14:textId="77777777" w:rsidR="007E31E3" w:rsidRPr="00524435" w:rsidRDefault="007E31E3" w:rsidP="00820229">
            <w:pPr>
              <w:jc w:val="both"/>
              <w:rPr>
                <w:rFonts w:ascii="Cambria" w:hAnsi="Cambria"/>
                <w:sz w:val="18"/>
                <w:szCs w:val="18"/>
              </w:rPr>
            </w:pPr>
            <w:r w:rsidRPr="00524435">
              <w:rPr>
                <w:rFonts w:ascii="Cambria" w:hAnsi="Cambria"/>
                <w:b/>
                <w:color w:val="000000"/>
                <w:sz w:val="18"/>
                <w:szCs w:val="18"/>
              </w:rPr>
              <w:t xml:space="preserve">Clause 3. b) Creation of a Human Rights Prosecutor's Office: </w:t>
            </w:r>
            <w:r w:rsidRPr="00524435">
              <w:rPr>
                <w:rFonts w:ascii="Cambria" w:hAnsi="Cambria"/>
                <w:bCs/>
                <w:sz w:val="18"/>
                <w:szCs w:val="18"/>
              </w:rPr>
              <w:t xml:space="preserve">Initiate the corresponding procedures to create a Human Rights Prosecution Unit at the Office of the Public Prosecutor, which would </w:t>
            </w:r>
            <w:proofErr w:type="gramStart"/>
            <w:r w:rsidRPr="00524435">
              <w:rPr>
                <w:rFonts w:ascii="Cambria" w:hAnsi="Cambria"/>
                <w:bCs/>
                <w:sz w:val="18"/>
                <w:szCs w:val="18"/>
              </w:rPr>
              <w:t>be in charge of</w:t>
            </w:r>
            <w:proofErr w:type="gramEnd"/>
            <w:r w:rsidRPr="00524435">
              <w:rPr>
                <w:rFonts w:ascii="Cambria" w:hAnsi="Cambria"/>
                <w:bCs/>
                <w:sz w:val="18"/>
                <w:szCs w:val="18"/>
              </w:rPr>
              <w:t xml:space="preserve"> conducting the preparatory criminal investigation of crimes committed by members of the Security and Prison Forces and Penitentiaries.</w:t>
            </w:r>
          </w:p>
        </w:tc>
        <w:tc>
          <w:tcPr>
            <w:tcW w:w="1440" w:type="dxa"/>
            <w:gridSpan w:val="2"/>
            <w:shd w:val="clear" w:color="auto" w:fill="auto"/>
            <w:tcMar>
              <w:top w:w="0" w:type="dxa"/>
              <w:left w:w="108" w:type="dxa"/>
              <w:bottom w:w="0" w:type="dxa"/>
              <w:right w:w="108" w:type="dxa"/>
            </w:tcMar>
            <w:vAlign w:val="center"/>
          </w:tcPr>
          <w:p w14:paraId="2ABC7156"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240BAD94" w14:textId="77777777" w:rsidTr="00820229">
        <w:trPr>
          <w:trHeight w:val="440"/>
        </w:trPr>
        <w:tc>
          <w:tcPr>
            <w:tcW w:w="562" w:type="dxa"/>
            <w:shd w:val="clear" w:color="auto" w:fill="auto"/>
            <w:tcMar>
              <w:top w:w="0" w:type="dxa"/>
              <w:left w:w="108" w:type="dxa"/>
              <w:bottom w:w="0" w:type="dxa"/>
              <w:right w:w="108" w:type="dxa"/>
            </w:tcMar>
            <w:vAlign w:val="center"/>
          </w:tcPr>
          <w:p w14:paraId="3F0D9981"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tcMar>
              <w:top w:w="0" w:type="dxa"/>
              <w:left w:w="108" w:type="dxa"/>
              <w:bottom w:w="0" w:type="dxa"/>
              <w:right w:w="108" w:type="dxa"/>
            </w:tcMar>
            <w:vAlign w:val="center"/>
          </w:tcPr>
          <w:p w14:paraId="07C6B997" w14:textId="77777777" w:rsidR="007E31E3" w:rsidRPr="00524435" w:rsidRDefault="007E31E3" w:rsidP="00820229">
            <w:pPr>
              <w:rPr>
                <w:rFonts w:ascii="Cambria" w:hAnsi="Cambria"/>
                <w:b/>
                <w:color w:val="333333"/>
                <w:sz w:val="18"/>
                <w:szCs w:val="18"/>
              </w:rPr>
            </w:pPr>
          </w:p>
        </w:tc>
        <w:tc>
          <w:tcPr>
            <w:tcW w:w="1081" w:type="dxa"/>
            <w:shd w:val="clear" w:color="auto" w:fill="auto"/>
            <w:tcMar>
              <w:top w:w="0" w:type="dxa"/>
              <w:left w:w="108" w:type="dxa"/>
              <w:bottom w:w="0" w:type="dxa"/>
              <w:right w:w="108" w:type="dxa"/>
            </w:tcMar>
            <w:vAlign w:val="center"/>
          </w:tcPr>
          <w:p w14:paraId="6DCA9385"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auto"/>
            <w:tcMar>
              <w:top w:w="0" w:type="dxa"/>
              <w:left w:w="108" w:type="dxa"/>
              <w:bottom w:w="0" w:type="dxa"/>
              <w:right w:w="108" w:type="dxa"/>
            </w:tcMar>
            <w:vAlign w:val="center"/>
          </w:tcPr>
          <w:p w14:paraId="0F8A41F7" w14:textId="77777777" w:rsidR="007E31E3" w:rsidRPr="00524435" w:rsidRDefault="007E31E3" w:rsidP="00820229">
            <w:pPr>
              <w:jc w:val="both"/>
              <w:rPr>
                <w:rFonts w:ascii="Cambria" w:hAnsi="Cambria"/>
                <w:b/>
                <w:color w:val="333333"/>
                <w:sz w:val="18"/>
                <w:szCs w:val="18"/>
              </w:rPr>
            </w:pPr>
            <w:r w:rsidRPr="00524435">
              <w:rPr>
                <w:rFonts w:ascii="Cambria" w:hAnsi="Cambria"/>
                <w:b/>
                <w:color w:val="000000"/>
                <w:sz w:val="18"/>
                <w:szCs w:val="18"/>
              </w:rPr>
              <w:t xml:space="preserve">Clause 3. c) Trainings: </w:t>
            </w:r>
            <w:r w:rsidRPr="00524435">
              <w:rPr>
                <w:rFonts w:ascii="Cambria" w:hAnsi="Cambria"/>
                <w:bCs/>
                <w:sz w:val="18"/>
                <w:szCs w:val="18"/>
              </w:rPr>
              <w:t>Permanently train members of the Security and Prison Forces on Human Rights.</w:t>
            </w:r>
          </w:p>
        </w:tc>
        <w:tc>
          <w:tcPr>
            <w:tcW w:w="1440" w:type="dxa"/>
            <w:gridSpan w:val="2"/>
            <w:shd w:val="clear" w:color="auto" w:fill="auto"/>
            <w:tcMar>
              <w:top w:w="0" w:type="dxa"/>
              <w:left w:w="108" w:type="dxa"/>
              <w:bottom w:w="0" w:type="dxa"/>
              <w:right w:w="108" w:type="dxa"/>
            </w:tcMar>
            <w:vAlign w:val="center"/>
          </w:tcPr>
          <w:p w14:paraId="461162E4"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01DE956D" w14:textId="77777777" w:rsidTr="00820229">
        <w:tc>
          <w:tcPr>
            <w:tcW w:w="562" w:type="dxa"/>
            <w:shd w:val="clear" w:color="auto" w:fill="auto"/>
            <w:tcMar>
              <w:top w:w="0" w:type="dxa"/>
              <w:left w:w="108" w:type="dxa"/>
              <w:bottom w:w="0" w:type="dxa"/>
              <w:right w:w="108" w:type="dxa"/>
            </w:tcMar>
            <w:vAlign w:val="center"/>
          </w:tcPr>
          <w:p w14:paraId="6F0EDE0E"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tcMar>
              <w:top w:w="0" w:type="dxa"/>
              <w:left w:w="108" w:type="dxa"/>
              <w:bottom w:w="0" w:type="dxa"/>
              <w:right w:w="108" w:type="dxa"/>
            </w:tcMar>
            <w:vAlign w:val="center"/>
          </w:tcPr>
          <w:p w14:paraId="2869B061" w14:textId="77777777" w:rsidR="007E31E3" w:rsidRPr="00524435" w:rsidRDefault="007E31E3" w:rsidP="00820229">
            <w:pPr>
              <w:rPr>
                <w:rFonts w:ascii="Cambria" w:hAnsi="Cambria"/>
                <w:b/>
                <w:color w:val="333333"/>
                <w:sz w:val="18"/>
                <w:szCs w:val="18"/>
              </w:rPr>
            </w:pPr>
          </w:p>
        </w:tc>
        <w:tc>
          <w:tcPr>
            <w:tcW w:w="1081" w:type="dxa"/>
            <w:shd w:val="clear" w:color="auto" w:fill="auto"/>
            <w:tcMar>
              <w:top w:w="0" w:type="dxa"/>
              <w:left w:w="108" w:type="dxa"/>
              <w:bottom w:w="0" w:type="dxa"/>
              <w:right w:w="108" w:type="dxa"/>
            </w:tcMar>
            <w:vAlign w:val="center"/>
          </w:tcPr>
          <w:p w14:paraId="79A0454A"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148F0FBD" w14:textId="77777777" w:rsidR="007E31E3" w:rsidRPr="00524435" w:rsidRDefault="007E31E3" w:rsidP="00820229">
            <w:pPr>
              <w:jc w:val="both"/>
              <w:rPr>
                <w:rFonts w:ascii="Cambria" w:hAnsi="Cambria"/>
                <w:b/>
                <w:color w:val="333333"/>
                <w:sz w:val="18"/>
                <w:szCs w:val="18"/>
              </w:rPr>
            </w:pPr>
            <w:r w:rsidRPr="00524435">
              <w:rPr>
                <w:rFonts w:ascii="Cambria" w:hAnsi="Cambria"/>
                <w:b/>
                <w:color w:val="000000"/>
                <w:sz w:val="18"/>
                <w:szCs w:val="18"/>
              </w:rPr>
              <w:t xml:space="preserve">Clause 3. d) </w:t>
            </w:r>
            <w:r w:rsidRPr="00524435">
              <w:rPr>
                <w:rFonts w:ascii="Cambria" w:hAnsi="Cambria"/>
                <w:b/>
                <w:sz w:val="18"/>
                <w:szCs w:val="18"/>
              </w:rPr>
              <w:t xml:space="preserve">Economic compensation: </w:t>
            </w:r>
            <w:r w:rsidRPr="00524435">
              <w:rPr>
                <w:rFonts w:ascii="Cambria" w:eastAsia="Batang" w:hAnsi="Cambria" w:cs="Calibri Light"/>
                <w:color w:val="000000"/>
                <w:sz w:val="18"/>
                <w:szCs w:val="18"/>
              </w:rPr>
              <w:t xml:space="preserve">Provide compensation in the amount of $ 135.000 (one hundred and thirty-five thousand pesos) to Ms. Norma del Carmen </w:t>
            </w:r>
            <w:proofErr w:type="spellStart"/>
            <w:r w:rsidRPr="00524435">
              <w:rPr>
                <w:rFonts w:ascii="Cambria" w:eastAsia="Batang" w:hAnsi="Cambria" w:cs="Calibri Light"/>
                <w:color w:val="000000"/>
                <w:sz w:val="18"/>
                <w:szCs w:val="18"/>
              </w:rPr>
              <w:t>Yañez</w:t>
            </w:r>
            <w:proofErr w:type="spellEnd"/>
            <w:r w:rsidRPr="00524435">
              <w:rPr>
                <w:rFonts w:ascii="Cambria" w:eastAsia="Batang" w:hAnsi="Cambria" w:cs="Calibri Light"/>
                <w:color w:val="000000"/>
                <w:sz w:val="18"/>
                <w:szCs w:val="18"/>
              </w:rPr>
              <w:t xml:space="preserve"> for material and moral damages resulting from the violation of the right to fair trial and judicial protection during the investigation over the death of her son Walter Mauro </w:t>
            </w:r>
            <w:proofErr w:type="spellStart"/>
            <w:r w:rsidRPr="00524435">
              <w:rPr>
                <w:rFonts w:ascii="Cambria" w:eastAsia="Batang" w:hAnsi="Cambria" w:cs="Calibri Light"/>
                <w:color w:val="000000"/>
                <w:sz w:val="18"/>
                <w:szCs w:val="18"/>
              </w:rPr>
              <w:t>Yañez</w:t>
            </w:r>
            <w:proofErr w:type="spellEnd"/>
            <w:r w:rsidRPr="00524435">
              <w:rPr>
                <w:rFonts w:ascii="Cambria" w:eastAsia="Batang" w:hAnsi="Cambria" w:cs="Calibri Light"/>
                <w:color w:val="000000"/>
                <w:sz w:val="18"/>
                <w:szCs w:val="18"/>
              </w:rPr>
              <w:t>.</w:t>
            </w:r>
          </w:p>
        </w:tc>
        <w:tc>
          <w:tcPr>
            <w:tcW w:w="1440" w:type="dxa"/>
            <w:gridSpan w:val="2"/>
            <w:shd w:val="clear" w:color="auto" w:fill="auto"/>
            <w:tcMar>
              <w:top w:w="0" w:type="dxa"/>
              <w:left w:w="108" w:type="dxa"/>
              <w:bottom w:w="0" w:type="dxa"/>
              <w:right w:w="108" w:type="dxa"/>
            </w:tcMar>
            <w:vAlign w:val="center"/>
          </w:tcPr>
          <w:p w14:paraId="4F5B6FD8"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5C4235EE" w14:textId="77777777" w:rsidTr="00820229">
        <w:tc>
          <w:tcPr>
            <w:tcW w:w="562" w:type="dxa"/>
            <w:shd w:val="clear" w:color="auto" w:fill="auto"/>
            <w:tcMar>
              <w:top w:w="0" w:type="dxa"/>
              <w:left w:w="108" w:type="dxa"/>
              <w:bottom w:w="0" w:type="dxa"/>
              <w:right w:w="108" w:type="dxa"/>
            </w:tcMar>
            <w:vAlign w:val="center"/>
          </w:tcPr>
          <w:p w14:paraId="531735E9"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tcMar>
              <w:top w:w="0" w:type="dxa"/>
              <w:left w:w="108" w:type="dxa"/>
              <w:bottom w:w="0" w:type="dxa"/>
              <w:right w:w="108" w:type="dxa"/>
            </w:tcMar>
            <w:vAlign w:val="center"/>
          </w:tcPr>
          <w:p w14:paraId="3C7C1825" w14:textId="77777777" w:rsidR="007E31E3" w:rsidRPr="00524435" w:rsidRDefault="007E31E3" w:rsidP="00820229">
            <w:pPr>
              <w:rPr>
                <w:rFonts w:ascii="Cambria" w:hAnsi="Cambria"/>
                <w:b/>
                <w:color w:val="333333"/>
                <w:sz w:val="18"/>
                <w:szCs w:val="18"/>
              </w:rPr>
            </w:pPr>
          </w:p>
        </w:tc>
        <w:tc>
          <w:tcPr>
            <w:tcW w:w="1081" w:type="dxa"/>
            <w:shd w:val="clear" w:color="auto" w:fill="auto"/>
            <w:tcMar>
              <w:top w:w="0" w:type="dxa"/>
              <w:left w:w="108" w:type="dxa"/>
              <w:bottom w:w="0" w:type="dxa"/>
              <w:right w:w="108" w:type="dxa"/>
            </w:tcMar>
            <w:vAlign w:val="center"/>
          </w:tcPr>
          <w:p w14:paraId="7FB70E84"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2CB4DE4F" w14:textId="77777777" w:rsidR="007E31E3" w:rsidRPr="00524435" w:rsidRDefault="007E31E3" w:rsidP="00820229">
            <w:pPr>
              <w:jc w:val="both"/>
              <w:rPr>
                <w:rFonts w:ascii="Cambria" w:hAnsi="Cambria"/>
                <w:color w:val="333333"/>
                <w:sz w:val="18"/>
                <w:szCs w:val="18"/>
              </w:rPr>
            </w:pPr>
            <w:r w:rsidRPr="00524435">
              <w:rPr>
                <w:rFonts w:ascii="Cambria" w:hAnsi="Cambria"/>
                <w:b/>
                <w:color w:val="000000"/>
                <w:sz w:val="18"/>
                <w:szCs w:val="18"/>
              </w:rPr>
              <w:t xml:space="preserve">Clause 3. e) </w:t>
            </w:r>
            <w:r w:rsidRPr="00524435">
              <w:rPr>
                <w:rFonts w:ascii="Cambria" w:hAnsi="Cambria"/>
                <w:b/>
                <w:sz w:val="18"/>
                <w:szCs w:val="18"/>
              </w:rPr>
              <w:t xml:space="preserve">Costs and expenses: </w:t>
            </w:r>
            <w:r w:rsidRPr="00524435">
              <w:rPr>
                <w:rFonts w:ascii="Cambria" w:eastAsia="Batang" w:hAnsi="Cambria" w:cs="Calibri Light"/>
                <w:color w:val="000000"/>
                <w:sz w:val="18"/>
                <w:szCs w:val="18"/>
              </w:rPr>
              <w:t xml:space="preserve">Pay Ms. Norma del Carmen </w:t>
            </w:r>
            <w:proofErr w:type="spellStart"/>
            <w:r w:rsidRPr="00524435">
              <w:rPr>
                <w:rFonts w:ascii="Cambria" w:eastAsia="Batang" w:hAnsi="Cambria" w:cs="Calibri Light"/>
                <w:color w:val="000000"/>
                <w:sz w:val="18"/>
                <w:szCs w:val="18"/>
              </w:rPr>
              <w:t>Yañez</w:t>
            </w:r>
            <w:proofErr w:type="spellEnd"/>
            <w:r w:rsidRPr="00524435">
              <w:rPr>
                <w:rFonts w:ascii="Cambria" w:eastAsia="Batang" w:hAnsi="Cambria" w:cs="Calibri Light"/>
                <w:color w:val="000000"/>
                <w:sz w:val="18"/>
                <w:szCs w:val="18"/>
              </w:rPr>
              <w:t xml:space="preserve"> the sum of $ 40.000 (forty thousand pesos) for professional fees and legal costs and expenses.</w:t>
            </w:r>
          </w:p>
        </w:tc>
        <w:tc>
          <w:tcPr>
            <w:tcW w:w="1440" w:type="dxa"/>
            <w:gridSpan w:val="2"/>
            <w:shd w:val="clear" w:color="auto" w:fill="auto"/>
            <w:tcMar>
              <w:top w:w="0" w:type="dxa"/>
              <w:left w:w="108" w:type="dxa"/>
              <w:bottom w:w="0" w:type="dxa"/>
              <w:right w:w="108" w:type="dxa"/>
            </w:tcMar>
            <w:vAlign w:val="center"/>
          </w:tcPr>
          <w:p w14:paraId="31C13605"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3F15AC78" w14:textId="77777777" w:rsidTr="00820229">
        <w:tc>
          <w:tcPr>
            <w:tcW w:w="9805" w:type="dxa"/>
            <w:gridSpan w:val="7"/>
            <w:shd w:val="clear" w:color="auto" w:fill="92D050"/>
            <w:tcMar>
              <w:top w:w="0" w:type="dxa"/>
              <w:left w:w="108" w:type="dxa"/>
              <w:bottom w:w="0" w:type="dxa"/>
              <w:right w:w="108" w:type="dxa"/>
            </w:tcMar>
            <w:vAlign w:val="center"/>
          </w:tcPr>
          <w:p w14:paraId="731BDCAD" w14:textId="77777777" w:rsidR="007E31E3" w:rsidRPr="00524435" w:rsidRDefault="007E31E3" w:rsidP="00E1597F">
            <w:pPr>
              <w:spacing w:after="0" w:line="240" w:lineRule="auto"/>
              <w:jc w:val="center"/>
              <w:rPr>
                <w:rFonts w:ascii="Cambria" w:hAnsi="Cambria"/>
                <w:b/>
                <w:sz w:val="18"/>
                <w:szCs w:val="18"/>
              </w:rPr>
            </w:pPr>
            <w:r w:rsidRPr="00524435">
              <w:rPr>
                <w:rFonts w:ascii="Cambria" w:hAnsi="Cambria"/>
                <w:b/>
                <w:sz w:val="18"/>
                <w:szCs w:val="18"/>
              </w:rPr>
              <w:t>Number of measures where progress was achieved: 20 (8 individual and 12 structural)</w:t>
            </w:r>
          </w:p>
          <w:p w14:paraId="0EEDC44C" w14:textId="77777777" w:rsidR="007E31E3" w:rsidRPr="00524435" w:rsidRDefault="007E31E3" w:rsidP="00E1597F">
            <w:pPr>
              <w:spacing w:after="0" w:line="240" w:lineRule="auto"/>
              <w:jc w:val="center"/>
              <w:rPr>
                <w:rFonts w:ascii="Cambria" w:hAnsi="Cambria"/>
                <w:b/>
                <w:sz w:val="18"/>
                <w:szCs w:val="18"/>
              </w:rPr>
            </w:pPr>
            <w:r w:rsidRPr="00524435">
              <w:rPr>
                <w:rFonts w:ascii="Cambria" w:hAnsi="Cambria"/>
                <w:b/>
                <w:sz w:val="18"/>
                <w:szCs w:val="18"/>
              </w:rPr>
              <w:t>Total compliance: 16</w:t>
            </w:r>
          </w:p>
          <w:p w14:paraId="52905D5E" w14:textId="77777777" w:rsidR="007E31E3" w:rsidRPr="00524435" w:rsidRDefault="007E31E3" w:rsidP="00E1597F">
            <w:pPr>
              <w:spacing w:after="0" w:line="240" w:lineRule="auto"/>
              <w:jc w:val="center"/>
              <w:rPr>
                <w:rFonts w:ascii="Cambria" w:hAnsi="Cambria"/>
                <w:b/>
                <w:sz w:val="18"/>
                <w:szCs w:val="18"/>
              </w:rPr>
            </w:pPr>
            <w:r w:rsidRPr="00524435">
              <w:rPr>
                <w:rFonts w:ascii="Cambria" w:hAnsi="Cambria"/>
                <w:b/>
                <w:sz w:val="18"/>
                <w:szCs w:val="18"/>
              </w:rPr>
              <w:t>Partial substantial: 3</w:t>
            </w:r>
          </w:p>
          <w:p w14:paraId="075ABD1D" w14:textId="77777777" w:rsidR="007E31E3" w:rsidRPr="00524435" w:rsidRDefault="007E31E3" w:rsidP="00E1597F">
            <w:pPr>
              <w:spacing w:after="0" w:line="240" w:lineRule="auto"/>
              <w:jc w:val="center"/>
              <w:rPr>
                <w:rFonts w:ascii="Cambria" w:hAnsi="Cambria"/>
                <w:b/>
                <w:sz w:val="18"/>
                <w:szCs w:val="18"/>
              </w:rPr>
            </w:pPr>
            <w:r w:rsidRPr="00524435">
              <w:rPr>
                <w:rFonts w:ascii="Cambria" w:hAnsi="Cambria"/>
                <w:b/>
                <w:sz w:val="18"/>
                <w:szCs w:val="18"/>
              </w:rPr>
              <w:t>Partial compliance:  1</w:t>
            </w:r>
          </w:p>
        </w:tc>
      </w:tr>
      <w:tr w:rsidR="007E31E3" w:rsidRPr="00524435" w14:paraId="6564BBB1" w14:textId="77777777" w:rsidTr="00820229">
        <w:trPr>
          <w:trHeight w:val="331"/>
        </w:trPr>
        <w:tc>
          <w:tcPr>
            <w:tcW w:w="9805" w:type="dxa"/>
            <w:gridSpan w:val="7"/>
            <w:shd w:val="clear" w:color="auto" w:fill="002060"/>
            <w:tcMar>
              <w:top w:w="0" w:type="dxa"/>
              <w:left w:w="108" w:type="dxa"/>
              <w:bottom w:w="0" w:type="dxa"/>
              <w:right w:w="108" w:type="dxa"/>
            </w:tcMar>
            <w:vAlign w:val="center"/>
          </w:tcPr>
          <w:p w14:paraId="3D865481" w14:textId="77777777" w:rsidR="007E31E3" w:rsidRPr="00524435" w:rsidRDefault="007E31E3" w:rsidP="00820229">
            <w:pPr>
              <w:jc w:val="center"/>
              <w:rPr>
                <w:rFonts w:ascii="Cambria" w:hAnsi="Cambria"/>
                <w:b/>
                <w:strike/>
                <w:color w:val="FF0000"/>
                <w:sz w:val="18"/>
                <w:szCs w:val="18"/>
              </w:rPr>
            </w:pPr>
            <w:r w:rsidRPr="00524435">
              <w:rPr>
                <w:rFonts w:ascii="Cambria" w:hAnsi="Cambria"/>
                <w:b/>
                <w:sz w:val="18"/>
                <w:szCs w:val="18"/>
              </w:rPr>
              <w:t>BRAZIL</w:t>
            </w:r>
          </w:p>
        </w:tc>
      </w:tr>
      <w:tr w:rsidR="007E31E3" w:rsidRPr="00524435" w14:paraId="0146BF5F" w14:textId="77777777" w:rsidTr="00820229">
        <w:trPr>
          <w:trHeight w:val="64"/>
        </w:trPr>
        <w:tc>
          <w:tcPr>
            <w:tcW w:w="562" w:type="dxa"/>
            <w:shd w:val="clear" w:color="auto" w:fill="D9D9D9" w:themeFill="background1" w:themeFillShade="D9"/>
            <w:tcMar>
              <w:top w:w="0" w:type="dxa"/>
              <w:left w:w="108" w:type="dxa"/>
              <w:bottom w:w="0" w:type="dxa"/>
              <w:right w:w="108" w:type="dxa"/>
            </w:tcMar>
            <w:vAlign w:val="center"/>
          </w:tcPr>
          <w:p w14:paraId="6481658B"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val="restart"/>
            <w:shd w:val="clear" w:color="auto" w:fill="D9D9D9" w:themeFill="background1" w:themeFillShade="D9"/>
            <w:tcMar>
              <w:top w:w="0" w:type="dxa"/>
              <w:left w:w="108" w:type="dxa"/>
              <w:bottom w:w="0" w:type="dxa"/>
              <w:right w:w="108" w:type="dxa"/>
            </w:tcMar>
            <w:vAlign w:val="center"/>
            <w:hideMark/>
          </w:tcPr>
          <w:p w14:paraId="53216315" w14:textId="77777777" w:rsidR="007E31E3" w:rsidRPr="00524435" w:rsidRDefault="007E31E3" w:rsidP="00820229">
            <w:pPr>
              <w:ind w:right="-18"/>
              <w:contextualSpacing/>
              <w:jc w:val="center"/>
              <w:rPr>
                <w:rFonts w:ascii="Cambria" w:eastAsia="MS Mincho" w:hAnsi="Cambria" w:cs="Arial"/>
                <w:b/>
                <w:bCs/>
                <w:sz w:val="18"/>
                <w:szCs w:val="18"/>
              </w:rPr>
            </w:pPr>
            <w:r w:rsidRPr="00524435">
              <w:rPr>
                <w:rFonts w:ascii="Cambria" w:eastAsia="MS Mincho" w:hAnsi="Cambria" w:cs="Arial"/>
                <w:b/>
                <w:bCs/>
                <w:sz w:val="18"/>
                <w:szCs w:val="18"/>
              </w:rPr>
              <w:t>Case 12.277,</w:t>
            </w:r>
          </w:p>
          <w:p w14:paraId="42E2F173" w14:textId="77777777" w:rsidR="007E31E3" w:rsidRPr="00524435" w:rsidRDefault="007E31E3" w:rsidP="00820229">
            <w:pPr>
              <w:ind w:right="-18"/>
              <w:contextualSpacing/>
              <w:jc w:val="center"/>
              <w:rPr>
                <w:rFonts w:ascii="Cambria" w:eastAsia="MS Mincho" w:hAnsi="Cambria" w:cs="Arial"/>
                <w:b/>
                <w:bCs/>
                <w:sz w:val="18"/>
                <w:szCs w:val="18"/>
              </w:rPr>
            </w:pPr>
            <w:r w:rsidRPr="00524435">
              <w:rPr>
                <w:rFonts w:ascii="Cambria" w:eastAsia="MS Mincho" w:hAnsi="Cambria" w:cs="Arial"/>
                <w:b/>
                <w:bCs/>
                <w:sz w:val="18"/>
                <w:szCs w:val="18"/>
              </w:rPr>
              <w:t>Report No.136/21,</w:t>
            </w:r>
          </w:p>
          <w:p w14:paraId="175593EF" w14:textId="77777777" w:rsidR="007E31E3" w:rsidRPr="00524435" w:rsidRDefault="007E31E3" w:rsidP="00820229">
            <w:pPr>
              <w:jc w:val="center"/>
              <w:rPr>
                <w:rFonts w:ascii="Cambria" w:hAnsi="Cambria"/>
                <w:b/>
                <w:bCs/>
                <w:color w:val="000000"/>
                <w:sz w:val="18"/>
                <w:szCs w:val="18"/>
              </w:rPr>
            </w:pPr>
            <w:r w:rsidRPr="00524435">
              <w:rPr>
                <w:rFonts w:ascii="Cambria" w:eastAsia="MS Mincho" w:hAnsi="Cambria" w:cs="Arial"/>
                <w:b/>
                <w:bCs/>
                <w:sz w:val="18"/>
                <w:szCs w:val="18"/>
              </w:rPr>
              <w:t xml:space="preserve">Fazenda </w:t>
            </w:r>
            <w:proofErr w:type="spellStart"/>
            <w:r w:rsidRPr="00524435">
              <w:rPr>
                <w:rFonts w:ascii="Cambria" w:eastAsia="MS Mincho" w:hAnsi="Cambria" w:cs="Arial"/>
                <w:b/>
                <w:bCs/>
                <w:sz w:val="18"/>
                <w:szCs w:val="18"/>
              </w:rPr>
              <w:t>Ubá</w:t>
            </w:r>
            <w:proofErr w:type="spellEnd"/>
            <w:r w:rsidRPr="00524435">
              <w:rPr>
                <w:rFonts w:ascii="Cambria" w:eastAsia="MS Mincho" w:hAnsi="Cambria" w:cs="Arial"/>
                <w:b/>
                <w:bCs/>
                <w:sz w:val="18"/>
                <w:szCs w:val="18"/>
              </w:rPr>
              <w:t xml:space="preserve"> (Brazil)</w:t>
            </w:r>
          </w:p>
        </w:tc>
        <w:tc>
          <w:tcPr>
            <w:tcW w:w="1081" w:type="dxa"/>
            <w:shd w:val="clear" w:color="auto" w:fill="D9D9D9" w:themeFill="background1" w:themeFillShade="D9"/>
            <w:tcMar>
              <w:top w:w="0" w:type="dxa"/>
              <w:left w:w="108" w:type="dxa"/>
              <w:bottom w:w="0" w:type="dxa"/>
              <w:right w:w="108" w:type="dxa"/>
            </w:tcMar>
            <w:vAlign w:val="center"/>
          </w:tcPr>
          <w:p w14:paraId="4918F26B"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5D18CE5B" w14:textId="77777777" w:rsidR="007E31E3" w:rsidRPr="00524435" w:rsidRDefault="007E31E3" w:rsidP="00820229">
            <w:pPr>
              <w:jc w:val="both"/>
              <w:rPr>
                <w:rFonts w:ascii="Cambria" w:hAnsi="Cambria"/>
                <w:b/>
                <w:strike/>
                <w:color w:val="FF0000"/>
                <w:sz w:val="18"/>
                <w:szCs w:val="18"/>
              </w:rPr>
            </w:pPr>
            <w:r w:rsidRPr="00524435">
              <w:rPr>
                <w:rFonts w:ascii="Cambria" w:hAnsi="Cambria"/>
                <w:b/>
                <w:sz w:val="18"/>
                <w:szCs w:val="18"/>
              </w:rPr>
              <w:t>Clause I. 5</w:t>
            </w:r>
            <w:r w:rsidRPr="00524435">
              <w:rPr>
                <w:rFonts w:ascii="Cambria" w:hAnsi="Cambria"/>
                <w:color w:val="000000"/>
                <w:sz w:val="18"/>
                <w:szCs w:val="18"/>
              </w:rPr>
              <w:t xml:space="preserve">. </w:t>
            </w:r>
            <w:r w:rsidRPr="00524435">
              <w:rPr>
                <w:rFonts w:ascii="Cambria" w:hAnsi="Cambria"/>
                <w:b/>
                <w:color w:val="000000"/>
                <w:sz w:val="18"/>
                <w:szCs w:val="18"/>
              </w:rPr>
              <w:t>Recognition of responsibility:</w:t>
            </w:r>
            <w:r w:rsidRPr="00524435">
              <w:rPr>
                <w:rFonts w:ascii="Cambria" w:hAnsi="Cambria"/>
                <w:color w:val="000000"/>
                <w:sz w:val="18"/>
                <w:szCs w:val="18"/>
              </w:rPr>
              <w:t xml:space="preserve"> </w:t>
            </w:r>
            <w:r w:rsidRPr="00524435">
              <w:rPr>
                <w:rFonts w:ascii="Cambria" w:hAnsi="Cambria" w:cs="Calibri"/>
                <w:sz w:val="18"/>
                <w:szCs w:val="18"/>
              </w:rPr>
              <w:t xml:space="preserve">The public acknowledgment of international responsibility by the Brazilian State and the request for an apology will be expressed in a public ceremony, where both the relatives of the victims and the petitioners will be able to speak, which will be held once the payment of compensation provided for in clauses 11 and 13 has been made. Said ceremony will take place in the </w:t>
            </w:r>
            <w:proofErr w:type="spellStart"/>
            <w:r w:rsidRPr="00524435">
              <w:rPr>
                <w:rFonts w:ascii="Cambria" w:hAnsi="Cambria" w:cs="Calibri"/>
                <w:sz w:val="18"/>
                <w:szCs w:val="18"/>
              </w:rPr>
              <w:t>Ubá</w:t>
            </w:r>
            <w:proofErr w:type="spellEnd"/>
            <w:r w:rsidRPr="00524435">
              <w:rPr>
                <w:rFonts w:ascii="Cambria" w:hAnsi="Cambria" w:cs="Calibri"/>
                <w:sz w:val="18"/>
                <w:szCs w:val="18"/>
              </w:rPr>
              <w:t xml:space="preserve"> Settlement, municipality of São João do Araguaia, Pará, </w:t>
            </w:r>
            <w:proofErr w:type="gramStart"/>
            <w:r w:rsidRPr="00524435">
              <w:rPr>
                <w:rFonts w:ascii="Cambria" w:hAnsi="Cambria" w:cs="Calibri"/>
                <w:sz w:val="18"/>
                <w:szCs w:val="18"/>
              </w:rPr>
              <w:t>on the occasion of</w:t>
            </w:r>
            <w:proofErr w:type="gramEnd"/>
            <w:r w:rsidRPr="00524435">
              <w:rPr>
                <w:rFonts w:ascii="Cambria" w:hAnsi="Cambria" w:cs="Calibri"/>
                <w:sz w:val="18"/>
                <w:szCs w:val="18"/>
              </w:rPr>
              <w:t xml:space="preserve"> the inauguration of a plaque honoring the victims, and will be attended by federal and state authorities, the petitioners and, if they so wish, the next of kin of the victims.</w:t>
            </w:r>
          </w:p>
        </w:tc>
        <w:tc>
          <w:tcPr>
            <w:tcW w:w="1440" w:type="dxa"/>
            <w:gridSpan w:val="2"/>
            <w:shd w:val="clear" w:color="auto" w:fill="D9D9D9" w:themeFill="background1" w:themeFillShade="D9"/>
            <w:tcMar>
              <w:top w:w="0" w:type="dxa"/>
              <w:left w:w="108" w:type="dxa"/>
              <w:bottom w:w="0" w:type="dxa"/>
              <w:right w:w="108" w:type="dxa"/>
            </w:tcMar>
            <w:vAlign w:val="center"/>
            <w:hideMark/>
          </w:tcPr>
          <w:p w14:paraId="1BB170F2"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6EE2597F" w14:textId="77777777" w:rsidTr="00820229">
        <w:trPr>
          <w:trHeight w:val="64"/>
        </w:trPr>
        <w:tc>
          <w:tcPr>
            <w:tcW w:w="562" w:type="dxa"/>
            <w:shd w:val="clear" w:color="auto" w:fill="D9D9D9" w:themeFill="background1" w:themeFillShade="D9"/>
            <w:tcMar>
              <w:top w:w="0" w:type="dxa"/>
              <w:left w:w="108" w:type="dxa"/>
              <w:bottom w:w="0" w:type="dxa"/>
              <w:right w:w="108" w:type="dxa"/>
            </w:tcMar>
            <w:vAlign w:val="center"/>
          </w:tcPr>
          <w:p w14:paraId="12284F9E"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tcMar>
              <w:top w:w="0" w:type="dxa"/>
              <w:left w:w="108" w:type="dxa"/>
              <w:bottom w:w="0" w:type="dxa"/>
              <w:right w:w="108" w:type="dxa"/>
            </w:tcMar>
            <w:vAlign w:val="center"/>
          </w:tcPr>
          <w:p w14:paraId="2F832B67"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5624ECF0"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Structural</w:t>
            </w:r>
          </w:p>
        </w:tc>
        <w:tc>
          <w:tcPr>
            <w:tcW w:w="5304" w:type="dxa"/>
            <w:gridSpan w:val="2"/>
            <w:shd w:val="clear" w:color="auto" w:fill="D9D9D9" w:themeFill="background1" w:themeFillShade="D9"/>
            <w:tcMar>
              <w:top w:w="0" w:type="dxa"/>
              <w:left w:w="108" w:type="dxa"/>
              <w:bottom w:w="0" w:type="dxa"/>
              <w:right w:w="108" w:type="dxa"/>
            </w:tcMar>
            <w:vAlign w:val="center"/>
          </w:tcPr>
          <w:p w14:paraId="61A2A590" w14:textId="77777777" w:rsidR="007E31E3" w:rsidRPr="00524435" w:rsidRDefault="007E31E3" w:rsidP="00820229">
            <w:pPr>
              <w:jc w:val="both"/>
              <w:rPr>
                <w:rFonts w:ascii="Cambria" w:hAnsi="Cambria"/>
                <w:b/>
                <w:strike/>
                <w:color w:val="FF0000"/>
                <w:sz w:val="18"/>
                <w:szCs w:val="18"/>
              </w:rPr>
            </w:pPr>
            <w:r w:rsidRPr="00524435">
              <w:rPr>
                <w:rFonts w:ascii="Cambria" w:hAnsi="Cambria"/>
                <w:b/>
                <w:sz w:val="18"/>
                <w:szCs w:val="18"/>
              </w:rPr>
              <w:t>Clause I. 6. Publication</w:t>
            </w:r>
            <w:r w:rsidRPr="00524435">
              <w:rPr>
                <w:rFonts w:ascii="Cambria" w:hAnsi="Cambria"/>
                <w:b/>
                <w:color w:val="000000"/>
                <w:sz w:val="18"/>
                <w:szCs w:val="18"/>
              </w:rPr>
              <w:t>:</w:t>
            </w:r>
            <w:r w:rsidRPr="00524435">
              <w:rPr>
                <w:rFonts w:ascii="Cambria" w:hAnsi="Cambria"/>
                <w:color w:val="000000"/>
                <w:sz w:val="18"/>
                <w:szCs w:val="18"/>
              </w:rPr>
              <w:t xml:space="preserve"> </w:t>
            </w:r>
            <w:r w:rsidRPr="00524435">
              <w:rPr>
                <w:rFonts w:ascii="Cambria" w:hAnsi="Cambria" w:cs="Calibri"/>
                <w:sz w:val="18"/>
                <w:szCs w:val="18"/>
              </w:rPr>
              <w:t xml:space="preserve">The Brazilian State, through the Human Rights Secretariat of the Presidency of the Republic and the state of Pará, will order the disclosure of this agreement in the Official Gazette of the Union and of the State of Pará. </w:t>
            </w:r>
          </w:p>
        </w:tc>
        <w:tc>
          <w:tcPr>
            <w:tcW w:w="1440" w:type="dxa"/>
            <w:gridSpan w:val="2"/>
            <w:shd w:val="clear" w:color="auto" w:fill="D9D9D9" w:themeFill="background1" w:themeFillShade="D9"/>
            <w:tcMar>
              <w:top w:w="0" w:type="dxa"/>
              <w:left w:w="108" w:type="dxa"/>
              <w:bottom w:w="0" w:type="dxa"/>
              <w:right w:w="108" w:type="dxa"/>
            </w:tcMar>
            <w:vAlign w:val="center"/>
          </w:tcPr>
          <w:p w14:paraId="37B67CE6"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7DA02E04" w14:textId="77777777" w:rsidTr="00820229">
        <w:trPr>
          <w:trHeight w:val="64"/>
        </w:trPr>
        <w:tc>
          <w:tcPr>
            <w:tcW w:w="562" w:type="dxa"/>
            <w:shd w:val="clear" w:color="auto" w:fill="D9D9D9" w:themeFill="background1" w:themeFillShade="D9"/>
            <w:tcMar>
              <w:top w:w="0" w:type="dxa"/>
              <w:left w:w="108" w:type="dxa"/>
              <w:bottom w:w="0" w:type="dxa"/>
              <w:right w:w="108" w:type="dxa"/>
            </w:tcMar>
            <w:vAlign w:val="center"/>
          </w:tcPr>
          <w:p w14:paraId="7C904416"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tcMar>
              <w:top w:w="0" w:type="dxa"/>
              <w:left w:w="108" w:type="dxa"/>
              <w:bottom w:w="0" w:type="dxa"/>
              <w:right w:w="108" w:type="dxa"/>
            </w:tcMar>
            <w:vAlign w:val="center"/>
          </w:tcPr>
          <w:p w14:paraId="4590F003"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64546BD8"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15BA259F" w14:textId="77777777" w:rsidR="007E31E3" w:rsidRPr="00524435" w:rsidRDefault="007E31E3" w:rsidP="00820229">
            <w:pPr>
              <w:jc w:val="both"/>
              <w:rPr>
                <w:rFonts w:ascii="Cambria" w:hAnsi="Cambria"/>
                <w:b/>
                <w:strike/>
                <w:color w:val="FF0000"/>
                <w:sz w:val="18"/>
                <w:szCs w:val="18"/>
              </w:rPr>
            </w:pPr>
            <w:r w:rsidRPr="00524435">
              <w:rPr>
                <w:rFonts w:ascii="Cambria" w:hAnsi="Cambria"/>
                <w:b/>
                <w:sz w:val="18"/>
                <w:szCs w:val="18"/>
              </w:rPr>
              <w:t>Clause</w:t>
            </w:r>
            <w:r w:rsidRPr="00524435">
              <w:rPr>
                <w:rFonts w:ascii="Cambria" w:hAnsi="Cambria"/>
                <w:b/>
                <w:color w:val="000000"/>
                <w:sz w:val="18"/>
                <w:szCs w:val="18"/>
              </w:rPr>
              <w:t xml:space="preserve"> II. 8. Criminal and civil liability:</w:t>
            </w:r>
            <w:r w:rsidRPr="00524435">
              <w:rPr>
                <w:rFonts w:ascii="Cambria" w:hAnsi="Cambria"/>
                <w:color w:val="000000"/>
                <w:sz w:val="18"/>
                <w:szCs w:val="18"/>
              </w:rPr>
              <w:t xml:space="preserve"> </w:t>
            </w:r>
            <w:r w:rsidRPr="00524435">
              <w:rPr>
                <w:rFonts w:ascii="Cambria" w:hAnsi="Cambria" w:cs="Calibri"/>
                <w:sz w:val="18"/>
                <w:szCs w:val="18"/>
              </w:rPr>
              <w:t>The state of Pará will work actively in relation to the criminal action proposed for the person who ordered the crime (already convicted in two instances) and will activate all its institutions (Military Police, Civil Police, Public Ministry, Public Defender, Public Security Secretariat, among others. ) so that, in collaboration with federal institutions and in full respect of the respective competencies, as appropriate, they locate, process and judge the other people involved in the process, who are currently fugitives.</w:t>
            </w:r>
          </w:p>
        </w:tc>
        <w:tc>
          <w:tcPr>
            <w:tcW w:w="1440" w:type="dxa"/>
            <w:gridSpan w:val="2"/>
            <w:shd w:val="clear" w:color="auto" w:fill="D9D9D9" w:themeFill="background1" w:themeFillShade="D9"/>
            <w:tcMar>
              <w:top w:w="0" w:type="dxa"/>
              <w:left w:w="108" w:type="dxa"/>
              <w:bottom w:w="0" w:type="dxa"/>
              <w:right w:w="108" w:type="dxa"/>
            </w:tcMar>
            <w:vAlign w:val="center"/>
          </w:tcPr>
          <w:p w14:paraId="21420AAC"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Partial 2021</w:t>
            </w:r>
          </w:p>
        </w:tc>
      </w:tr>
      <w:tr w:rsidR="007E31E3" w:rsidRPr="00524435" w14:paraId="7B255FDC" w14:textId="77777777" w:rsidTr="00820229">
        <w:trPr>
          <w:trHeight w:val="64"/>
        </w:trPr>
        <w:tc>
          <w:tcPr>
            <w:tcW w:w="562" w:type="dxa"/>
            <w:shd w:val="clear" w:color="auto" w:fill="D9D9D9" w:themeFill="background1" w:themeFillShade="D9"/>
            <w:tcMar>
              <w:top w:w="0" w:type="dxa"/>
              <w:left w:w="108" w:type="dxa"/>
              <w:bottom w:w="0" w:type="dxa"/>
              <w:right w:w="108" w:type="dxa"/>
            </w:tcMar>
            <w:vAlign w:val="center"/>
          </w:tcPr>
          <w:p w14:paraId="05123EE0"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tcMar>
              <w:top w:w="0" w:type="dxa"/>
              <w:left w:w="108" w:type="dxa"/>
              <w:bottom w:w="0" w:type="dxa"/>
              <w:right w:w="108" w:type="dxa"/>
            </w:tcMar>
            <w:vAlign w:val="center"/>
          </w:tcPr>
          <w:p w14:paraId="2802CEC0"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0EC25825"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50BC465A" w14:textId="77777777" w:rsidR="007E31E3" w:rsidRPr="00524435" w:rsidRDefault="007E31E3" w:rsidP="00820229">
            <w:pPr>
              <w:jc w:val="both"/>
              <w:rPr>
                <w:rFonts w:ascii="Cambria" w:hAnsi="Cambria"/>
                <w:b/>
                <w:strike/>
                <w:color w:val="FF0000"/>
                <w:sz w:val="18"/>
                <w:szCs w:val="18"/>
              </w:rPr>
            </w:pPr>
            <w:r w:rsidRPr="00524435">
              <w:rPr>
                <w:rFonts w:ascii="Cambria" w:hAnsi="Cambria"/>
                <w:b/>
                <w:sz w:val="18"/>
                <w:szCs w:val="18"/>
              </w:rPr>
              <w:t>Clause</w:t>
            </w:r>
            <w:r w:rsidRPr="00524435">
              <w:rPr>
                <w:rFonts w:ascii="Cambria" w:hAnsi="Cambria"/>
                <w:b/>
                <w:color w:val="000000"/>
                <w:sz w:val="18"/>
                <w:szCs w:val="18"/>
              </w:rPr>
              <w:t xml:space="preserve"> II. 9. Criminal and civil liability:</w:t>
            </w:r>
            <w:r w:rsidRPr="00524435">
              <w:rPr>
                <w:rFonts w:ascii="Cambria" w:hAnsi="Cambria"/>
                <w:color w:val="000000"/>
                <w:sz w:val="18"/>
                <w:szCs w:val="18"/>
              </w:rPr>
              <w:t xml:space="preserve"> </w:t>
            </w:r>
            <w:r w:rsidRPr="00524435">
              <w:rPr>
                <w:rFonts w:ascii="Cambria" w:hAnsi="Cambria" w:cs="Calibri"/>
                <w:sz w:val="18"/>
                <w:szCs w:val="18"/>
              </w:rPr>
              <w:t xml:space="preserve">The state of Pará, through the State Public Defender's Office, will promote, at the request of the victims' relatives, a civil action for compensation against the perpetrators of the crimes, in accordance with the interest shown in the attached table (ANNEX I). </w:t>
            </w:r>
          </w:p>
        </w:tc>
        <w:tc>
          <w:tcPr>
            <w:tcW w:w="1440" w:type="dxa"/>
            <w:gridSpan w:val="2"/>
            <w:shd w:val="clear" w:color="auto" w:fill="D9D9D9" w:themeFill="background1" w:themeFillShade="D9"/>
            <w:tcMar>
              <w:top w:w="0" w:type="dxa"/>
              <w:left w:w="108" w:type="dxa"/>
              <w:bottom w:w="0" w:type="dxa"/>
              <w:right w:w="108" w:type="dxa"/>
            </w:tcMar>
            <w:vAlign w:val="center"/>
          </w:tcPr>
          <w:p w14:paraId="61E3CC66"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Partial 2021</w:t>
            </w:r>
          </w:p>
        </w:tc>
      </w:tr>
      <w:tr w:rsidR="007E31E3" w:rsidRPr="00524435" w14:paraId="14020318" w14:textId="77777777" w:rsidTr="00820229">
        <w:trPr>
          <w:trHeight w:val="64"/>
        </w:trPr>
        <w:tc>
          <w:tcPr>
            <w:tcW w:w="562" w:type="dxa"/>
            <w:shd w:val="clear" w:color="auto" w:fill="D9D9D9" w:themeFill="background1" w:themeFillShade="D9"/>
            <w:tcMar>
              <w:top w:w="0" w:type="dxa"/>
              <w:left w:w="108" w:type="dxa"/>
              <w:bottom w:w="0" w:type="dxa"/>
              <w:right w:w="108" w:type="dxa"/>
            </w:tcMar>
            <w:vAlign w:val="center"/>
          </w:tcPr>
          <w:p w14:paraId="63DB6FF5"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tcMar>
              <w:top w:w="0" w:type="dxa"/>
              <w:left w:w="108" w:type="dxa"/>
              <w:bottom w:w="0" w:type="dxa"/>
              <w:right w:w="108" w:type="dxa"/>
            </w:tcMar>
            <w:vAlign w:val="center"/>
          </w:tcPr>
          <w:p w14:paraId="7462FFB7"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14F8F709"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2E29C8F2" w14:textId="77777777" w:rsidR="007E31E3" w:rsidRPr="00524435" w:rsidRDefault="007E31E3" w:rsidP="00820229">
            <w:pPr>
              <w:jc w:val="both"/>
              <w:rPr>
                <w:rFonts w:ascii="Cambria" w:hAnsi="Cambria"/>
                <w:b/>
                <w:strike/>
                <w:color w:val="FF0000"/>
                <w:sz w:val="18"/>
                <w:szCs w:val="18"/>
              </w:rPr>
            </w:pPr>
            <w:r w:rsidRPr="00524435">
              <w:rPr>
                <w:rFonts w:ascii="Cambria" w:hAnsi="Cambria"/>
                <w:b/>
                <w:sz w:val="18"/>
                <w:szCs w:val="18"/>
              </w:rPr>
              <w:t xml:space="preserve">Clause III. 2. 11. Monetary reparation measures: </w:t>
            </w:r>
            <w:r w:rsidRPr="00524435">
              <w:rPr>
                <w:rFonts w:ascii="Cambria" w:hAnsi="Cambria" w:cs="Calibri"/>
                <w:sz w:val="18"/>
                <w:szCs w:val="18"/>
              </w:rPr>
              <w:t xml:space="preserve">The state of Pará, as compensation for the moral and material damages suffered by the victims' next of kin due to the already recognized violations, will pay the sum of R $ 38,400.00 (thirty-eight thousand four hundred reais) to a representative of each of the families of the victims, through the publication of a state law promoted by the Executive Power of the state of Pará. </w:t>
            </w:r>
          </w:p>
        </w:tc>
        <w:tc>
          <w:tcPr>
            <w:tcW w:w="1440" w:type="dxa"/>
            <w:gridSpan w:val="2"/>
            <w:shd w:val="clear" w:color="auto" w:fill="D9D9D9" w:themeFill="background1" w:themeFillShade="D9"/>
            <w:tcMar>
              <w:top w:w="0" w:type="dxa"/>
              <w:left w:w="108" w:type="dxa"/>
              <w:bottom w:w="0" w:type="dxa"/>
              <w:right w:w="108" w:type="dxa"/>
            </w:tcMar>
            <w:vAlign w:val="center"/>
          </w:tcPr>
          <w:p w14:paraId="140EB9FE"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4F0FE84F" w14:textId="77777777" w:rsidTr="00820229">
        <w:trPr>
          <w:trHeight w:val="64"/>
        </w:trPr>
        <w:tc>
          <w:tcPr>
            <w:tcW w:w="562" w:type="dxa"/>
            <w:shd w:val="clear" w:color="auto" w:fill="D9D9D9" w:themeFill="background1" w:themeFillShade="D9"/>
            <w:tcMar>
              <w:top w:w="0" w:type="dxa"/>
              <w:left w:w="108" w:type="dxa"/>
              <w:bottom w:w="0" w:type="dxa"/>
              <w:right w:w="108" w:type="dxa"/>
            </w:tcMar>
            <w:vAlign w:val="center"/>
          </w:tcPr>
          <w:p w14:paraId="2C3D5D94"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tcMar>
              <w:top w:w="0" w:type="dxa"/>
              <w:left w:w="108" w:type="dxa"/>
              <w:bottom w:w="0" w:type="dxa"/>
              <w:right w:w="108" w:type="dxa"/>
            </w:tcMar>
            <w:vAlign w:val="center"/>
          </w:tcPr>
          <w:p w14:paraId="493BB089"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11F05356"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4BB9BC5E" w14:textId="77777777" w:rsidR="007E31E3" w:rsidRPr="00524435" w:rsidRDefault="007E31E3" w:rsidP="00820229">
            <w:pPr>
              <w:jc w:val="both"/>
              <w:rPr>
                <w:rFonts w:ascii="Cambria" w:hAnsi="Cambria"/>
                <w:b/>
                <w:strike/>
                <w:color w:val="FF0000"/>
                <w:sz w:val="18"/>
                <w:szCs w:val="18"/>
              </w:rPr>
            </w:pPr>
            <w:r w:rsidRPr="00524435">
              <w:rPr>
                <w:rFonts w:ascii="Cambria" w:hAnsi="Cambria"/>
                <w:b/>
                <w:sz w:val="18"/>
                <w:szCs w:val="18"/>
              </w:rPr>
              <w:t xml:space="preserve">Clause III. 2. 12. Prescription: </w:t>
            </w:r>
            <w:r w:rsidRPr="00524435">
              <w:rPr>
                <w:rFonts w:ascii="Cambria" w:hAnsi="Cambria" w:cs="Calibri"/>
                <w:sz w:val="18"/>
                <w:szCs w:val="18"/>
              </w:rPr>
              <w:t xml:space="preserve">In each specific case, and to give effect to this Agreement, the state of Pará undertakes to waive the prescription in favor of the representatives indicated by the families of the victims (ANNEX II), in accordance with the provisions of Article 191 of the Brazilian Civil Code. </w:t>
            </w:r>
          </w:p>
        </w:tc>
        <w:tc>
          <w:tcPr>
            <w:tcW w:w="1440" w:type="dxa"/>
            <w:gridSpan w:val="2"/>
            <w:shd w:val="clear" w:color="auto" w:fill="D9D9D9" w:themeFill="background1" w:themeFillShade="D9"/>
            <w:tcMar>
              <w:top w:w="0" w:type="dxa"/>
              <w:left w:w="108" w:type="dxa"/>
              <w:bottom w:w="0" w:type="dxa"/>
              <w:right w:w="108" w:type="dxa"/>
            </w:tcMar>
            <w:vAlign w:val="center"/>
          </w:tcPr>
          <w:p w14:paraId="2F7C4FD8"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4C610CA7" w14:textId="77777777" w:rsidTr="00820229">
        <w:trPr>
          <w:trHeight w:val="64"/>
        </w:trPr>
        <w:tc>
          <w:tcPr>
            <w:tcW w:w="562" w:type="dxa"/>
            <w:shd w:val="clear" w:color="auto" w:fill="D9D9D9" w:themeFill="background1" w:themeFillShade="D9"/>
            <w:tcMar>
              <w:top w:w="0" w:type="dxa"/>
              <w:left w:w="108" w:type="dxa"/>
              <w:bottom w:w="0" w:type="dxa"/>
              <w:right w:w="108" w:type="dxa"/>
            </w:tcMar>
            <w:vAlign w:val="center"/>
          </w:tcPr>
          <w:p w14:paraId="30500C8C"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tcMar>
              <w:top w:w="0" w:type="dxa"/>
              <w:left w:w="108" w:type="dxa"/>
              <w:bottom w:w="0" w:type="dxa"/>
              <w:right w:w="108" w:type="dxa"/>
            </w:tcMar>
            <w:vAlign w:val="center"/>
          </w:tcPr>
          <w:p w14:paraId="09FE1547"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73830408"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043E8C70" w14:textId="77777777" w:rsidR="007E31E3" w:rsidRPr="00524435" w:rsidRDefault="007E31E3" w:rsidP="00820229">
            <w:pPr>
              <w:jc w:val="both"/>
              <w:rPr>
                <w:rFonts w:ascii="Cambria" w:hAnsi="Cambria"/>
                <w:b/>
                <w:strike/>
                <w:color w:val="FF0000"/>
                <w:sz w:val="18"/>
                <w:szCs w:val="18"/>
              </w:rPr>
            </w:pPr>
            <w:r w:rsidRPr="00524435">
              <w:rPr>
                <w:rFonts w:ascii="Cambria" w:hAnsi="Cambria"/>
                <w:b/>
                <w:sz w:val="18"/>
                <w:szCs w:val="18"/>
              </w:rPr>
              <w:t>Clause III. 2. 13. Lifetime pension:</w:t>
            </w:r>
            <w:r w:rsidRPr="00524435">
              <w:rPr>
                <w:rFonts w:ascii="Cambria" w:hAnsi="Cambria" w:cs="Calibri"/>
                <w:sz w:val="18"/>
                <w:szCs w:val="18"/>
              </w:rPr>
              <w:t xml:space="preserve"> The state of Pará will grant a legal, lifetime, exclusive and non-transferable pension, with a special character, estimated at a monthly amount equal to 1.5 minimum wage (one and a half minimum wage), to a representative of each of the families of the victims, in accordance with the bill promoted by the Executive Power, which must be approved by the Legislative Assembly of the State. The readjustment of said pension will be carried out using the same index that is applied to the salary readjustment of basic level state public officials.</w:t>
            </w:r>
          </w:p>
        </w:tc>
        <w:tc>
          <w:tcPr>
            <w:tcW w:w="1440" w:type="dxa"/>
            <w:gridSpan w:val="2"/>
            <w:shd w:val="clear" w:color="auto" w:fill="D9D9D9" w:themeFill="background1" w:themeFillShade="D9"/>
            <w:tcMar>
              <w:top w:w="0" w:type="dxa"/>
              <w:left w:w="108" w:type="dxa"/>
              <w:bottom w:w="0" w:type="dxa"/>
              <w:right w:w="108" w:type="dxa"/>
            </w:tcMar>
            <w:vAlign w:val="center"/>
          </w:tcPr>
          <w:p w14:paraId="6E9E5CF5"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Partial substantial 2021</w:t>
            </w:r>
          </w:p>
        </w:tc>
      </w:tr>
      <w:tr w:rsidR="007E31E3" w:rsidRPr="00524435" w14:paraId="6DDA1FBD" w14:textId="77777777" w:rsidTr="00820229">
        <w:trPr>
          <w:trHeight w:val="64"/>
        </w:trPr>
        <w:tc>
          <w:tcPr>
            <w:tcW w:w="562" w:type="dxa"/>
            <w:shd w:val="clear" w:color="auto" w:fill="D9D9D9" w:themeFill="background1" w:themeFillShade="D9"/>
            <w:tcMar>
              <w:top w:w="0" w:type="dxa"/>
              <w:left w:w="108" w:type="dxa"/>
              <w:bottom w:w="0" w:type="dxa"/>
              <w:right w:w="108" w:type="dxa"/>
            </w:tcMar>
            <w:vAlign w:val="center"/>
          </w:tcPr>
          <w:p w14:paraId="422F4101"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tcMar>
              <w:top w:w="0" w:type="dxa"/>
              <w:left w:w="108" w:type="dxa"/>
              <w:bottom w:w="0" w:type="dxa"/>
              <w:right w:w="108" w:type="dxa"/>
            </w:tcMar>
            <w:vAlign w:val="center"/>
          </w:tcPr>
          <w:p w14:paraId="29DD9124"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3415DA63"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4567C64E" w14:textId="77777777" w:rsidR="007E31E3" w:rsidRPr="00524435" w:rsidRDefault="007E31E3" w:rsidP="00820229">
            <w:pPr>
              <w:jc w:val="both"/>
              <w:rPr>
                <w:rFonts w:ascii="Cambria" w:hAnsi="Cambria"/>
                <w:b/>
                <w:strike/>
                <w:color w:val="FF0000"/>
                <w:sz w:val="18"/>
                <w:szCs w:val="18"/>
              </w:rPr>
            </w:pPr>
            <w:r w:rsidRPr="00524435">
              <w:rPr>
                <w:rFonts w:ascii="Cambria" w:hAnsi="Cambria"/>
                <w:b/>
                <w:sz w:val="18"/>
                <w:szCs w:val="18"/>
              </w:rPr>
              <w:t>Clause III. 2. 16. Bill for compensation and pensions:</w:t>
            </w:r>
            <w:r w:rsidRPr="00524435">
              <w:rPr>
                <w:rFonts w:ascii="Cambria" w:hAnsi="Cambria" w:cs="Calibri"/>
                <w:sz w:val="18"/>
                <w:szCs w:val="18"/>
              </w:rPr>
              <w:t xml:space="preserve"> The bill mentioned in clauses 11 and 13 of this Agreement (Annex D1) will be sent by the Executive Power to the Legislative Assembly of the State of Pará no later than one week after the date of signature of this Agreement.</w:t>
            </w:r>
          </w:p>
        </w:tc>
        <w:tc>
          <w:tcPr>
            <w:tcW w:w="1440" w:type="dxa"/>
            <w:gridSpan w:val="2"/>
            <w:shd w:val="clear" w:color="auto" w:fill="D9D9D9" w:themeFill="background1" w:themeFillShade="D9"/>
            <w:tcMar>
              <w:top w:w="0" w:type="dxa"/>
              <w:left w:w="108" w:type="dxa"/>
              <w:bottom w:w="0" w:type="dxa"/>
              <w:right w:w="108" w:type="dxa"/>
            </w:tcMar>
            <w:vAlign w:val="center"/>
          </w:tcPr>
          <w:p w14:paraId="392F7CF9"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46F6FE8B" w14:textId="77777777" w:rsidTr="00820229">
        <w:trPr>
          <w:trHeight w:val="64"/>
        </w:trPr>
        <w:tc>
          <w:tcPr>
            <w:tcW w:w="562" w:type="dxa"/>
            <w:shd w:val="clear" w:color="auto" w:fill="D9D9D9" w:themeFill="background1" w:themeFillShade="D9"/>
            <w:tcMar>
              <w:top w:w="0" w:type="dxa"/>
              <w:left w:w="108" w:type="dxa"/>
              <w:bottom w:w="0" w:type="dxa"/>
              <w:right w:w="108" w:type="dxa"/>
            </w:tcMar>
            <w:vAlign w:val="center"/>
          </w:tcPr>
          <w:p w14:paraId="64009A35"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tcMar>
              <w:top w:w="0" w:type="dxa"/>
              <w:left w:w="108" w:type="dxa"/>
              <w:bottom w:w="0" w:type="dxa"/>
              <w:right w:w="108" w:type="dxa"/>
            </w:tcMar>
            <w:vAlign w:val="center"/>
          </w:tcPr>
          <w:p w14:paraId="0628C989"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65C83DEC"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4DFC6691" w14:textId="77777777" w:rsidR="007E31E3" w:rsidRPr="00524435" w:rsidRDefault="007E31E3" w:rsidP="00820229">
            <w:pPr>
              <w:jc w:val="both"/>
              <w:rPr>
                <w:rFonts w:ascii="Cambria" w:hAnsi="Cambria"/>
                <w:b/>
                <w:strike/>
                <w:color w:val="FF0000"/>
                <w:sz w:val="18"/>
                <w:szCs w:val="18"/>
              </w:rPr>
            </w:pPr>
            <w:r w:rsidRPr="00524435">
              <w:rPr>
                <w:rFonts w:ascii="Cambria" w:hAnsi="Cambria"/>
                <w:b/>
                <w:sz w:val="18"/>
                <w:szCs w:val="18"/>
              </w:rPr>
              <w:t xml:space="preserve">Clause III.3. 17. Inclusion in state programs and projects (assistance and educational programs): </w:t>
            </w:r>
            <w:r w:rsidRPr="00524435">
              <w:rPr>
                <w:rFonts w:ascii="Cambria" w:hAnsi="Cambria" w:cs="Calibri"/>
                <w:sz w:val="18"/>
                <w:szCs w:val="18"/>
              </w:rPr>
              <w:t>The state of Pará will guarantee the effective inclusion of the victims' families in assistance and educational programs and projects once the pertinent legal requirements have been met. The amounts of compensation that are the object of this Agreement will not be considered for the purposes of restricting entry or permanence in said programs.</w:t>
            </w:r>
          </w:p>
        </w:tc>
        <w:tc>
          <w:tcPr>
            <w:tcW w:w="1440" w:type="dxa"/>
            <w:gridSpan w:val="2"/>
            <w:shd w:val="clear" w:color="auto" w:fill="D9D9D9" w:themeFill="background1" w:themeFillShade="D9"/>
            <w:tcMar>
              <w:top w:w="0" w:type="dxa"/>
              <w:left w:w="108" w:type="dxa"/>
              <w:bottom w:w="0" w:type="dxa"/>
              <w:right w:w="108" w:type="dxa"/>
            </w:tcMar>
            <w:vAlign w:val="center"/>
          </w:tcPr>
          <w:p w14:paraId="66F7AEBA"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Partial substantial 2021</w:t>
            </w:r>
          </w:p>
        </w:tc>
      </w:tr>
      <w:tr w:rsidR="007E31E3" w:rsidRPr="00524435" w14:paraId="68653891" w14:textId="77777777" w:rsidTr="00820229">
        <w:trPr>
          <w:trHeight w:val="64"/>
        </w:trPr>
        <w:tc>
          <w:tcPr>
            <w:tcW w:w="562" w:type="dxa"/>
            <w:shd w:val="clear" w:color="auto" w:fill="D9D9D9" w:themeFill="background1" w:themeFillShade="D9"/>
            <w:tcMar>
              <w:top w:w="0" w:type="dxa"/>
              <w:left w:w="108" w:type="dxa"/>
              <w:bottom w:w="0" w:type="dxa"/>
              <w:right w:w="108" w:type="dxa"/>
            </w:tcMar>
            <w:vAlign w:val="center"/>
          </w:tcPr>
          <w:p w14:paraId="0C9006B2"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tcMar>
              <w:top w:w="0" w:type="dxa"/>
              <w:left w:w="108" w:type="dxa"/>
              <w:bottom w:w="0" w:type="dxa"/>
              <w:right w:w="108" w:type="dxa"/>
            </w:tcMar>
            <w:vAlign w:val="center"/>
          </w:tcPr>
          <w:p w14:paraId="0C5D993C"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7DCC399B"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1ECAF2F6" w14:textId="77777777" w:rsidR="007E31E3" w:rsidRPr="00524435" w:rsidRDefault="007E31E3" w:rsidP="00820229">
            <w:pPr>
              <w:jc w:val="both"/>
              <w:rPr>
                <w:rFonts w:ascii="Cambria" w:hAnsi="Cambria"/>
                <w:b/>
                <w:strike/>
                <w:color w:val="FF0000"/>
                <w:sz w:val="18"/>
                <w:szCs w:val="18"/>
              </w:rPr>
            </w:pPr>
            <w:r w:rsidRPr="00524435">
              <w:rPr>
                <w:rFonts w:ascii="Cambria" w:hAnsi="Cambria"/>
                <w:b/>
                <w:sz w:val="18"/>
                <w:szCs w:val="18"/>
              </w:rPr>
              <w:t xml:space="preserve">Clause III.3. 18. Inclusion in state programs and projects (rural communities): </w:t>
            </w:r>
            <w:r w:rsidRPr="00524435">
              <w:rPr>
                <w:rFonts w:ascii="Cambria" w:hAnsi="Cambria" w:cs="Calibri"/>
                <w:sz w:val="18"/>
                <w:szCs w:val="18"/>
              </w:rPr>
              <w:t>The Brazilian State, through the Ministry of Agrarian Development and the State of Pará, in coordination, will guarantee the access of the victims' relatives to rural settlements, in a place close to their current residence, with guaranteed access to rural credits, subject to compliance with the legal requirements, in addition to all the benefits of the agrarian reform program, in the event that the relatives of the victims are interested in it, as expressed in the attached table (ANNEX IV).</w:t>
            </w:r>
          </w:p>
        </w:tc>
        <w:tc>
          <w:tcPr>
            <w:tcW w:w="1440" w:type="dxa"/>
            <w:gridSpan w:val="2"/>
            <w:shd w:val="clear" w:color="auto" w:fill="D9D9D9" w:themeFill="background1" w:themeFillShade="D9"/>
            <w:tcMar>
              <w:top w:w="0" w:type="dxa"/>
              <w:left w:w="108" w:type="dxa"/>
              <w:bottom w:w="0" w:type="dxa"/>
              <w:right w:w="108" w:type="dxa"/>
            </w:tcMar>
            <w:vAlign w:val="center"/>
          </w:tcPr>
          <w:p w14:paraId="6AD78063"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Partial 2021</w:t>
            </w:r>
          </w:p>
        </w:tc>
      </w:tr>
      <w:tr w:rsidR="007E31E3" w:rsidRPr="00524435" w14:paraId="530DE56F" w14:textId="77777777" w:rsidTr="00820229">
        <w:trPr>
          <w:trHeight w:val="64"/>
        </w:trPr>
        <w:tc>
          <w:tcPr>
            <w:tcW w:w="562" w:type="dxa"/>
            <w:shd w:val="clear" w:color="auto" w:fill="D9D9D9" w:themeFill="background1" w:themeFillShade="D9"/>
            <w:tcMar>
              <w:top w:w="0" w:type="dxa"/>
              <w:left w:w="108" w:type="dxa"/>
              <w:bottom w:w="0" w:type="dxa"/>
              <w:right w:w="108" w:type="dxa"/>
            </w:tcMar>
            <w:vAlign w:val="center"/>
          </w:tcPr>
          <w:p w14:paraId="0E381461"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tcMar>
              <w:top w:w="0" w:type="dxa"/>
              <w:left w:w="108" w:type="dxa"/>
              <w:bottom w:w="0" w:type="dxa"/>
              <w:right w:w="108" w:type="dxa"/>
            </w:tcMar>
            <w:vAlign w:val="center"/>
          </w:tcPr>
          <w:p w14:paraId="187290D4"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7E2AC258"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Structural</w:t>
            </w:r>
          </w:p>
        </w:tc>
        <w:tc>
          <w:tcPr>
            <w:tcW w:w="5304" w:type="dxa"/>
            <w:gridSpan w:val="2"/>
            <w:shd w:val="clear" w:color="auto" w:fill="D9D9D9" w:themeFill="background1" w:themeFillShade="D9"/>
            <w:tcMar>
              <w:top w:w="0" w:type="dxa"/>
              <w:left w:w="108" w:type="dxa"/>
              <w:bottom w:w="0" w:type="dxa"/>
              <w:right w:w="108" w:type="dxa"/>
            </w:tcMar>
            <w:vAlign w:val="center"/>
          </w:tcPr>
          <w:p w14:paraId="496EA60D" w14:textId="77777777" w:rsidR="007E31E3" w:rsidRPr="00524435" w:rsidRDefault="007E31E3" w:rsidP="00820229">
            <w:pPr>
              <w:jc w:val="both"/>
              <w:rPr>
                <w:rFonts w:ascii="Cambria" w:hAnsi="Cambria"/>
                <w:b/>
                <w:strike/>
                <w:color w:val="FF0000"/>
                <w:sz w:val="18"/>
                <w:szCs w:val="18"/>
              </w:rPr>
            </w:pPr>
            <w:r w:rsidRPr="00524435">
              <w:rPr>
                <w:rFonts w:ascii="Cambria" w:hAnsi="Cambria"/>
                <w:b/>
                <w:sz w:val="18"/>
                <w:szCs w:val="18"/>
              </w:rPr>
              <w:t>Clause III.3. 20. Inclusion in state programs and projects (public ombudsmen):</w:t>
            </w:r>
            <w:r w:rsidRPr="00524435">
              <w:rPr>
                <w:rFonts w:ascii="Cambria" w:hAnsi="Cambria" w:cs="Calibri"/>
                <w:sz w:val="18"/>
                <w:szCs w:val="18"/>
              </w:rPr>
              <w:t xml:space="preserve"> The state of Pará will install five agrarian public ombudsmen in the following municipalities: </w:t>
            </w:r>
            <w:proofErr w:type="spellStart"/>
            <w:r w:rsidRPr="00524435">
              <w:rPr>
                <w:rFonts w:ascii="Cambria" w:hAnsi="Cambria" w:cs="Calibri"/>
                <w:sz w:val="18"/>
                <w:szCs w:val="18"/>
              </w:rPr>
              <w:t>Marabá</w:t>
            </w:r>
            <w:proofErr w:type="spellEnd"/>
            <w:r w:rsidRPr="00524435">
              <w:rPr>
                <w:rFonts w:ascii="Cambria" w:hAnsi="Cambria" w:cs="Calibri"/>
                <w:sz w:val="18"/>
                <w:szCs w:val="18"/>
              </w:rPr>
              <w:t xml:space="preserve">, </w:t>
            </w:r>
            <w:proofErr w:type="spellStart"/>
            <w:r w:rsidRPr="00524435">
              <w:rPr>
                <w:rFonts w:ascii="Cambria" w:hAnsi="Cambria" w:cs="Calibri"/>
                <w:sz w:val="18"/>
                <w:szCs w:val="18"/>
              </w:rPr>
              <w:t>Redenção</w:t>
            </w:r>
            <w:proofErr w:type="spellEnd"/>
            <w:r w:rsidRPr="00524435">
              <w:rPr>
                <w:rFonts w:ascii="Cambria" w:hAnsi="Cambria" w:cs="Calibri"/>
                <w:sz w:val="18"/>
                <w:szCs w:val="18"/>
              </w:rPr>
              <w:t xml:space="preserve">, Altamira, </w:t>
            </w:r>
            <w:proofErr w:type="spellStart"/>
            <w:r w:rsidRPr="00524435">
              <w:rPr>
                <w:rFonts w:ascii="Cambria" w:hAnsi="Cambria" w:cs="Calibri"/>
                <w:sz w:val="18"/>
                <w:szCs w:val="18"/>
              </w:rPr>
              <w:t>Santarém</w:t>
            </w:r>
            <w:proofErr w:type="spellEnd"/>
            <w:r w:rsidRPr="00524435">
              <w:rPr>
                <w:rFonts w:ascii="Cambria" w:hAnsi="Cambria" w:cs="Calibri"/>
                <w:sz w:val="18"/>
                <w:szCs w:val="18"/>
              </w:rPr>
              <w:t xml:space="preserve"> and </w:t>
            </w:r>
            <w:proofErr w:type="spellStart"/>
            <w:r w:rsidRPr="00524435">
              <w:rPr>
                <w:rFonts w:ascii="Cambria" w:hAnsi="Cambria" w:cs="Calibri"/>
                <w:sz w:val="18"/>
                <w:szCs w:val="18"/>
              </w:rPr>
              <w:t>Castanhal</w:t>
            </w:r>
            <w:proofErr w:type="spellEnd"/>
            <w:r w:rsidRPr="00524435">
              <w:rPr>
                <w:rFonts w:ascii="Cambria" w:hAnsi="Cambria" w:cs="Calibri"/>
                <w:sz w:val="18"/>
                <w:szCs w:val="18"/>
              </w:rPr>
              <w:t>.</w:t>
            </w:r>
          </w:p>
        </w:tc>
        <w:tc>
          <w:tcPr>
            <w:tcW w:w="1440" w:type="dxa"/>
            <w:gridSpan w:val="2"/>
            <w:shd w:val="clear" w:color="auto" w:fill="D9D9D9" w:themeFill="background1" w:themeFillShade="D9"/>
            <w:tcMar>
              <w:top w:w="0" w:type="dxa"/>
              <w:left w:w="108" w:type="dxa"/>
              <w:bottom w:w="0" w:type="dxa"/>
              <w:right w:w="108" w:type="dxa"/>
            </w:tcMar>
            <w:vAlign w:val="center"/>
          </w:tcPr>
          <w:p w14:paraId="34E512C5"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3D8F8B37" w14:textId="77777777" w:rsidTr="00820229">
        <w:trPr>
          <w:trHeight w:val="64"/>
        </w:trPr>
        <w:tc>
          <w:tcPr>
            <w:tcW w:w="562" w:type="dxa"/>
            <w:shd w:val="clear" w:color="auto" w:fill="D9D9D9" w:themeFill="background1" w:themeFillShade="D9"/>
            <w:tcMar>
              <w:top w:w="0" w:type="dxa"/>
              <w:left w:w="108" w:type="dxa"/>
              <w:bottom w:w="0" w:type="dxa"/>
              <w:right w:w="108" w:type="dxa"/>
            </w:tcMar>
            <w:vAlign w:val="center"/>
          </w:tcPr>
          <w:p w14:paraId="5727B34E"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tcMar>
              <w:top w:w="0" w:type="dxa"/>
              <w:left w:w="108" w:type="dxa"/>
              <w:bottom w:w="0" w:type="dxa"/>
              <w:right w:w="108" w:type="dxa"/>
            </w:tcMar>
            <w:vAlign w:val="center"/>
          </w:tcPr>
          <w:p w14:paraId="2916AB54"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65B76FE2"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Structural</w:t>
            </w:r>
          </w:p>
        </w:tc>
        <w:tc>
          <w:tcPr>
            <w:tcW w:w="5304" w:type="dxa"/>
            <w:gridSpan w:val="2"/>
            <w:shd w:val="clear" w:color="auto" w:fill="D9D9D9" w:themeFill="background1" w:themeFillShade="D9"/>
            <w:tcMar>
              <w:top w:w="0" w:type="dxa"/>
              <w:left w:w="108" w:type="dxa"/>
              <w:bottom w:w="0" w:type="dxa"/>
              <w:right w:w="108" w:type="dxa"/>
            </w:tcMar>
            <w:vAlign w:val="center"/>
          </w:tcPr>
          <w:p w14:paraId="494C1E0C" w14:textId="77777777" w:rsidR="007E31E3" w:rsidRPr="00524435" w:rsidRDefault="007E31E3" w:rsidP="00820229">
            <w:pPr>
              <w:jc w:val="both"/>
              <w:rPr>
                <w:rFonts w:ascii="Cambria" w:hAnsi="Cambria"/>
                <w:b/>
                <w:strike/>
                <w:color w:val="FF0000"/>
                <w:sz w:val="18"/>
                <w:szCs w:val="18"/>
              </w:rPr>
            </w:pPr>
            <w:r w:rsidRPr="00524435">
              <w:rPr>
                <w:rFonts w:ascii="Cambria" w:hAnsi="Cambria"/>
                <w:b/>
                <w:sz w:val="18"/>
                <w:szCs w:val="18"/>
              </w:rPr>
              <w:t>Clause IV.21. Prevention measures (work of the state commission):</w:t>
            </w:r>
            <w:r w:rsidRPr="00524435">
              <w:rPr>
                <w:rFonts w:ascii="Cambria" w:hAnsi="Cambria" w:cs="Calibri"/>
                <w:sz w:val="18"/>
                <w:szCs w:val="18"/>
              </w:rPr>
              <w:t xml:space="preserve"> The state of Pará will facilitate the work of the state commission aimed at clarifying and fighting against homicides committed in the context of conflicts over land possession and will endeavor to promote the participation of federal bodies dedicated to this matter. </w:t>
            </w:r>
          </w:p>
        </w:tc>
        <w:tc>
          <w:tcPr>
            <w:tcW w:w="1440" w:type="dxa"/>
            <w:gridSpan w:val="2"/>
            <w:shd w:val="clear" w:color="auto" w:fill="D9D9D9" w:themeFill="background1" w:themeFillShade="D9"/>
            <w:tcMar>
              <w:top w:w="0" w:type="dxa"/>
              <w:left w:w="108" w:type="dxa"/>
              <w:bottom w:w="0" w:type="dxa"/>
              <w:right w:w="108" w:type="dxa"/>
            </w:tcMar>
            <w:vAlign w:val="center"/>
          </w:tcPr>
          <w:p w14:paraId="08299040"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716AE482" w14:textId="77777777" w:rsidTr="00820229">
        <w:trPr>
          <w:trHeight w:val="64"/>
        </w:trPr>
        <w:tc>
          <w:tcPr>
            <w:tcW w:w="562" w:type="dxa"/>
            <w:shd w:val="clear" w:color="auto" w:fill="D9D9D9" w:themeFill="background1" w:themeFillShade="D9"/>
            <w:tcMar>
              <w:top w:w="0" w:type="dxa"/>
              <w:left w:w="108" w:type="dxa"/>
              <w:bottom w:w="0" w:type="dxa"/>
              <w:right w:w="108" w:type="dxa"/>
            </w:tcMar>
            <w:vAlign w:val="center"/>
          </w:tcPr>
          <w:p w14:paraId="46DC9E03"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tcMar>
              <w:top w:w="0" w:type="dxa"/>
              <w:left w:w="108" w:type="dxa"/>
              <w:bottom w:w="0" w:type="dxa"/>
              <w:right w:w="108" w:type="dxa"/>
            </w:tcMar>
            <w:vAlign w:val="center"/>
          </w:tcPr>
          <w:p w14:paraId="18A6BB8C"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4F75B742"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Structural</w:t>
            </w:r>
          </w:p>
        </w:tc>
        <w:tc>
          <w:tcPr>
            <w:tcW w:w="5304" w:type="dxa"/>
            <w:gridSpan w:val="2"/>
            <w:shd w:val="clear" w:color="auto" w:fill="D9D9D9" w:themeFill="background1" w:themeFillShade="D9"/>
            <w:tcMar>
              <w:top w:w="0" w:type="dxa"/>
              <w:left w:w="108" w:type="dxa"/>
              <w:bottom w:w="0" w:type="dxa"/>
              <w:right w:w="108" w:type="dxa"/>
            </w:tcMar>
            <w:vAlign w:val="center"/>
          </w:tcPr>
          <w:p w14:paraId="7204512A" w14:textId="77777777" w:rsidR="007E31E3" w:rsidRPr="00524435" w:rsidRDefault="007E31E3" w:rsidP="00820229">
            <w:pPr>
              <w:jc w:val="both"/>
              <w:rPr>
                <w:rFonts w:ascii="Cambria" w:hAnsi="Cambria"/>
                <w:b/>
                <w:strike/>
                <w:color w:val="FF0000"/>
                <w:sz w:val="18"/>
                <w:szCs w:val="18"/>
              </w:rPr>
            </w:pPr>
            <w:r w:rsidRPr="00524435">
              <w:rPr>
                <w:rFonts w:ascii="Cambria" w:hAnsi="Cambria"/>
                <w:b/>
                <w:sz w:val="18"/>
                <w:szCs w:val="18"/>
              </w:rPr>
              <w:t xml:space="preserve">Clause IV.22. Prevention measures (conflict resolution training): </w:t>
            </w:r>
            <w:r w:rsidRPr="00524435">
              <w:rPr>
                <w:rFonts w:ascii="Cambria" w:hAnsi="Cambria" w:cs="Calibri"/>
                <w:sz w:val="18"/>
                <w:szCs w:val="18"/>
              </w:rPr>
              <w:t xml:space="preserve">The Brazilian State, through the National Agrarian Audit of the Ministry of Agrarian Development, in association with other </w:t>
            </w:r>
            <w:r w:rsidRPr="00524435">
              <w:rPr>
                <w:rFonts w:ascii="Cambria" w:hAnsi="Cambria" w:cs="Calibri"/>
                <w:sz w:val="18"/>
                <w:szCs w:val="18"/>
              </w:rPr>
              <w:lastRenderedPageBreak/>
              <w:t>public bodies, will promote, in 2010, a course on the resolution of agrarian conflicts aimed at military, civil, federal, and federal highway police personnel, with 40 hours / class, nationwide. In that same year 2010, courses will also be given for mediators of agrarian conflicts, whose target audience will be made up of members of agrarian leagues, agrarian justice promotion entities, agrarian public defenders, state, and regional agrarian audits, of the state land institutes, the agrarian civil and military police and INCRA (National Institute of Colonization and Agrarian Reform), also with 40 hours / class and nationwide.</w:t>
            </w:r>
          </w:p>
        </w:tc>
        <w:tc>
          <w:tcPr>
            <w:tcW w:w="1440" w:type="dxa"/>
            <w:gridSpan w:val="2"/>
            <w:shd w:val="clear" w:color="auto" w:fill="D9D9D9" w:themeFill="background1" w:themeFillShade="D9"/>
            <w:tcMar>
              <w:top w:w="0" w:type="dxa"/>
              <w:left w:w="108" w:type="dxa"/>
              <w:bottom w:w="0" w:type="dxa"/>
              <w:right w:w="108" w:type="dxa"/>
            </w:tcMar>
            <w:vAlign w:val="center"/>
          </w:tcPr>
          <w:p w14:paraId="2AAAB191"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lastRenderedPageBreak/>
              <w:t>Partial 2021</w:t>
            </w:r>
          </w:p>
        </w:tc>
      </w:tr>
      <w:tr w:rsidR="007E31E3" w:rsidRPr="00524435" w14:paraId="3892030E" w14:textId="77777777" w:rsidTr="00820229">
        <w:trPr>
          <w:trHeight w:val="64"/>
        </w:trPr>
        <w:tc>
          <w:tcPr>
            <w:tcW w:w="562" w:type="dxa"/>
            <w:shd w:val="clear" w:color="auto" w:fill="D9D9D9" w:themeFill="background1" w:themeFillShade="D9"/>
            <w:tcMar>
              <w:top w:w="0" w:type="dxa"/>
              <w:left w:w="108" w:type="dxa"/>
              <w:bottom w:w="0" w:type="dxa"/>
              <w:right w:w="108" w:type="dxa"/>
            </w:tcMar>
            <w:vAlign w:val="center"/>
          </w:tcPr>
          <w:p w14:paraId="2CCD5174"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tcMar>
              <w:top w:w="0" w:type="dxa"/>
              <w:left w:w="108" w:type="dxa"/>
              <w:bottom w:w="0" w:type="dxa"/>
              <w:right w:w="108" w:type="dxa"/>
            </w:tcMar>
            <w:vAlign w:val="center"/>
          </w:tcPr>
          <w:p w14:paraId="5BBA9D4A"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21310B08"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71810200" w14:textId="77777777" w:rsidR="007E31E3" w:rsidRPr="00524435" w:rsidRDefault="007E31E3" w:rsidP="00820229">
            <w:pPr>
              <w:jc w:val="both"/>
              <w:rPr>
                <w:rFonts w:ascii="Cambria" w:hAnsi="Cambria"/>
                <w:b/>
                <w:sz w:val="18"/>
                <w:szCs w:val="18"/>
              </w:rPr>
            </w:pPr>
            <w:r w:rsidRPr="00524435">
              <w:rPr>
                <w:rFonts w:ascii="Cambria" w:hAnsi="Cambria"/>
                <w:b/>
                <w:sz w:val="18"/>
                <w:szCs w:val="18"/>
              </w:rPr>
              <w:t xml:space="preserve">Clause V.23. Follow-up Mechanism: </w:t>
            </w:r>
            <w:r w:rsidRPr="00524435">
              <w:rPr>
                <w:rFonts w:ascii="Cambria" w:hAnsi="Cambria" w:cs="Calibri"/>
                <w:sz w:val="18"/>
                <w:szCs w:val="18"/>
              </w:rPr>
              <w:t>The Brazilian State and the petitioners undertake to submit to the IACHR / OAS, as of the date of execution of this Agreement, semi-annual reports on compliance with its terms, and will also endeavor to hold working meetings, with the intermediation of the IACHR / OAS, with the same periodicity.</w:t>
            </w:r>
          </w:p>
        </w:tc>
        <w:tc>
          <w:tcPr>
            <w:tcW w:w="1440" w:type="dxa"/>
            <w:gridSpan w:val="2"/>
            <w:shd w:val="clear" w:color="auto" w:fill="D9D9D9" w:themeFill="background1" w:themeFillShade="D9"/>
            <w:tcMar>
              <w:top w:w="0" w:type="dxa"/>
              <w:left w:w="108" w:type="dxa"/>
              <w:bottom w:w="0" w:type="dxa"/>
              <w:right w:w="108" w:type="dxa"/>
            </w:tcMar>
            <w:vAlign w:val="center"/>
          </w:tcPr>
          <w:p w14:paraId="7D36C0DE" w14:textId="77777777" w:rsidR="007E31E3" w:rsidRPr="00524435" w:rsidRDefault="007E31E3" w:rsidP="00820229">
            <w:pPr>
              <w:jc w:val="center"/>
              <w:rPr>
                <w:rFonts w:ascii="Cambria" w:eastAsia="MS Mincho" w:hAnsi="Cambria" w:cs="Arial"/>
                <w:b/>
                <w:sz w:val="18"/>
                <w:szCs w:val="18"/>
                <w:lang w:eastAsia="es-ES_tradnl"/>
              </w:rPr>
            </w:pPr>
            <w:r w:rsidRPr="00524435">
              <w:rPr>
                <w:rFonts w:ascii="Cambria" w:eastAsia="MS Mincho" w:hAnsi="Cambria" w:cs="Arial"/>
                <w:b/>
                <w:sz w:val="18"/>
                <w:szCs w:val="18"/>
                <w:lang w:eastAsia="es-ES_tradnl"/>
              </w:rPr>
              <w:t>Partial 2021</w:t>
            </w:r>
          </w:p>
        </w:tc>
      </w:tr>
      <w:tr w:rsidR="007E31E3" w:rsidRPr="00524435" w14:paraId="5B511C70" w14:textId="77777777" w:rsidTr="00820229">
        <w:trPr>
          <w:trHeight w:val="476"/>
        </w:trPr>
        <w:tc>
          <w:tcPr>
            <w:tcW w:w="9805" w:type="dxa"/>
            <w:gridSpan w:val="7"/>
            <w:shd w:val="clear" w:color="auto" w:fill="92D050"/>
            <w:tcMar>
              <w:top w:w="0" w:type="dxa"/>
              <w:left w:w="108" w:type="dxa"/>
              <w:bottom w:w="0" w:type="dxa"/>
              <w:right w:w="108" w:type="dxa"/>
            </w:tcMar>
            <w:vAlign w:val="center"/>
          </w:tcPr>
          <w:p w14:paraId="548BF40C" w14:textId="77777777" w:rsidR="007E31E3" w:rsidRPr="00524435" w:rsidRDefault="007E31E3" w:rsidP="00E1597F">
            <w:pPr>
              <w:spacing w:after="0" w:line="240" w:lineRule="auto"/>
              <w:jc w:val="center"/>
              <w:rPr>
                <w:rFonts w:ascii="Cambria" w:hAnsi="Cambria"/>
                <w:b/>
                <w:sz w:val="18"/>
                <w:szCs w:val="18"/>
              </w:rPr>
            </w:pPr>
            <w:r w:rsidRPr="00524435">
              <w:rPr>
                <w:rFonts w:ascii="Cambria" w:hAnsi="Cambria"/>
                <w:b/>
                <w:sz w:val="18"/>
                <w:szCs w:val="18"/>
              </w:rPr>
              <w:t>Number of measures where progress was achieved: 14 (10 individual and 4 structural)</w:t>
            </w:r>
          </w:p>
          <w:p w14:paraId="181E4089" w14:textId="77777777" w:rsidR="007E31E3" w:rsidRPr="00524435" w:rsidRDefault="007E31E3" w:rsidP="00E1597F">
            <w:pPr>
              <w:spacing w:after="0" w:line="240" w:lineRule="auto"/>
              <w:jc w:val="center"/>
              <w:rPr>
                <w:rFonts w:ascii="Cambria" w:hAnsi="Cambria"/>
                <w:b/>
                <w:sz w:val="18"/>
                <w:szCs w:val="18"/>
              </w:rPr>
            </w:pPr>
            <w:r w:rsidRPr="00524435">
              <w:rPr>
                <w:rFonts w:ascii="Cambria" w:hAnsi="Cambria"/>
                <w:b/>
                <w:sz w:val="18"/>
                <w:szCs w:val="18"/>
              </w:rPr>
              <w:t>Total compliance: 7</w:t>
            </w:r>
          </w:p>
          <w:p w14:paraId="5B9E88E2" w14:textId="77777777" w:rsidR="007E31E3" w:rsidRPr="00524435" w:rsidRDefault="007E31E3" w:rsidP="00E1597F">
            <w:pPr>
              <w:spacing w:after="0" w:line="240" w:lineRule="auto"/>
              <w:jc w:val="center"/>
              <w:rPr>
                <w:rFonts w:ascii="Cambria" w:hAnsi="Cambria"/>
                <w:b/>
                <w:sz w:val="18"/>
                <w:szCs w:val="18"/>
              </w:rPr>
            </w:pPr>
            <w:r w:rsidRPr="00524435">
              <w:rPr>
                <w:rFonts w:ascii="Cambria" w:hAnsi="Cambria"/>
                <w:b/>
                <w:sz w:val="18"/>
                <w:szCs w:val="18"/>
              </w:rPr>
              <w:t>Partial substantial:  2</w:t>
            </w:r>
          </w:p>
          <w:p w14:paraId="6BF61A05" w14:textId="77777777" w:rsidR="007E31E3" w:rsidRPr="00524435" w:rsidRDefault="007E31E3" w:rsidP="00E1597F">
            <w:pPr>
              <w:spacing w:after="0" w:line="240" w:lineRule="auto"/>
              <w:jc w:val="center"/>
              <w:rPr>
                <w:rFonts w:ascii="Cambria" w:hAnsi="Cambria"/>
                <w:b/>
                <w:strike/>
                <w:color w:val="FF0000"/>
                <w:sz w:val="18"/>
                <w:szCs w:val="18"/>
              </w:rPr>
            </w:pPr>
            <w:r w:rsidRPr="00524435">
              <w:rPr>
                <w:rFonts w:ascii="Cambria" w:hAnsi="Cambria"/>
                <w:b/>
                <w:sz w:val="18"/>
                <w:szCs w:val="18"/>
              </w:rPr>
              <w:t>Partial compliance:  5</w:t>
            </w:r>
          </w:p>
        </w:tc>
      </w:tr>
      <w:tr w:rsidR="007E31E3" w:rsidRPr="00524435" w14:paraId="56094329" w14:textId="77777777" w:rsidTr="00820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7"/>
        </w:trPr>
        <w:tc>
          <w:tcPr>
            <w:tcW w:w="9805" w:type="dxa"/>
            <w:gridSpan w:val="7"/>
            <w:tcBorders>
              <w:top w:val="single" w:sz="4"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51BCE0CF"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COLOMBIA</w:t>
            </w:r>
          </w:p>
        </w:tc>
      </w:tr>
      <w:tr w:rsidR="007E31E3" w:rsidRPr="00524435" w14:paraId="3F9998B8" w14:textId="77777777" w:rsidTr="00820229">
        <w:tc>
          <w:tcPr>
            <w:tcW w:w="562" w:type="dxa"/>
            <w:shd w:val="clear" w:color="auto" w:fill="auto"/>
            <w:tcMar>
              <w:top w:w="0" w:type="dxa"/>
              <w:left w:w="108" w:type="dxa"/>
              <w:bottom w:w="0" w:type="dxa"/>
              <w:right w:w="108" w:type="dxa"/>
            </w:tcMar>
            <w:vAlign w:val="center"/>
          </w:tcPr>
          <w:p w14:paraId="3C624D31"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shd w:val="clear" w:color="auto" w:fill="auto"/>
            <w:vAlign w:val="center"/>
          </w:tcPr>
          <w:p w14:paraId="22382DB7"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 xml:space="preserve">Case 12.756, Report No.10/15, El </w:t>
            </w:r>
            <w:proofErr w:type="spellStart"/>
            <w:r w:rsidRPr="00524435">
              <w:rPr>
                <w:rFonts w:ascii="Cambria" w:hAnsi="Cambria"/>
                <w:b/>
                <w:sz w:val="18"/>
                <w:szCs w:val="18"/>
              </w:rPr>
              <w:t>Aracatazzo</w:t>
            </w:r>
            <w:proofErr w:type="spellEnd"/>
            <w:r w:rsidRPr="00524435">
              <w:rPr>
                <w:rFonts w:ascii="Cambria" w:hAnsi="Cambria"/>
                <w:b/>
                <w:sz w:val="18"/>
                <w:szCs w:val="18"/>
              </w:rPr>
              <w:t xml:space="preserve"> Bar Massacre (Colombia)</w:t>
            </w:r>
          </w:p>
        </w:tc>
        <w:tc>
          <w:tcPr>
            <w:tcW w:w="1081" w:type="dxa"/>
            <w:shd w:val="clear" w:color="auto" w:fill="auto"/>
            <w:tcMar>
              <w:top w:w="0" w:type="dxa"/>
              <w:left w:w="108" w:type="dxa"/>
              <w:bottom w:w="0" w:type="dxa"/>
              <w:right w:w="108" w:type="dxa"/>
            </w:tcMar>
            <w:vAlign w:val="center"/>
          </w:tcPr>
          <w:p w14:paraId="603E81F2"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590C1128" w14:textId="77777777" w:rsidR="007E31E3" w:rsidRPr="00524435" w:rsidRDefault="007E31E3" w:rsidP="00820229">
            <w:pPr>
              <w:ind w:right="72"/>
              <w:jc w:val="both"/>
              <w:rPr>
                <w:rFonts w:ascii="Cambria" w:hAnsi="Cambria" w:cs="Calibri"/>
                <w:bCs/>
                <w:sz w:val="18"/>
                <w:szCs w:val="18"/>
              </w:rPr>
            </w:pPr>
            <w:r w:rsidRPr="00524435">
              <w:rPr>
                <w:rFonts w:ascii="Cambria" w:hAnsi="Cambria" w:cs="Calibri"/>
                <w:b/>
                <w:bCs/>
                <w:sz w:val="18"/>
                <w:szCs w:val="18"/>
              </w:rPr>
              <w:t>Clause 3. Measures of satisfaction and rehabilitation:</w:t>
            </w:r>
            <w:r w:rsidRPr="00524435">
              <w:rPr>
                <w:rFonts w:ascii="Cambria" w:hAnsi="Cambria" w:cs="Calibri"/>
                <w:sz w:val="18"/>
                <w:szCs w:val="18"/>
              </w:rPr>
              <w:t xml:space="preserve"> The State undertakes to support and assist the victims in the present case, </w:t>
            </w:r>
            <w:proofErr w:type="gramStart"/>
            <w:r w:rsidRPr="00524435">
              <w:rPr>
                <w:rFonts w:ascii="Cambria" w:hAnsi="Cambria" w:cs="Calibri"/>
                <w:sz w:val="18"/>
                <w:szCs w:val="18"/>
              </w:rPr>
              <w:t>in order to</w:t>
            </w:r>
            <w:proofErr w:type="gramEnd"/>
            <w:r w:rsidRPr="00524435">
              <w:rPr>
                <w:rFonts w:ascii="Cambria" w:hAnsi="Cambria" w:cs="Calibri"/>
                <w:sz w:val="18"/>
                <w:szCs w:val="18"/>
              </w:rPr>
              <w:t xml:space="preserve"> help them to gain access to reparation plans, programs and projects offered by the Colombian State using a model of comprehensive care, assistance and reparation of victims, as implemented by the Unit for Comprehensive Victim Support and Reparation. </w:t>
            </w:r>
          </w:p>
        </w:tc>
        <w:tc>
          <w:tcPr>
            <w:tcW w:w="1440" w:type="dxa"/>
            <w:gridSpan w:val="2"/>
            <w:shd w:val="clear" w:color="auto" w:fill="auto"/>
            <w:tcMar>
              <w:top w:w="0" w:type="dxa"/>
              <w:left w:w="108" w:type="dxa"/>
              <w:bottom w:w="0" w:type="dxa"/>
              <w:right w:w="108" w:type="dxa"/>
            </w:tcMar>
            <w:vAlign w:val="center"/>
          </w:tcPr>
          <w:p w14:paraId="3EFB091E"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6C271D0D" w14:textId="77777777" w:rsidTr="00820229">
        <w:tc>
          <w:tcPr>
            <w:tcW w:w="562" w:type="dxa"/>
            <w:shd w:val="clear" w:color="auto" w:fill="D9D9D9" w:themeFill="background1" w:themeFillShade="D9"/>
            <w:tcMar>
              <w:top w:w="0" w:type="dxa"/>
              <w:left w:w="108" w:type="dxa"/>
              <w:bottom w:w="0" w:type="dxa"/>
              <w:right w:w="108" w:type="dxa"/>
            </w:tcMar>
            <w:vAlign w:val="center"/>
          </w:tcPr>
          <w:p w14:paraId="02849600"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shd w:val="clear" w:color="auto" w:fill="D9D9D9" w:themeFill="background1" w:themeFillShade="D9"/>
            <w:vAlign w:val="center"/>
          </w:tcPr>
          <w:p w14:paraId="337B3898" w14:textId="77777777" w:rsidR="007E31E3" w:rsidRPr="00E42B49" w:rsidRDefault="007E31E3" w:rsidP="00820229">
            <w:pPr>
              <w:jc w:val="center"/>
              <w:rPr>
                <w:rFonts w:ascii="Cambria" w:hAnsi="Cambria"/>
                <w:sz w:val="18"/>
                <w:szCs w:val="18"/>
                <w:lang w:val="es-US"/>
              </w:rPr>
            </w:pPr>
            <w:r w:rsidRPr="00E42B49">
              <w:rPr>
                <w:rFonts w:ascii="Cambria" w:hAnsi="Cambria"/>
                <w:b/>
                <w:sz w:val="18"/>
                <w:szCs w:val="18"/>
                <w:lang w:val="es-US"/>
              </w:rPr>
              <w:t xml:space="preserve">Case 12.538, </w:t>
            </w:r>
            <w:proofErr w:type="spellStart"/>
            <w:r w:rsidRPr="00E42B49">
              <w:rPr>
                <w:rFonts w:ascii="Cambria" w:hAnsi="Cambria"/>
                <w:b/>
                <w:sz w:val="18"/>
                <w:szCs w:val="18"/>
                <w:lang w:val="es-US"/>
              </w:rPr>
              <w:t>Report</w:t>
            </w:r>
            <w:proofErr w:type="spellEnd"/>
            <w:r w:rsidRPr="00E42B49">
              <w:rPr>
                <w:rFonts w:ascii="Cambria" w:hAnsi="Cambria"/>
                <w:b/>
                <w:sz w:val="18"/>
                <w:szCs w:val="18"/>
                <w:lang w:val="es-US"/>
              </w:rPr>
              <w:t xml:space="preserve"> No.43/16, Herson Javier Caro</w:t>
            </w:r>
            <w:r w:rsidRPr="00E42B49">
              <w:rPr>
                <w:rFonts w:ascii="Cambria" w:hAnsi="Cambria"/>
                <w:b/>
                <w:sz w:val="18"/>
                <w:szCs w:val="18"/>
                <w:lang w:val="es-US"/>
              </w:rPr>
              <w:br/>
              <w:t xml:space="preserve"> (Colombia)</w:t>
            </w:r>
          </w:p>
          <w:p w14:paraId="1936FAB6" w14:textId="77777777" w:rsidR="007E31E3" w:rsidRPr="00E42B49" w:rsidRDefault="007E31E3" w:rsidP="00820229">
            <w:pPr>
              <w:jc w:val="center"/>
              <w:rPr>
                <w:rFonts w:ascii="Cambria" w:hAnsi="Cambria"/>
                <w:b/>
                <w:sz w:val="18"/>
                <w:szCs w:val="18"/>
                <w:lang w:val="es-US"/>
              </w:rPr>
            </w:pPr>
          </w:p>
        </w:tc>
        <w:tc>
          <w:tcPr>
            <w:tcW w:w="1081" w:type="dxa"/>
            <w:shd w:val="clear" w:color="auto" w:fill="D9D9D9" w:themeFill="background1" w:themeFillShade="D9"/>
            <w:tcMar>
              <w:top w:w="0" w:type="dxa"/>
              <w:left w:w="108" w:type="dxa"/>
              <w:bottom w:w="0" w:type="dxa"/>
              <w:right w:w="108" w:type="dxa"/>
            </w:tcMar>
            <w:vAlign w:val="center"/>
          </w:tcPr>
          <w:p w14:paraId="6D3CDA47"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528EBE8B" w14:textId="77777777" w:rsidR="007E31E3" w:rsidRPr="00524435" w:rsidRDefault="007E31E3" w:rsidP="00820229">
            <w:pPr>
              <w:contextualSpacing/>
              <w:jc w:val="both"/>
              <w:rPr>
                <w:rFonts w:ascii="Cambria" w:hAnsi="Cambria"/>
                <w:b/>
                <w:strike/>
                <w:color w:val="FF0000"/>
                <w:sz w:val="18"/>
                <w:szCs w:val="18"/>
              </w:rPr>
            </w:pPr>
            <w:r w:rsidRPr="00524435">
              <w:rPr>
                <w:rFonts w:ascii="Cambria" w:eastAsia="Batang" w:hAnsi="Cambria" w:cs="Calibri Light"/>
                <w:b/>
                <w:bCs/>
                <w:color w:val="000000"/>
                <w:sz w:val="18"/>
                <w:szCs w:val="18"/>
              </w:rPr>
              <w:t xml:space="preserve">Clause 3.4. </w:t>
            </w:r>
            <w:r w:rsidRPr="00524435">
              <w:rPr>
                <w:rFonts w:ascii="Cambria" w:hAnsi="Cambria" w:cs="Calibri"/>
                <w:b/>
                <w:bCs/>
                <w:sz w:val="18"/>
                <w:szCs w:val="18"/>
              </w:rPr>
              <w:t>Measures of satisfaction and rehabilitation</w:t>
            </w:r>
            <w:r w:rsidRPr="00524435">
              <w:rPr>
                <w:rFonts w:ascii="Cambria" w:eastAsia="Batang" w:hAnsi="Cambria" w:cs="Calibri Light"/>
                <w:b/>
                <w:bCs/>
                <w:color w:val="000000"/>
                <w:sz w:val="18"/>
                <w:szCs w:val="18"/>
              </w:rPr>
              <w:t>:</w:t>
            </w:r>
            <w:r w:rsidRPr="00524435">
              <w:rPr>
                <w:rFonts w:ascii="Cambria" w:eastAsia="Batang" w:hAnsi="Cambria" w:cs="Calibri Light"/>
                <w:color w:val="000000"/>
                <w:sz w:val="18"/>
                <w:szCs w:val="18"/>
              </w:rPr>
              <w:t xml:space="preserve"> </w:t>
            </w:r>
            <w:r w:rsidRPr="00524435">
              <w:rPr>
                <w:rFonts w:ascii="Cambria" w:hAnsi="Cambria"/>
                <w:color w:val="000000"/>
                <w:sz w:val="18"/>
                <w:szCs w:val="18"/>
              </w:rPr>
              <w:t xml:space="preserve">Through its model for comprehensive care, assistance, and reparation for victims implemented by the Unit, the State undertakes to provide support for the victims in this case, so that they may gain access to the reparation plans, programs, and projects offered by the Colombian state. A differentiated approach shall be given to the mother of </w:t>
            </w:r>
            <w:proofErr w:type="spellStart"/>
            <w:r w:rsidRPr="00524435">
              <w:rPr>
                <w:rFonts w:ascii="Cambria" w:hAnsi="Cambria"/>
                <w:color w:val="000000"/>
                <w:sz w:val="18"/>
                <w:szCs w:val="18"/>
              </w:rPr>
              <w:t>Herson</w:t>
            </w:r>
            <w:proofErr w:type="spellEnd"/>
            <w:r w:rsidRPr="00524435">
              <w:rPr>
                <w:rFonts w:ascii="Cambria" w:hAnsi="Cambria"/>
                <w:color w:val="000000"/>
                <w:sz w:val="18"/>
                <w:szCs w:val="18"/>
              </w:rPr>
              <w:t xml:space="preserve"> Javier Caro, bearing in mind that she is an older adult.</w:t>
            </w:r>
          </w:p>
        </w:tc>
        <w:tc>
          <w:tcPr>
            <w:tcW w:w="1440" w:type="dxa"/>
            <w:gridSpan w:val="2"/>
            <w:shd w:val="clear" w:color="auto" w:fill="D9D9D9" w:themeFill="background1" w:themeFillShade="D9"/>
            <w:tcMar>
              <w:top w:w="0" w:type="dxa"/>
              <w:left w:w="108" w:type="dxa"/>
              <w:bottom w:w="0" w:type="dxa"/>
              <w:right w:w="108" w:type="dxa"/>
            </w:tcMar>
            <w:vAlign w:val="center"/>
          </w:tcPr>
          <w:p w14:paraId="4930B1F0"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 xml:space="preserve">Total 2021 </w:t>
            </w:r>
          </w:p>
        </w:tc>
      </w:tr>
      <w:tr w:rsidR="007E31E3" w:rsidRPr="00524435" w14:paraId="54CAB1C7" w14:textId="77777777" w:rsidTr="00C45FB3">
        <w:trPr>
          <w:trHeight w:val="58"/>
        </w:trPr>
        <w:tc>
          <w:tcPr>
            <w:tcW w:w="562" w:type="dxa"/>
            <w:shd w:val="clear" w:color="auto" w:fill="auto"/>
            <w:tcMar>
              <w:top w:w="0" w:type="dxa"/>
              <w:left w:w="108" w:type="dxa"/>
              <w:bottom w:w="0" w:type="dxa"/>
              <w:right w:w="108" w:type="dxa"/>
            </w:tcMar>
            <w:vAlign w:val="center"/>
          </w:tcPr>
          <w:p w14:paraId="339265E6"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shd w:val="clear" w:color="auto" w:fill="auto"/>
            <w:vAlign w:val="center"/>
          </w:tcPr>
          <w:p w14:paraId="125BEADF" w14:textId="77777777" w:rsidR="007E31E3" w:rsidRPr="00524435" w:rsidRDefault="007E31E3" w:rsidP="00820229">
            <w:pPr>
              <w:jc w:val="center"/>
              <w:rPr>
                <w:rFonts w:ascii="Cambria" w:hAnsi="Cambria"/>
                <w:sz w:val="18"/>
                <w:szCs w:val="18"/>
              </w:rPr>
            </w:pPr>
            <w:r w:rsidRPr="00524435">
              <w:rPr>
                <w:rFonts w:ascii="Cambria" w:hAnsi="Cambria"/>
                <w:b/>
                <w:sz w:val="18"/>
                <w:szCs w:val="18"/>
              </w:rPr>
              <w:t>Case 12.714, Report No.136/17, Belen-Altavista Massacre</w:t>
            </w:r>
            <w:r w:rsidRPr="00524435">
              <w:rPr>
                <w:rFonts w:ascii="Cambria" w:hAnsi="Cambria"/>
                <w:b/>
                <w:sz w:val="18"/>
                <w:szCs w:val="18"/>
              </w:rPr>
              <w:br/>
              <w:t xml:space="preserve"> (Colombia)</w:t>
            </w:r>
          </w:p>
          <w:p w14:paraId="6B4E16F8" w14:textId="77777777" w:rsidR="007E31E3" w:rsidRPr="00524435" w:rsidRDefault="007E31E3" w:rsidP="00820229">
            <w:pPr>
              <w:jc w:val="center"/>
              <w:rPr>
                <w:rFonts w:ascii="Cambria" w:hAnsi="Cambria"/>
                <w:b/>
                <w:sz w:val="18"/>
                <w:szCs w:val="18"/>
              </w:rPr>
            </w:pPr>
          </w:p>
        </w:tc>
        <w:tc>
          <w:tcPr>
            <w:tcW w:w="1081" w:type="dxa"/>
            <w:shd w:val="clear" w:color="auto" w:fill="auto"/>
            <w:tcMar>
              <w:top w:w="0" w:type="dxa"/>
              <w:left w:w="108" w:type="dxa"/>
              <w:bottom w:w="0" w:type="dxa"/>
              <w:right w:w="108" w:type="dxa"/>
            </w:tcMar>
            <w:vAlign w:val="center"/>
          </w:tcPr>
          <w:p w14:paraId="2DD41D82"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3D7CCFFB" w14:textId="77777777" w:rsidR="007E31E3" w:rsidRPr="00524435" w:rsidRDefault="007E31E3" w:rsidP="00820229">
            <w:pPr>
              <w:contextualSpacing/>
              <w:jc w:val="both"/>
              <w:rPr>
                <w:rFonts w:ascii="Cambria" w:eastAsia="Batang" w:hAnsi="Cambria" w:cs="Calibri Light"/>
                <w:b/>
                <w:bCs/>
                <w:color w:val="000000"/>
                <w:sz w:val="18"/>
                <w:szCs w:val="18"/>
              </w:rPr>
            </w:pPr>
            <w:r w:rsidRPr="00524435">
              <w:rPr>
                <w:rFonts w:ascii="Cambria" w:eastAsia="Batang" w:hAnsi="Cambria" w:cs="Calibri Light"/>
                <w:b/>
                <w:bCs/>
                <w:color w:val="000000"/>
                <w:sz w:val="18"/>
                <w:szCs w:val="18"/>
              </w:rPr>
              <w:t xml:space="preserve">Clause 4. Economic compensation: </w:t>
            </w:r>
            <w:r w:rsidRPr="00524435">
              <w:rPr>
                <w:rFonts w:ascii="Cambria" w:hAnsi="Cambria"/>
                <w:color w:val="000000"/>
                <w:kern w:val="36"/>
                <w:sz w:val="18"/>
                <w:szCs w:val="18"/>
              </w:rPr>
              <w:t xml:space="preserve">Once this friendly settlement agreement is approved through the adoption of the corresponding report under Article 49 of the American Convention of Human Rights, the State undertakes to enforce Law 288 of 1996 </w:t>
            </w:r>
            <w:proofErr w:type="gramStart"/>
            <w:r w:rsidRPr="00524435">
              <w:rPr>
                <w:rFonts w:ascii="Cambria" w:hAnsi="Cambria"/>
                <w:color w:val="000000"/>
                <w:kern w:val="36"/>
                <w:sz w:val="18"/>
                <w:szCs w:val="18"/>
              </w:rPr>
              <w:t>in order to</w:t>
            </w:r>
            <w:proofErr w:type="gramEnd"/>
            <w:r w:rsidRPr="00524435">
              <w:rPr>
                <w:rFonts w:ascii="Cambria" w:hAnsi="Cambria"/>
                <w:color w:val="000000"/>
                <w:kern w:val="36"/>
                <w:sz w:val="18"/>
                <w:szCs w:val="18"/>
              </w:rPr>
              <w:t xml:space="preserve"> provide reparation for such material and nonpecuniary injuries as may be proven in favor of the groups of victims' relatives that have not received compensation in the administrative jurisdiction.</w:t>
            </w:r>
          </w:p>
        </w:tc>
        <w:tc>
          <w:tcPr>
            <w:tcW w:w="1440" w:type="dxa"/>
            <w:gridSpan w:val="2"/>
            <w:shd w:val="clear" w:color="auto" w:fill="auto"/>
            <w:tcMar>
              <w:top w:w="0" w:type="dxa"/>
              <w:left w:w="108" w:type="dxa"/>
              <w:bottom w:w="0" w:type="dxa"/>
              <w:right w:w="108" w:type="dxa"/>
            </w:tcMar>
            <w:vAlign w:val="center"/>
          </w:tcPr>
          <w:p w14:paraId="78439C28"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Partial substantial 2021</w:t>
            </w:r>
          </w:p>
        </w:tc>
      </w:tr>
      <w:tr w:rsidR="007E31E3" w:rsidRPr="00524435" w14:paraId="1C075189" w14:textId="77777777" w:rsidTr="00820229">
        <w:tc>
          <w:tcPr>
            <w:tcW w:w="562" w:type="dxa"/>
            <w:shd w:val="clear" w:color="auto" w:fill="D9D9D9" w:themeFill="background1" w:themeFillShade="D9"/>
            <w:tcMar>
              <w:top w:w="0" w:type="dxa"/>
              <w:left w:w="108" w:type="dxa"/>
              <w:bottom w:w="0" w:type="dxa"/>
              <w:right w:w="108" w:type="dxa"/>
            </w:tcMar>
            <w:vAlign w:val="center"/>
          </w:tcPr>
          <w:p w14:paraId="7F12F3E2"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shd w:val="clear" w:color="auto" w:fill="D9D9D9" w:themeFill="background1" w:themeFillShade="D9"/>
            <w:vAlign w:val="center"/>
          </w:tcPr>
          <w:p w14:paraId="15232814" w14:textId="77777777" w:rsidR="007E31E3" w:rsidRPr="00E42B49" w:rsidRDefault="007E31E3" w:rsidP="00820229">
            <w:pPr>
              <w:jc w:val="center"/>
              <w:rPr>
                <w:rFonts w:ascii="Cambria" w:hAnsi="Cambria"/>
                <w:sz w:val="18"/>
                <w:szCs w:val="18"/>
                <w:lang w:val="es-US"/>
              </w:rPr>
            </w:pPr>
            <w:r w:rsidRPr="00E42B49">
              <w:rPr>
                <w:rFonts w:ascii="Cambria" w:hAnsi="Cambria"/>
                <w:b/>
                <w:sz w:val="18"/>
                <w:szCs w:val="18"/>
                <w:lang w:val="es-US"/>
              </w:rPr>
              <w:t xml:space="preserve">Case 11.990A, </w:t>
            </w:r>
            <w:proofErr w:type="spellStart"/>
            <w:r w:rsidRPr="00E42B49">
              <w:rPr>
                <w:rFonts w:ascii="Cambria" w:hAnsi="Cambria"/>
                <w:b/>
                <w:sz w:val="18"/>
                <w:szCs w:val="18"/>
                <w:lang w:val="es-US"/>
              </w:rPr>
              <w:t>Report</w:t>
            </w:r>
            <w:proofErr w:type="spellEnd"/>
            <w:r w:rsidRPr="00E42B49">
              <w:rPr>
                <w:rFonts w:ascii="Cambria" w:hAnsi="Cambria"/>
                <w:b/>
                <w:sz w:val="18"/>
                <w:szCs w:val="18"/>
                <w:lang w:val="es-US"/>
              </w:rPr>
              <w:t xml:space="preserve"> No.34/19, Oscar Orlando Bueno Bonnet et al</w:t>
            </w:r>
            <w:r w:rsidRPr="00E42B49">
              <w:rPr>
                <w:rFonts w:ascii="Cambria" w:hAnsi="Cambria"/>
                <w:b/>
                <w:sz w:val="18"/>
                <w:szCs w:val="18"/>
                <w:lang w:val="es-US"/>
              </w:rPr>
              <w:br/>
              <w:t xml:space="preserve"> (Colombia)</w:t>
            </w:r>
          </w:p>
        </w:tc>
        <w:tc>
          <w:tcPr>
            <w:tcW w:w="1081" w:type="dxa"/>
            <w:shd w:val="clear" w:color="auto" w:fill="D9D9D9" w:themeFill="background1" w:themeFillShade="D9"/>
            <w:tcMar>
              <w:top w:w="0" w:type="dxa"/>
              <w:left w:w="108" w:type="dxa"/>
              <w:bottom w:w="0" w:type="dxa"/>
              <w:right w:w="108" w:type="dxa"/>
            </w:tcMar>
            <w:vAlign w:val="center"/>
          </w:tcPr>
          <w:p w14:paraId="00C54E3A"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2C56BB12" w14:textId="77777777" w:rsidR="007E31E3" w:rsidRPr="00524435" w:rsidRDefault="007E31E3" w:rsidP="00820229">
            <w:pPr>
              <w:contextualSpacing/>
              <w:jc w:val="both"/>
              <w:rPr>
                <w:rFonts w:ascii="Cambria" w:eastAsia="Batang" w:hAnsi="Cambria" w:cs="Calibri Light"/>
                <w:b/>
                <w:bCs/>
                <w:color w:val="000000"/>
                <w:sz w:val="18"/>
                <w:szCs w:val="18"/>
              </w:rPr>
            </w:pPr>
            <w:r w:rsidRPr="00524435">
              <w:rPr>
                <w:rFonts w:ascii="Cambria" w:eastAsia="Batang" w:hAnsi="Cambria" w:cs="Calibri Light"/>
                <w:b/>
                <w:bCs/>
                <w:color w:val="000000"/>
                <w:sz w:val="18"/>
                <w:szCs w:val="18"/>
              </w:rPr>
              <w:t xml:space="preserve">Clause 5. Economic compensation: </w:t>
            </w:r>
            <w:r w:rsidRPr="00524435">
              <w:rPr>
                <w:rFonts w:ascii="Cambria" w:hAnsi="Cambria"/>
                <w:kern w:val="36"/>
                <w:sz w:val="18"/>
                <w:szCs w:val="18"/>
              </w:rPr>
              <w:t xml:space="preserve">Once this friendly settlement agreement is approved through the adoption of the corresponding report under Article 49 of the American Convention of Human Rights, the State undertakes to enforce Law 288 of 1996 in order to provide reparation for such material and non-material injuries as may be proven in favor of the victims' relatives listed in the Annex, provided that they have been accredited as legitimate and have not received compensation in the administrative jurisdiction. The </w:t>
            </w:r>
            <w:r w:rsidRPr="00524435">
              <w:rPr>
                <w:rFonts w:ascii="Cambria" w:hAnsi="Cambria"/>
                <w:kern w:val="36"/>
                <w:sz w:val="18"/>
                <w:szCs w:val="18"/>
              </w:rPr>
              <w:lastRenderedPageBreak/>
              <w:t>Ministry of Defense will be the entity responsible for applying the procedures established in Law 288 of 1996.</w:t>
            </w:r>
          </w:p>
        </w:tc>
        <w:tc>
          <w:tcPr>
            <w:tcW w:w="1440" w:type="dxa"/>
            <w:gridSpan w:val="2"/>
            <w:shd w:val="clear" w:color="auto" w:fill="D9D9D9" w:themeFill="background1" w:themeFillShade="D9"/>
            <w:tcMar>
              <w:top w:w="0" w:type="dxa"/>
              <w:left w:w="108" w:type="dxa"/>
              <w:bottom w:w="0" w:type="dxa"/>
              <w:right w:w="108" w:type="dxa"/>
            </w:tcMar>
            <w:vAlign w:val="center"/>
          </w:tcPr>
          <w:p w14:paraId="16537DA1"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lastRenderedPageBreak/>
              <w:t>Partial 2021</w:t>
            </w:r>
          </w:p>
        </w:tc>
      </w:tr>
      <w:tr w:rsidR="007E31E3" w:rsidRPr="00524435" w14:paraId="027D8EAB" w14:textId="77777777" w:rsidTr="00820229">
        <w:tc>
          <w:tcPr>
            <w:tcW w:w="562" w:type="dxa"/>
            <w:shd w:val="clear" w:color="auto" w:fill="auto"/>
            <w:tcMar>
              <w:top w:w="0" w:type="dxa"/>
              <w:left w:w="108" w:type="dxa"/>
              <w:bottom w:w="0" w:type="dxa"/>
              <w:right w:w="108" w:type="dxa"/>
            </w:tcMar>
            <w:vAlign w:val="center"/>
          </w:tcPr>
          <w:p w14:paraId="5FCFADE7"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val="restart"/>
            <w:shd w:val="clear" w:color="auto" w:fill="auto"/>
            <w:vAlign w:val="center"/>
          </w:tcPr>
          <w:p w14:paraId="3D4F50CC"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 xml:space="preserve">Case 13.776, Report No.1/20, German Eduardo </w:t>
            </w:r>
            <w:proofErr w:type="spellStart"/>
            <w:r w:rsidRPr="00524435">
              <w:rPr>
                <w:rFonts w:ascii="Cambria" w:hAnsi="Cambria"/>
                <w:b/>
                <w:sz w:val="18"/>
                <w:szCs w:val="18"/>
              </w:rPr>
              <w:t>Giraldo</w:t>
            </w:r>
            <w:proofErr w:type="spellEnd"/>
            <w:r w:rsidRPr="00524435">
              <w:rPr>
                <w:rFonts w:ascii="Cambria" w:hAnsi="Cambria"/>
                <w:b/>
                <w:sz w:val="18"/>
                <w:szCs w:val="18"/>
              </w:rPr>
              <w:t xml:space="preserve"> </w:t>
            </w:r>
            <w:proofErr w:type="spellStart"/>
            <w:r w:rsidRPr="00524435">
              <w:rPr>
                <w:rFonts w:ascii="Cambria" w:hAnsi="Cambria"/>
                <w:b/>
                <w:sz w:val="18"/>
                <w:szCs w:val="18"/>
              </w:rPr>
              <w:t>Agudelo</w:t>
            </w:r>
            <w:proofErr w:type="spellEnd"/>
            <w:r w:rsidRPr="00524435">
              <w:rPr>
                <w:rFonts w:ascii="Cambria" w:hAnsi="Cambria"/>
                <w:b/>
                <w:sz w:val="18"/>
                <w:szCs w:val="18"/>
              </w:rPr>
              <w:t xml:space="preserve"> and Family</w:t>
            </w:r>
            <w:r w:rsidRPr="00524435">
              <w:rPr>
                <w:rFonts w:ascii="Cambria" w:hAnsi="Cambria"/>
                <w:b/>
                <w:sz w:val="18"/>
                <w:szCs w:val="18"/>
              </w:rPr>
              <w:br/>
              <w:t xml:space="preserve"> (Colombia)</w:t>
            </w:r>
          </w:p>
        </w:tc>
        <w:tc>
          <w:tcPr>
            <w:tcW w:w="1081" w:type="dxa"/>
            <w:shd w:val="clear" w:color="auto" w:fill="auto"/>
            <w:tcMar>
              <w:top w:w="0" w:type="dxa"/>
              <w:left w:w="108" w:type="dxa"/>
              <w:bottom w:w="0" w:type="dxa"/>
              <w:right w:w="108" w:type="dxa"/>
            </w:tcMar>
            <w:vAlign w:val="center"/>
          </w:tcPr>
          <w:p w14:paraId="26DB640C"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4999F434" w14:textId="77777777" w:rsidR="007E31E3" w:rsidRPr="00524435" w:rsidRDefault="007E31E3" w:rsidP="00820229">
            <w:pPr>
              <w:contextualSpacing/>
              <w:jc w:val="both"/>
              <w:rPr>
                <w:rFonts w:ascii="Cambria" w:eastAsia="Batang" w:hAnsi="Cambria" w:cs="Calibri Light"/>
                <w:b/>
                <w:bCs/>
                <w:color w:val="000000"/>
                <w:sz w:val="18"/>
                <w:szCs w:val="18"/>
              </w:rPr>
            </w:pPr>
            <w:r w:rsidRPr="00524435">
              <w:rPr>
                <w:rFonts w:ascii="Cambria" w:eastAsia="Batang" w:hAnsi="Cambria" w:cs="Calibri Light"/>
                <w:b/>
                <w:bCs/>
                <w:color w:val="000000"/>
                <w:sz w:val="18"/>
                <w:szCs w:val="18"/>
              </w:rPr>
              <w:t xml:space="preserve">Clause 3.b. </w:t>
            </w:r>
            <w:r w:rsidRPr="00524435">
              <w:rPr>
                <w:rFonts w:ascii="Cambria" w:hAnsi="Cambria"/>
                <w:b/>
                <w:sz w:val="18"/>
                <w:szCs w:val="18"/>
              </w:rPr>
              <w:t>Granting of a University Scholarship</w:t>
            </w:r>
            <w:r w:rsidRPr="00524435">
              <w:rPr>
                <w:rFonts w:ascii="Cambria" w:hAnsi="Cambria"/>
                <w:sz w:val="18"/>
                <w:szCs w:val="18"/>
              </w:rPr>
              <w:t xml:space="preserve">: Through the Ministry of National Education and ICETEX, the State of Colombia commits to providing financial assistance to Daniel Camilo </w:t>
            </w:r>
            <w:proofErr w:type="spellStart"/>
            <w:r w:rsidRPr="00524435">
              <w:rPr>
                <w:rFonts w:ascii="Cambria" w:hAnsi="Cambria"/>
                <w:sz w:val="18"/>
                <w:szCs w:val="18"/>
              </w:rPr>
              <w:t>Giraldo</w:t>
            </w:r>
            <w:proofErr w:type="spellEnd"/>
            <w:r w:rsidRPr="00524435">
              <w:rPr>
                <w:rFonts w:ascii="Cambria" w:hAnsi="Cambria"/>
                <w:sz w:val="18"/>
                <w:szCs w:val="18"/>
              </w:rPr>
              <w:t xml:space="preserve"> Morales, the son of Mr. German Eduardo </w:t>
            </w:r>
            <w:proofErr w:type="spellStart"/>
            <w:r w:rsidRPr="00524435">
              <w:rPr>
                <w:rFonts w:ascii="Cambria" w:hAnsi="Cambria"/>
                <w:sz w:val="18"/>
                <w:szCs w:val="18"/>
              </w:rPr>
              <w:t>Giraldo</w:t>
            </w:r>
            <w:proofErr w:type="spellEnd"/>
            <w:r w:rsidRPr="00524435">
              <w:rPr>
                <w:rFonts w:ascii="Cambria" w:hAnsi="Cambria"/>
                <w:sz w:val="18"/>
                <w:szCs w:val="18"/>
              </w:rPr>
              <w:t>, with a view to financing his university education and to provide half-yearly living expenses in an amount equivalent to three (3) legally established minimum monthly wages (SMMLV). The beneficiary of the measure must ensure that he remains enrolled in the Institute of Higher Education and attempt to achieve an adequate level of academic performance. The financial assistance shall cover the cost of registering for semesters to be completed under the academic program and a half-yearly maintenance allowance of up to three (3) minimum monthly wages (SMMLV).</w:t>
            </w:r>
          </w:p>
        </w:tc>
        <w:tc>
          <w:tcPr>
            <w:tcW w:w="1440" w:type="dxa"/>
            <w:gridSpan w:val="2"/>
            <w:shd w:val="clear" w:color="auto" w:fill="auto"/>
            <w:tcMar>
              <w:top w:w="0" w:type="dxa"/>
              <w:left w:w="108" w:type="dxa"/>
              <w:bottom w:w="0" w:type="dxa"/>
              <w:right w:w="108" w:type="dxa"/>
            </w:tcMar>
            <w:vAlign w:val="center"/>
          </w:tcPr>
          <w:p w14:paraId="323A528C"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Partial 2021</w:t>
            </w:r>
          </w:p>
        </w:tc>
      </w:tr>
      <w:tr w:rsidR="007E31E3" w:rsidRPr="00524435" w14:paraId="233384EC" w14:textId="77777777" w:rsidTr="00820229">
        <w:tc>
          <w:tcPr>
            <w:tcW w:w="562" w:type="dxa"/>
            <w:shd w:val="clear" w:color="auto" w:fill="auto"/>
            <w:tcMar>
              <w:top w:w="0" w:type="dxa"/>
              <w:left w:w="108" w:type="dxa"/>
              <w:bottom w:w="0" w:type="dxa"/>
              <w:right w:w="108" w:type="dxa"/>
            </w:tcMar>
            <w:vAlign w:val="center"/>
          </w:tcPr>
          <w:p w14:paraId="25D6E660"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vAlign w:val="center"/>
          </w:tcPr>
          <w:p w14:paraId="4050C9D1" w14:textId="77777777" w:rsidR="007E31E3" w:rsidRPr="00524435" w:rsidRDefault="007E31E3" w:rsidP="00820229">
            <w:pPr>
              <w:jc w:val="center"/>
              <w:rPr>
                <w:rFonts w:ascii="Cambria" w:hAnsi="Cambria"/>
                <w:b/>
                <w:sz w:val="18"/>
                <w:szCs w:val="18"/>
              </w:rPr>
            </w:pPr>
          </w:p>
        </w:tc>
        <w:tc>
          <w:tcPr>
            <w:tcW w:w="1081" w:type="dxa"/>
            <w:shd w:val="clear" w:color="auto" w:fill="auto"/>
            <w:tcMar>
              <w:top w:w="0" w:type="dxa"/>
              <w:left w:w="108" w:type="dxa"/>
              <w:bottom w:w="0" w:type="dxa"/>
              <w:right w:w="108" w:type="dxa"/>
            </w:tcMar>
            <w:vAlign w:val="center"/>
          </w:tcPr>
          <w:p w14:paraId="765B38B4"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249B532B" w14:textId="77777777" w:rsidR="007E31E3" w:rsidRPr="00524435" w:rsidRDefault="007E31E3" w:rsidP="00820229">
            <w:pPr>
              <w:contextualSpacing/>
              <w:jc w:val="both"/>
              <w:rPr>
                <w:rFonts w:ascii="Cambria" w:eastAsia="Batang" w:hAnsi="Cambria" w:cs="Calibri Light"/>
                <w:b/>
                <w:bCs/>
                <w:color w:val="000000"/>
                <w:sz w:val="18"/>
                <w:szCs w:val="18"/>
              </w:rPr>
            </w:pPr>
            <w:r w:rsidRPr="00524435">
              <w:rPr>
                <w:rFonts w:ascii="Cambria" w:eastAsia="Batang" w:hAnsi="Cambria" w:cs="Calibri Light"/>
                <w:b/>
                <w:bCs/>
                <w:color w:val="000000"/>
                <w:sz w:val="18"/>
                <w:szCs w:val="18"/>
              </w:rPr>
              <w:t xml:space="preserve">Clause 4. Health Measures: </w:t>
            </w:r>
            <w:r w:rsidRPr="00524435">
              <w:rPr>
                <w:rFonts w:ascii="Cambria" w:hAnsi="Cambria"/>
                <w:sz w:val="18"/>
                <w:szCs w:val="18"/>
              </w:rPr>
              <w:t>The Ministry of Health and Social Protection shall implement the health rehabilitation measures in the form of medical, psychological and psycho-social care through the General Social Security Health System and the Psycho-Social Care and Comprehensive Health Care for Victims Program (PAPSIVI), and through the General Social Security Health System shall provide appropriate, timely, and priority treatment (based on medical criteria) to the victims with whom this friendly settlement agreement is signed.</w:t>
            </w:r>
          </w:p>
        </w:tc>
        <w:tc>
          <w:tcPr>
            <w:tcW w:w="1440" w:type="dxa"/>
            <w:gridSpan w:val="2"/>
            <w:shd w:val="clear" w:color="auto" w:fill="auto"/>
            <w:tcMar>
              <w:top w:w="0" w:type="dxa"/>
              <w:left w:w="108" w:type="dxa"/>
              <w:bottom w:w="0" w:type="dxa"/>
              <w:right w:w="108" w:type="dxa"/>
            </w:tcMar>
            <w:vAlign w:val="center"/>
          </w:tcPr>
          <w:p w14:paraId="75D2632C"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Partial 2021</w:t>
            </w:r>
          </w:p>
        </w:tc>
      </w:tr>
      <w:tr w:rsidR="007E31E3" w:rsidRPr="00524435" w14:paraId="56D4B496" w14:textId="77777777" w:rsidTr="00820229">
        <w:tc>
          <w:tcPr>
            <w:tcW w:w="562" w:type="dxa"/>
            <w:shd w:val="clear" w:color="auto" w:fill="auto"/>
            <w:tcMar>
              <w:top w:w="0" w:type="dxa"/>
              <w:left w:w="108" w:type="dxa"/>
              <w:bottom w:w="0" w:type="dxa"/>
              <w:right w:w="108" w:type="dxa"/>
            </w:tcMar>
            <w:vAlign w:val="center"/>
          </w:tcPr>
          <w:p w14:paraId="0A7F27FB"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vAlign w:val="center"/>
          </w:tcPr>
          <w:p w14:paraId="4B2D7E48" w14:textId="77777777" w:rsidR="007E31E3" w:rsidRPr="00524435" w:rsidRDefault="007E31E3" w:rsidP="00820229">
            <w:pPr>
              <w:jc w:val="center"/>
              <w:rPr>
                <w:rFonts w:ascii="Cambria" w:hAnsi="Cambria"/>
                <w:b/>
                <w:sz w:val="18"/>
                <w:szCs w:val="18"/>
              </w:rPr>
            </w:pPr>
          </w:p>
        </w:tc>
        <w:tc>
          <w:tcPr>
            <w:tcW w:w="1081" w:type="dxa"/>
            <w:shd w:val="clear" w:color="auto" w:fill="auto"/>
            <w:tcMar>
              <w:top w:w="0" w:type="dxa"/>
              <w:left w:w="108" w:type="dxa"/>
              <w:bottom w:w="0" w:type="dxa"/>
              <w:right w:w="108" w:type="dxa"/>
            </w:tcMar>
            <w:vAlign w:val="center"/>
          </w:tcPr>
          <w:p w14:paraId="2B526F8B"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auto"/>
            <w:tcMar>
              <w:top w:w="0" w:type="dxa"/>
              <w:left w:w="108" w:type="dxa"/>
              <w:bottom w:w="0" w:type="dxa"/>
              <w:right w:w="108" w:type="dxa"/>
            </w:tcMar>
            <w:vAlign w:val="center"/>
          </w:tcPr>
          <w:p w14:paraId="148DE3BE" w14:textId="77777777" w:rsidR="007E31E3" w:rsidRPr="00524435" w:rsidRDefault="007E31E3" w:rsidP="00820229">
            <w:pPr>
              <w:contextualSpacing/>
              <w:jc w:val="both"/>
              <w:rPr>
                <w:rFonts w:ascii="Cambria" w:eastAsia="Batang" w:hAnsi="Cambria" w:cs="Calibri Light"/>
                <w:b/>
                <w:bCs/>
                <w:color w:val="000000"/>
                <w:sz w:val="18"/>
                <w:szCs w:val="18"/>
              </w:rPr>
            </w:pPr>
            <w:r w:rsidRPr="00524435">
              <w:rPr>
                <w:rFonts w:ascii="Cambria" w:eastAsia="Batang" w:hAnsi="Cambria" w:cs="Calibri Light"/>
                <w:b/>
                <w:bCs/>
                <w:color w:val="000000"/>
                <w:sz w:val="18"/>
                <w:szCs w:val="18"/>
              </w:rPr>
              <w:t xml:space="preserve">Clause 5. Guarantees of non-repetition: </w:t>
            </w:r>
            <w:r w:rsidRPr="00524435">
              <w:rPr>
                <w:rFonts w:ascii="Cambria" w:hAnsi="Cambria"/>
                <w:sz w:val="18"/>
                <w:szCs w:val="18"/>
              </w:rPr>
              <w:t>The Executive Directorate of the Military Criminal Justice System, of the Ministry of National Defense, commits to continuing training courses in human rights and the gathering, custody, and assessment of evidence for the judges, prosecutors, and magistrates of the Military Criminal Justice Jurisdiction. It also commits to including the facts set forth in this petition as a topic to be studied and analyzed in one of those training courses, which the victims' representatives shall have a guaranteed right to attend.</w:t>
            </w:r>
          </w:p>
        </w:tc>
        <w:tc>
          <w:tcPr>
            <w:tcW w:w="1440" w:type="dxa"/>
            <w:gridSpan w:val="2"/>
            <w:shd w:val="clear" w:color="auto" w:fill="auto"/>
            <w:tcMar>
              <w:top w:w="0" w:type="dxa"/>
              <w:left w:w="108" w:type="dxa"/>
              <w:bottom w:w="0" w:type="dxa"/>
              <w:right w:w="108" w:type="dxa"/>
            </w:tcMar>
            <w:vAlign w:val="center"/>
          </w:tcPr>
          <w:p w14:paraId="2266A500"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7609995D" w14:textId="77777777" w:rsidTr="00820229">
        <w:tc>
          <w:tcPr>
            <w:tcW w:w="562" w:type="dxa"/>
            <w:shd w:val="clear" w:color="auto" w:fill="auto"/>
            <w:tcMar>
              <w:top w:w="0" w:type="dxa"/>
              <w:left w:w="108" w:type="dxa"/>
              <w:bottom w:w="0" w:type="dxa"/>
              <w:right w:w="108" w:type="dxa"/>
            </w:tcMar>
            <w:vAlign w:val="center"/>
          </w:tcPr>
          <w:p w14:paraId="3920B230"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vAlign w:val="center"/>
          </w:tcPr>
          <w:p w14:paraId="3660B128" w14:textId="77777777" w:rsidR="007E31E3" w:rsidRPr="00524435" w:rsidRDefault="007E31E3" w:rsidP="00820229">
            <w:pPr>
              <w:jc w:val="center"/>
              <w:rPr>
                <w:rFonts w:ascii="Cambria" w:hAnsi="Cambria"/>
                <w:b/>
                <w:sz w:val="18"/>
                <w:szCs w:val="18"/>
              </w:rPr>
            </w:pPr>
          </w:p>
        </w:tc>
        <w:tc>
          <w:tcPr>
            <w:tcW w:w="1081" w:type="dxa"/>
            <w:shd w:val="clear" w:color="auto" w:fill="auto"/>
            <w:tcMar>
              <w:top w:w="0" w:type="dxa"/>
              <w:left w:w="108" w:type="dxa"/>
              <w:bottom w:w="0" w:type="dxa"/>
              <w:right w:w="108" w:type="dxa"/>
            </w:tcMar>
            <w:vAlign w:val="center"/>
          </w:tcPr>
          <w:p w14:paraId="36791D94"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5F708CA2" w14:textId="77777777" w:rsidR="007E31E3" w:rsidRPr="00524435" w:rsidRDefault="007E31E3" w:rsidP="00820229">
            <w:pPr>
              <w:contextualSpacing/>
              <w:jc w:val="both"/>
              <w:rPr>
                <w:rFonts w:ascii="Cambria" w:eastAsia="Batang" w:hAnsi="Cambria" w:cs="Calibri Light"/>
                <w:b/>
                <w:bCs/>
                <w:color w:val="000000"/>
                <w:sz w:val="18"/>
                <w:szCs w:val="18"/>
              </w:rPr>
            </w:pPr>
            <w:r w:rsidRPr="00524435">
              <w:rPr>
                <w:rFonts w:ascii="Cambria" w:eastAsia="Batang" w:hAnsi="Cambria" w:cs="Calibri Light"/>
                <w:b/>
                <w:bCs/>
                <w:color w:val="000000"/>
                <w:sz w:val="18"/>
                <w:szCs w:val="18"/>
              </w:rPr>
              <w:t xml:space="preserve">Clause 6. Economic compensation: </w:t>
            </w:r>
            <w:r w:rsidRPr="00524435">
              <w:rPr>
                <w:rFonts w:ascii="Cambria" w:hAnsi="Cambria"/>
                <w:sz w:val="18"/>
                <w:szCs w:val="18"/>
              </w:rPr>
              <w:t xml:space="preserve">It has been accredited that those involved suffered harm in the form of the violations of the rights to family, the truth, (and) to effective judicial recourse,  for which reason the State shall  furnish a measure of satisfaction designed to restore the dignity, honor, good name and reputation of the </w:t>
            </w:r>
            <w:proofErr w:type="spellStart"/>
            <w:r w:rsidRPr="00524435">
              <w:rPr>
                <w:rFonts w:ascii="Cambria" w:hAnsi="Cambria"/>
                <w:sz w:val="18"/>
                <w:szCs w:val="18"/>
              </w:rPr>
              <w:t>Giraldo</w:t>
            </w:r>
            <w:proofErr w:type="spellEnd"/>
            <w:r w:rsidRPr="00524435">
              <w:rPr>
                <w:rFonts w:ascii="Cambria" w:hAnsi="Cambria"/>
                <w:sz w:val="18"/>
                <w:szCs w:val="18"/>
              </w:rPr>
              <w:t xml:space="preserve"> </w:t>
            </w:r>
            <w:proofErr w:type="spellStart"/>
            <w:r w:rsidRPr="00524435">
              <w:rPr>
                <w:rFonts w:ascii="Cambria" w:hAnsi="Cambria"/>
                <w:sz w:val="18"/>
                <w:szCs w:val="18"/>
              </w:rPr>
              <w:t>Agudelo</w:t>
            </w:r>
            <w:proofErr w:type="spellEnd"/>
            <w:r w:rsidRPr="00524435">
              <w:rPr>
                <w:rFonts w:ascii="Cambria" w:hAnsi="Cambria"/>
                <w:sz w:val="18"/>
                <w:szCs w:val="18"/>
              </w:rPr>
              <w:t xml:space="preserve"> family and, accordingly, shall agree to pay 100 legal minimum monthly wages (SMLMV) to each member of Mr. German Eduardo </w:t>
            </w:r>
            <w:proofErr w:type="spellStart"/>
            <w:r w:rsidRPr="00524435">
              <w:rPr>
                <w:rFonts w:ascii="Cambria" w:hAnsi="Cambria"/>
                <w:sz w:val="18"/>
                <w:szCs w:val="18"/>
              </w:rPr>
              <w:t>Giraldo's</w:t>
            </w:r>
            <w:proofErr w:type="spellEnd"/>
            <w:r w:rsidRPr="00524435">
              <w:rPr>
                <w:rFonts w:ascii="Cambria" w:hAnsi="Cambria"/>
                <w:sz w:val="18"/>
                <w:szCs w:val="18"/>
              </w:rPr>
              <w:t xml:space="preserve"> immediate nuclear family, that is to say, to his spouse and relatives up to the first degree of consanguinity, and 50 SMLMV to each of his three (3) siblings. The </w:t>
            </w:r>
            <w:proofErr w:type="gramStart"/>
            <w:r w:rsidRPr="00524435">
              <w:rPr>
                <w:rFonts w:ascii="Cambria" w:hAnsi="Cambria"/>
                <w:sz w:val="18"/>
                <w:szCs w:val="18"/>
              </w:rPr>
              <w:t>aforementioned amounts</w:t>
            </w:r>
            <w:proofErr w:type="gramEnd"/>
            <w:r w:rsidRPr="00524435">
              <w:rPr>
                <w:rFonts w:ascii="Cambria" w:hAnsi="Cambria"/>
                <w:sz w:val="18"/>
                <w:szCs w:val="18"/>
              </w:rPr>
              <w:t xml:space="preserve"> shall be subject to approval by the Public Prosecutors' Office (</w:t>
            </w:r>
            <w:proofErr w:type="spellStart"/>
            <w:r w:rsidRPr="00524435">
              <w:rPr>
                <w:rFonts w:ascii="Cambria" w:hAnsi="Cambria"/>
                <w:i/>
                <w:sz w:val="18"/>
                <w:szCs w:val="18"/>
              </w:rPr>
              <w:t>Ministerio</w:t>
            </w:r>
            <w:proofErr w:type="spellEnd"/>
            <w:r w:rsidRPr="00524435">
              <w:rPr>
                <w:rFonts w:ascii="Cambria" w:hAnsi="Cambria"/>
                <w:i/>
                <w:sz w:val="18"/>
                <w:szCs w:val="18"/>
              </w:rPr>
              <w:t xml:space="preserve"> </w:t>
            </w:r>
            <w:proofErr w:type="spellStart"/>
            <w:r w:rsidRPr="00524435">
              <w:rPr>
                <w:rFonts w:ascii="Cambria" w:hAnsi="Cambria"/>
                <w:i/>
                <w:sz w:val="18"/>
                <w:szCs w:val="18"/>
              </w:rPr>
              <w:t>Público</w:t>
            </w:r>
            <w:proofErr w:type="spellEnd"/>
            <w:r w:rsidRPr="00524435">
              <w:rPr>
                <w:rFonts w:ascii="Cambria" w:hAnsi="Cambria"/>
                <w:sz w:val="18"/>
                <w:szCs w:val="18"/>
              </w:rPr>
              <w:t>) and the corresponding judicial oversight, in accordance with the internal regulations in effect.</w:t>
            </w:r>
          </w:p>
        </w:tc>
        <w:tc>
          <w:tcPr>
            <w:tcW w:w="1440" w:type="dxa"/>
            <w:gridSpan w:val="2"/>
            <w:shd w:val="clear" w:color="auto" w:fill="auto"/>
            <w:tcMar>
              <w:top w:w="0" w:type="dxa"/>
              <w:left w:w="108" w:type="dxa"/>
              <w:bottom w:w="0" w:type="dxa"/>
              <w:right w:w="108" w:type="dxa"/>
            </w:tcMar>
            <w:vAlign w:val="center"/>
          </w:tcPr>
          <w:p w14:paraId="7BD002D5"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Partial 2021</w:t>
            </w:r>
          </w:p>
        </w:tc>
      </w:tr>
      <w:tr w:rsidR="007E31E3" w:rsidRPr="00524435" w14:paraId="7420C1FC" w14:textId="77777777" w:rsidTr="00820229">
        <w:tc>
          <w:tcPr>
            <w:tcW w:w="562" w:type="dxa"/>
            <w:shd w:val="clear" w:color="auto" w:fill="D9D9D9" w:themeFill="background1" w:themeFillShade="D9"/>
            <w:tcMar>
              <w:top w:w="0" w:type="dxa"/>
              <w:left w:w="108" w:type="dxa"/>
              <w:bottom w:w="0" w:type="dxa"/>
              <w:right w:w="108" w:type="dxa"/>
            </w:tcMar>
            <w:vAlign w:val="center"/>
          </w:tcPr>
          <w:p w14:paraId="694D8BE1"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val="restart"/>
            <w:shd w:val="clear" w:color="auto" w:fill="D9D9D9" w:themeFill="background1" w:themeFillShade="D9"/>
            <w:vAlign w:val="center"/>
          </w:tcPr>
          <w:p w14:paraId="5EFC23C2"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 xml:space="preserve">Case 13.728, Report No.21/20, Amira Guzmán de </w:t>
            </w:r>
            <w:proofErr w:type="gramStart"/>
            <w:r w:rsidRPr="00524435">
              <w:rPr>
                <w:rFonts w:ascii="Cambria" w:hAnsi="Cambria"/>
                <w:b/>
                <w:sz w:val="18"/>
                <w:szCs w:val="18"/>
              </w:rPr>
              <w:t>Alonso</w:t>
            </w:r>
            <w:proofErr w:type="gramEnd"/>
            <w:r w:rsidRPr="00524435">
              <w:rPr>
                <w:rFonts w:ascii="Cambria" w:hAnsi="Cambria"/>
                <w:b/>
                <w:sz w:val="18"/>
                <w:szCs w:val="18"/>
              </w:rPr>
              <w:t xml:space="preserve"> and </w:t>
            </w:r>
            <w:r w:rsidRPr="00524435">
              <w:rPr>
                <w:rFonts w:ascii="Cambria" w:hAnsi="Cambria"/>
                <w:b/>
                <w:sz w:val="18"/>
                <w:szCs w:val="18"/>
              </w:rPr>
              <w:lastRenderedPageBreak/>
              <w:t>Family</w:t>
            </w:r>
            <w:r w:rsidRPr="00524435">
              <w:rPr>
                <w:rFonts w:ascii="Cambria" w:hAnsi="Cambria"/>
                <w:b/>
                <w:sz w:val="18"/>
                <w:szCs w:val="18"/>
              </w:rPr>
              <w:br/>
              <w:t xml:space="preserve"> (Colombia)</w:t>
            </w:r>
          </w:p>
        </w:tc>
        <w:tc>
          <w:tcPr>
            <w:tcW w:w="1081" w:type="dxa"/>
            <w:shd w:val="clear" w:color="auto" w:fill="D9D9D9" w:themeFill="background1" w:themeFillShade="D9"/>
            <w:tcMar>
              <w:top w:w="0" w:type="dxa"/>
              <w:left w:w="108" w:type="dxa"/>
              <w:bottom w:w="0" w:type="dxa"/>
              <w:right w:w="108" w:type="dxa"/>
            </w:tcMar>
            <w:vAlign w:val="center"/>
          </w:tcPr>
          <w:p w14:paraId="09F4AE55" w14:textId="77777777" w:rsidR="007E31E3" w:rsidRPr="00524435" w:rsidRDefault="007E31E3" w:rsidP="00820229">
            <w:pPr>
              <w:jc w:val="center"/>
              <w:rPr>
                <w:rFonts w:ascii="Cambria" w:hAnsi="Cambria"/>
                <w:sz w:val="18"/>
                <w:szCs w:val="18"/>
              </w:rPr>
            </w:pPr>
            <w:r w:rsidRPr="00524435">
              <w:rPr>
                <w:rFonts w:ascii="Cambria" w:hAnsi="Cambria"/>
                <w:sz w:val="18"/>
                <w:szCs w:val="18"/>
              </w:rPr>
              <w:lastRenderedPageBreak/>
              <w:t>Structural</w:t>
            </w:r>
          </w:p>
        </w:tc>
        <w:tc>
          <w:tcPr>
            <w:tcW w:w="5304" w:type="dxa"/>
            <w:gridSpan w:val="2"/>
            <w:shd w:val="clear" w:color="auto" w:fill="D9D9D9" w:themeFill="background1" w:themeFillShade="D9"/>
            <w:tcMar>
              <w:top w:w="0" w:type="dxa"/>
              <w:left w:w="108" w:type="dxa"/>
              <w:bottom w:w="0" w:type="dxa"/>
              <w:right w:w="108" w:type="dxa"/>
            </w:tcMar>
            <w:vAlign w:val="center"/>
          </w:tcPr>
          <w:p w14:paraId="0AD0B917" w14:textId="77777777" w:rsidR="007E31E3" w:rsidRPr="00524435" w:rsidRDefault="007E31E3" w:rsidP="00820229">
            <w:pPr>
              <w:contextualSpacing/>
              <w:jc w:val="both"/>
              <w:rPr>
                <w:rFonts w:ascii="Cambria" w:eastAsia="Batang" w:hAnsi="Cambria" w:cs="Calibri Light"/>
                <w:b/>
                <w:bCs/>
                <w:color w:val="000000"/>
                <w:sz w:val="18"/>
                <w:szCs w:val="18"/>
              </w:rPr>
            </w:pPr>
            <w:r w:rsidRPr="00524435">
              <w:rPr>
                <w:rFonts w:ascii="Cambria" w:eastAsia="Batang" w:hAnsi="Cambria" w:cs="Calibri Light"/>
                <w:b/>
                <w:bCs/>
                <w:color w:val="000000"/>
                <w:sz w:val="18"/>
                <w:szCs w:val="18"/>
              </w:rPr>
              <w:t xml:space="preserve">Clause 3. C. </w:t>
            </w:r>
            <w:r w:rsidRPr="00524435">
              <w:rPr>
                <w:rFonts w:ascii="Cambria" w:hAnsi="Cambria"/>
                <w:b/>
                <w:sz w:val="18"/>
                <w:szCs w:val="18"/>
              </w:rPr>
              <w:t>Publication of the facts</w:t>
            </w:r>
            <w:r w:rsidRPr="00524435">
              <w:rPr>
                <w:rFonts w:ascii="Cambria" w:eastAsia="Batang" w:hAnsi="Cambria" w:cs="Calibri Light"/>
                <w:b/>
                <w:bCs/>
                <w:color w:val="000000"/>
                <w:sz w:val="18"/>
                <w:szCs w:val="18"/>
              </w:rPr>
              <w:t xml:space="preserve">: </w:t>
            </w:r>
            <w:r w:rsidRPr="00524435">
              <w:rPr>
                <w:rFonts w:ascii="Cambria" w:hAnsi="Cambria"/>
                <w:sz w:val="18"/>
                <w:szCs w:val="18"/>
              </w:rPr>
              <w:t>The Colombian State commits to posting the report issued by the Inter-American Commission on Human Rights pursuant to Article 49 of the American Convention that approves the final friendly settlement agreement on the web pages of the Offices of the Presidential Advisor for Human Rights and International Affairs and the National Legal Defense Agency of the State.</w:t>
            </w:r>
          </w:p>
        </w:tc>
        <w:tc>
          <w:tcPr>
            <w:tcW w:w="1440" w:type="dxa"/>
            <w:gridSpan w:val="2"/>
            <w:shd w:val="clear" w:color="auto" w:fill="D9D9D9" w:themeFill="background1" w:themeFillShade="D9"/>
            <w:tcMar>
              <w:top w:w="0" w:type="dxa"/>
              <w:left w:w="108" w:type="dxa"/>
              <w:bottom w:w="0" w:type="dxa"/>
              <w:right w:w="108" w:type="dxa"/>
            </w:tcMar>
            <w:vAlign w:val="center"/>
          </w:tcPr>
          <w:p w14:paraId="04596267"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7A4023B8" w14:textId="77777777" w:rsidTr="00820229">
        <w:tc>
          <w:tcPr>
            <w:tcW w:w="562" w:type="dxa"/>
            <w:shd w:val="clear" w:color="auto" w:fill="D9D9D9" w:themeFill="background1" w:themeFillShade="D9"/>
            <w:tcMar>
              <w:top w:w="0" w:type="dxa"/>
              <w:left w:w="108" w:type="dxa"/>
              <w:bottom w:w="0" w:type="dxa"/>
              <w:right w:w="108" w:type="dxa"/>
            </w:tcMar>
            <w:vAlign w:val="center"/>
          </w:tcPr>
          <w:p w14:paraId="27BEE612"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618D0E63"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7B6DE199"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4174B187" w14:textId="77777777" w:rsidR="007E31E3" w:rsidRPr="00524435" w:rsidRDefault="007E31E3" w:rsidP="00820229">
            <w:pPr>
              <w:contextualSpacing/>
              <w:jc w:val="both"/>
              <w:rPr>
                <w:rFonts w:ascii="Cambria" w:eastAsia="Batang" w:hAnsi="Cambria" w:cs="Calibri Light"/>
                <w:b/>
                <w:bCs/>
                <w:color w:val="000000"/>
                <w:sz w:val="18"/>
                <w:szCs w:val="18"/>
              </w:rPr>
            </w:pPr>
            <w:r w:rsidRPr="00524435">
              <w:rPr>
                <w:rFonts w:ascii="Cambria" w:eastAsia="Batang" w:hAnsi="Cambria" w:cs="Calibri Light"/>
                <w:b/>
                <w:bCs/>
                <w:color w:val="000000"/>
                <w:sz w:val="18"/>
                <w:szCs w:val="18"/>
              </w:rPr>
              <w:t xml:space="preserve">Clause 4. Economic compensation: </w:t>
            </w:r>
            <w:r w:rsidRPr="00524435">
              <w:rPr>
                <w:rFonts w:ascii="Cambria" w:hAnsi="Cambria"/>
                <w:sz w:val="18"/>
                <w:szCs w:val="18"/>
              </w:rPr>
              <w:t>The State commits to applying Law 288 of 1996 once the present Friendly Settlement Agreement is approved by issuance of the report envisaged in Article 49 of the American Convention on Human Rights, its purpose being to provide reparation for such material and immaterial injuries as may be proven in favor of the victims' relatives that have not received compensation in the administrative jurisdiction, or, if they have, discounting the amounts recognized for administrative reparation. To that end, recourse shall be had to the criteria and amounts recognized in current Council of State case law.</w:t>
            </w:r>
          </w:p>
        </w:tc>
        <w:tc>
          <w:tcPr>
            <w:tcW w:w="1440" w:type="dxa"/>
            <w:gridSpan w:val="2"/>
            <w:shd w:val="clear" w:color="auto" w:fill="D9D9D9" w:themeFill="background1" w:themeFillShade="D9"/>
            <w:tcMar>
              <w:top w:w="0" w:type="dxa"/>
              <w:left w:w="108" w:type="dxa"/>
              <w:bottom w:w="0" w:type="dxa"/>
              <w:right w:w="108" w:type="dxa"/>
            </w:tcMar>
            <w:vAlign w:val="center"/>
          </w:tcPr>
          <w:p w14:paraId="34CB6721"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Partial 2021</w:t>
            </w:r>
          </w:p>
        </w:tc>
      </w:tr>
      <w:tr w:rsidR="007E31E3" w:rsidRPr="00524435" w14:paraId="7E4AE6B5" w14:textId="77777777" w:rsidTr="00820229">
        <w:tc>
          <w:tcPr>
            <w:tcW w:w="562" w:type="dxa"/>
            <w:shd w:val="clear" w:color="auto" w:fill="auto"/>
            <w:tcMar>
              <w:top w:w="0" w:type="dxa"/>
              <w:left w:w="108" w:type="dxa"/>
              <w:bottom w:w="0" w:type="dxa"/>
              <w:right w:w="108" w:type="dxa"/>
            </w:tcMar>
            <w:vAlign w:val="center"/>
          </w:tcPr>
          <w:p w14:paraId="09A735AB"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val="restart"/>
            <w:shd w:val="clear" w:color="auto" w:fill="auto"/>
            <w:vAlign w:val="center"/>
          </w:tcPr>
          <w:p w14:paraId="6EC2A348" w14:textId="77777777" w:rsidR="007E31E3" w:rsidRPr="00E42B49" w:rsidRDefault="007E31E3" w:rsidP="00820229">
            <w:pPr>
              <w:jc w:val="center"/>
              <w:rPr>
                <w:rFonts w:ascii="Cambria" w:hAnsi="Cambria"/>
                <w:b/>
                <w:sz w:val="18"/>
                <w:szCs w:val="18"/>
                <w:lang w:val="es-US"/>
              </w:rPr>
            </w:pPr>
            <w:r w:rsidRPr="00E42B49">
              <w:rPr>
                <w:rFonts w:ascii="Cambria" w:hAnsi="Cambria"/>
                <w:b/>
                <w:sz w:val="18"/>
                <w:szCs w:val="18"/>
                <w:lang w:val="es-US"/>
              </w:rPr>
              <w:t xml:space="preserve">Case 12.909, </w:t>
            </w:r>
            <w:proofErr w:type="spellStart"/>
            <w:r w:rsidRPr="00E42B49">
              <w:rPr>
                <w:rFonts w:ascii="Cambria" w:hAnsi="Cambria"/>
                <w:b/>
                <w:sz w:val="18"/>
                <w:szCs w:val="18"/>
                <w:lang w:val="es-US"/>
              </w:rPr>
              <w:t>Report</w:t>
            </w:r>
            <w:proofErr w:type="spellEnd"/>
            <w:r w:rsidRPr="00E42B49">
              <w:rPr>
                <w:rFonts w:ascii="Cambria" w:hAnsi="Cambria"/>
                <w:b/>
                <w:sz w:val="18"/>
                <w:szCs w:val="18"/>
                <w:lang w:val="es-US"/>
              </w:rPr>
              <w:t xml:space="preserve"> No.22/20, Gerardo Bedoya Borrero</w:t>
            </w:r>
            <w:r w:rsidRPr="00E42B49">
              <w:rPr>
                <w:rFonts w:ascii="Cambria" w:hAnsi="Cambria"/>
                <w:b/>
                <w:sz w:val="18"/>
                <w:szCs w:val="18"/>
                <w:lang w:val="es-US"/>
              </w:rPr>
              <w:br/>
              <w:t xml:space="preserve"> (Colombia)</w:t>
            </w:r>
          </w:p>
        </w:tc>
        <w:tc>
          <w:tcPr>
            <w:tcW w:w="1081" w:type="dxa"/>
            <w:shd w:val="clear" w:color="auto" w:fill="auto"/>
            <w:tcMar>
              <w:top w:w="0" w:type="dxa"/>
              <w:left w:w="108" w:type="dxa"/>
              <w:bottom w:w="0" w:type="dxa"/>
              <w:right w:w="108" w:type="dxa"/>
            </w:tcMar>
            <w:vAlign w:val="center"/>
          </w:tcPr>
          <w:p w14:paraId="3BFEE9E8"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auto"/>
            <w:tcMar>
              <w:top w:w="0" w:type="dxa"/>
              <w:left w:w="108" w:type="dxa"/>
              <w:bottom w:w="0" w:type="dxa"/>
              <w:right w:w="108" w:type="dxa"/>
            </w:tcMar>
            <w:vAlign w:val="center"/>
          </w:tcPr>
          <w:p w14:paraId="3D6040B9" w14:textId="77777777" w:rsidR="007E31E3" w:rsidRPr="00524435" w:rsidRDefault="007E31E3" w:rsidP="00820229">
            <w:pPr>
              <w:contextualSpacing/>
              <w:jc w:val="both"/>
              <w:rPr>
                <w:rFonts w:ascii="Cambria" w:eastAsia="Batang" w:hAnsi="Cambria" w:cs="Calibri Light"/>
                <w:b/>
                <w:bCs/>
                <w:color w:val="000000"/>
                <w:sz w:val="18"/>
                <w:szCs w:val="18"/>
              </w:rPr>
            </w:pPr>
            <w:r w:rsidRPr="00524435">
              <w:rPr>
                <w:rFonts w:ascii="Cambria" w:eastAsia="Batang" w:hAnsi="Cambria" w:cs="Calibri Light"/>
                <w:b/>
                <w:bCs/>
                <w:color w:val="000000"/>
                <w:sz w:val="18"/>
                <w:szCs w:val="18"/>
              </w:rPr>
              <w:t xml:space="preserve">Clause 3. E. </w:t>
            </w:r>
            <w:r w:rsidRPr="00524435">
              <w:rPr>
                <w:rFonts w:ascii="Cambria" w:hAnsi="Cambria"/>
                <w:b/>
                <w:sz w:val="18"/>
                <w:szCs w:val="18"/>
              </w:rPr>
              <w:t>Establishment of the Honor Award in tribute to Gerardo Bedoya Borrero</w:t>
            </w:r>
            <w:r w:rsidRPr="00524435">
              <w:rPr>
                <w:rFonts w:ascii="Cambria" w:hAnsi="Cambria"/>
                <w:sz w:val="18"/>
                <w:szCs w:val="18"/>
              </w:rPr>
              <w:t>: To honor the memory of journalist Gerardo Bedoya Borrero, each year the National Ministry of Education shall grant the Gerardo Bedoya Honor Award, at the "Night of the Best" ceremony to the student scoring the highest marks in the Professional Knowledge (Saber Pro) exams in the journalism and social communication program. This Honor Award shall not entail additional financial support or allowances.</w:t>
            </w:r>
          </w:p>
        </w:tc>
        <w:tc>
          <w:tcPr>
            <w:tcW w:w="1440" w:type="dxa"/>
            <w:gridSpan w:val="2"/>
            <w:shd w:val="clear" w:color="auto" w:fill="auto"/>
            <w:tcMar>
              <w:top w:w="0" w:type="dxa"/>
              <w:left w:w="108" w:type="dxa"/>
              <w:bottom w:w="0" w:type="dxa"/>
              <w:right w:w="108" w:type="dxa"/>
            </w:tcMar>
            <w:vAlign w:val="center"/>
          </w:tcPr>
          <w:p w14:paraId="309FD213"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27EE3D2C" w14:textId="77777777" w:rsidTr="00820229">
        <w:tc>
          <w:tcPr>
            <w:tcW w:w="562" w:type="dxa"/>
            <w:shd w:val="clear" w:color="auto" w:fill="auto"/>
            <w:tcMar>
              <w:top w:w="0" w:type="dxa"/>
              <w:left w:w="108" w:type="dxa"/>
              <w:bottom w:w="0" w:type="dxa"/>
              <w:right w:w="108" w:type="dxa"/>
            </w:tcMar>
            <w:vAlign w:val="center"/>
          </w:tcPr>
          <w:p w14:paraId="1A81BCB8"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vAlign w:val="center"/>
          </w:tcPr>
          <w:p w14:paraId="7E31A832" w14:textId="77777777" w:rsidR="007E31E3" w:rsidRPr="00524435" w:rsidRDefault="007E31E3" w:rsidP="00820229">
            <w:pPr>
              <w:jc w:val="center"/>
              <w:rPr>
                <w:rFonts w:ascii="Cambria" w:hAnsi="Cambria"/>
                <w:b/>
                <w:sz w:val="18"/>
                <w:szCs w:val="18"/>
              </w:rPr>
            </w:pPr>
          </w:p>
        </w:tc>
        <w:tc>
          <w:tcPr>
            <w:tcW w:w="1081" w:type="dxa"/>
            <w:shd w:val="clear" w:color="auto" w:fill="auto"/>
            <w:tcMar>
              <w:top w:w="0" w:type="dxa"/>
              <w:left w:w="108" w:type="dxa"/>
              <w:bottom w:w="0" w:type="dxa"/>
              <w:right w:w="108" w:type="dxa"/>
            </w:tcMar>
            <w:vAlign w:val="center"/>
          </w:tcPr>
          <w:p w14:paraId="520E7FB2"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auto"/>
            <w:tcMar>
              <w:top w:w="0" w:type="dxa"/>
              <w:left w:w="108" w:type="dxa"/>
              <w:bottom w:w="0" w:type="dxa"/>
              <w:right w:w="108" w:type="dxa"/>
            </w:tcMar>
            <w:vAlign w:val="center"/>
          </w:tcPr>
          <w:p w14:paraId="1145C17C" w14:textId="77777777" w:rsidR="007E31E3" w:rsidRPr="00524435" w:rsidRDefault="007E31E3" w:rsidP="00820229">
            <w:pPr>
              <w:contextualSpacing/>
              <w:jc w:val="both"/>
              <w:rPr>
                <w:rFonts w:ascii="Cambria" w:eastAsia="Batang" w:hAnsi="Cambria" w:cs="Calibri Light"/>
                <w:b/>
                <w:bCs/>
                <w:color w:val="000000"/>
                <w:sz w:val="18"/>
                <w:szCs w:val="18"/>
              </w:rPr>
            </w:pPr>
            <w:r w:rsidRPr="00524435">
              <w:rPr>
                <w:rFonts w:ascii="Cambria" w:eastAsia="Batang" w:hAnsi="Cambria" w:cs="Calibri Light"/>
                <w:b/>
                <w:bCs/>
                <w:color w:val="000000"/>
                <w:sz w:val="18"/>
                <w:szCs w:val="18"/>
              </w:rPr>
              <w:t xml:space="preserve">Clause 3. F. </w:t>
            </w:r>
            <w:r w:rsidRPr="00524435">
              <w:rPr>
                <w:rFonts w:ascii="Cambria" w:hAnsi="Cambria"/>
                <w:b/>
                <w:sz w:val="18"/>
                <w:szCs w:val="18"/>
              </w:rPr>
              <w:t>Publication of the facts:</w:t>
            </w:r>
            <w:r w:rsidRPr="00524435">
              <w:rPr>
                <w:rFonts w:ascii="Cambria" w:hAnsi="Cambria"/>
                <w:sz w:val="18"/>
                <w:szCs w:val="18"/>
              </w:rPr>
              <w:t xml:space="preserve"> The Colombian State commits to posting the report issued by the Inter-American Commission on Human Rights pursuant to Article 49 of the American Convention that approves the final friendly settlement agreement on the web pages of the Offices of the Presidential Advisor for Human Rights and International Affairs and the National Legal Defense Agency of the State.</w:t>
            </w:r>
          </w:p>
        </w:tc>
        <w:tc>
          <w:tcPr>
            <w:tcW w:w="1440" w:type="dxa"/>
            <w:gridSpan w:val="2"/>
            <w:shd w:val="clear" w:color="auto" w:fill="auto"/>
            <w:tcMar>
              <w:top w:w="0" w:type="dxa"/>
              <w:left w:w="108" w:type="dxa"/>
              <w:bottom w:w="0" w:type="dxa"/>
              <w:right w:w="108" w:type="dxa"/>
            </w:tcMar>
            <w:vAlign w:val="center"/>
          </w:tcPr>
          <w:p w14:paraId="3C1C6227"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162985CE" w14:textId="77777777" w:rsidTr="00820229">
        <w:tc>
          <w:tcPr>
            <w:tcW w:w="562" w:type="dxa"/>
            <w:shd w:val="clear" w:color="auto" w:fill="D9D9D9" w:themeFill="background1" w:themeFillShade="D9"/>
            <w:tcMar>
              <w:top w:w="0" w:type="dxa"/>
              <w:left w:w="108" w:type="dxa"/>
              <w:bottom w:w="0" w:type="dxa"/>
              <w:right w:w="108" w:type="dxa"/>
            </w:tcMar>
            <w:vAlign w:val="center"/>
          </w:tcPr>
          <w:p w14:paraId="79AD9400"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val="restart"/>
            <w:shd w:val="clear" w:color="auto" w:fill="D9D9D9" w:themeFill="background1" w:themeFillShade="D9"/>
            <w:vAlign w:val="center"/>
          </w:tcPr>
          <w:p w14:paraId="1313CE19" w14:textId="77777777" w:rsidR="007E31E3" w:rsidRPr="00E42B49" w:rsidRDefault="007E31E3" w:rsidP="00820229">
            <w:pPr>
              <w:jc w:val="center"/>
              <w:rPr>
                <w:rFonts w:ascii="Cambria" w:hAnsi="Cambria"/>
                <w:b/>
                <w:sz w:val="18"/>
                <w:szCs w:val="18"/>
                <w:lang w:val="es-US"/>
              </w:rPr>
            </w:pPr>
            <w:r w:rsidRPr="00E42B49">
              <w:rPr>
                <w:rFonts w:ascii="Cambria" w:hAnsi="Cambria"/>
                <w:b/>
                <w:sz w:val="18"/>
                <w:szCs w:val="18"/>
                <w:lang w:val="es-US"/>
              </w:rPr>
              <w:t xml:space="preserve">Case 13.370, </w:t>
            </w:r>
            <w:proofErr w:type="spellStart"/>
            <w:r w:rsidRPr="00E42B49">
              <w:rPr>
                <w:rFonts w:ascii="Cambria" w:hAnsi="Cambria"/>
                <w:b/>
                <w:sz w:val="18"/>
                <w:szCs w:val="18"/>
                <w:lang w:val="es-US"/>
              </w:rPr>
              <w:t>Report</w:t>
            </w:r>
            <w:proofErr w:type="spellEnd"/>
            <w:r w:rsidRPr="00E42B49">
              <w:rPr>
                <w:rFonts w:ascii="Cambria" w:hAnsi="Cambria"/>
                <w:b/>
                <w:sz w:val="18"/>
                <w:szCs w:val="18"/>
                <w:lang w:val="es-US"/>
              </w:rPr>
              <w:t xml:space="preserve"> No.80/20, Luis Horacio Patiño and </w:t>
            </w:r>
            <w:proofErr w:type="spellStart"/>
            <w:r w:rsidRPr="00E42B49">
              <w:rPr>
                <w:rFonts w:ascii="Cambria" w:hAnsi="Cambria"/>
                <w:b/>
                <w:sz w:val="18"/>
                <w:szCs w:val="18"/>
                <w:lang w:val="es-US"/>
              </w:rPr>
              <w:t>Family</w:t>
            </w:r>
            <w:proofErr w:type="spellEnd"/>
            <w:r w:rsidRPr="00E42B49">
              <w:rPr>
                <w:rFonts w:ascii="Cambria" w:hAnsi="Cambria"/>
                <w:b/>
                <w:sz w:val="18"/>
                <w:szCs w:val="18"/>
                <w:lang w:val="es-US"/>
              </w:rPr>
              <w:t xml:space="preserve"> </w:t>
            </w:r>
            <w:r w:rsidRPr="00E42B49">
              <w:rPr>
                <w:rFonts w:ascii="Cambria" w:hAnsi="Cambria"/>
                <w:b/>
                <w:sz w:val="18"/>
                <w:szCs w:val="18"/>
                <w:lang w:val="es-US"/>
              </w:rPr>
              <w:br/>
              <w:t xml:space="preserve"> (Colombia)</w:t>
            </w:r>
          </w:p>
        </w:tc>
        <w:tc>
          <w:tcPr>
            <w:tcW w:w="1081" w:type="dxa"/>
            <w:shd w:val="clear" w:color="auto" w:fill="D9D9D9" w:themeFill="background1" w:themeFillShade="D9"/>
            <w:tcMar>
              <w:top w:w="0" w:type="dxa"/>
              <w:left w:w="108" w:type="dxa"/>
              <w:bottom w:w="0" w:type="dxa"/>
              <w:right w:w="108" w:type="dxa"/>
            </w:tcMar>
            <w:vAlign w:val="center"/>
          </w:tcPr>
          <w:p w14:paraId="79D63F90"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2B517724" w14:textId="77777777" w:rsidR="007E31E3" w:rsidRPr="00524435" w:rsidRDefault="007E31E3" w:rsidP="00820229">
            <w:pPr>
              <w:ind w:right="72"/>
              <w:jc w:val="both"/>
              <w:rPr>
                <w:rFonts w:ascii="Cambria" w:eastAsia="Batang" w:hAnsi="Cambria" w:cs="Calibri Light"/>
                <w:b/>
                <w:bCs/>
                <w:color w:val="000000"/>
                <w:sz w:val="18"/>
                <w:szCs w:val="18"/>
              </w:rPr>
            </w:pPr>
            <w:r w:rsidRPr="00524435">
              <w:rPr>
                <w:rFonts w:ascii="Cambria" w:eastAsia="Batang" w:hAnsi="Cambria" w:cs="Calibri Light"/>
                <w:b/>
                <w:bCs/>
                <w:color w:val="000000"/>
                <w:sz w:val="18"/>
                <w:szCs w:val="18"/>
              </w:rPr>
              <w:t xml:space="preserve">Clause 2. B. Making of banners: </w:t>
            </w:r>
            <w:r w:rsidRPr="00524435">
              <w:rPr>
                <w:rFonts w:ascii="Cambria" w:hAnsi="Cambria"/>
                <w:sz w:val="18"/>
                <w:szCs w:val="18"/>
              </w:rPr>
              <w:t xml:space="preserve">The National Penitentiary and Prison Institute (INPEC) shall have banners made measuring 1.5 x 2.0 meters, bearing the photograph of Mr. Luis Horacio </w:t>
            </w:r>
            <w:proofErr w:type="spellStart"/>
            <w:r w:rsidRPr="00524435">
              <w:rPr>
                <w:rFonts w:ascii="Cambria" w:hAnsi="Cambria"/>
                <w:sz w:val="18"/>
                <w:szCs w:val="18"/>
              </w:rPr>
              <w:t>Patiño</w:t>
            </w:r>
            <w:proofErr w:type="spellEnd"/>
            <w:r w:rsidRPr="00524435">
              <w:rPr>
                <w:rFonts w:ascii="Cambria" w:hAnsi="Cambria"/>
                <w:sz w:val="18"/>
                <w:szCs w:val="18"/>
              </w:rPr>
              <w:t xml:space="preserve"> </w:t>
            </w:r>
            <w:proofErr w:type="spellStart"/>
            <w:r w:rsidRPr="00524435">
              <w:rPr>
                <w:rFonts w:ascii="Cambria" w:hAnsi="Cambria"/>
                <w:sz w:val="18"/>
                <w:szCs w:val="18"/>
              </w:rPr>
              <w:t>Agudelo</w:t>
            </w:r>
            <w:proofErr w:type="spellEnd"/>
            <w:r w:rsidRPr="00524435">
              <w:rPr>
                <w:rFonts w:ascii="Cambria" w:hAnsi="Cambria"/>
                <w:sz w:val="18"/>
                <w:szCs w:val="18"/>
              </w:rPr>
              <w:t xml:space="preserve"> and a brief biographical sketch. Which shall be hung in five of INPEC's second-generation national prison establishments.</w:t>
            </w:r>
          </w:p>
        </w:tc>
        <w:tc>
          <w:tcPr>
            <w:tcW w:w="1440" w:type="dxa"/>
            <w:gridSpan w:val="2"/>
            <w:shd w:val="clear" w:color="auto" w:fill="D9D9D9" w:themeFill="background1" w:themeFillShade="D9"/>
            <w:tcMar>
              <w:top w:w="0" w:type="dxa"/>
              <w:left w:w="108" w:type="dxa"/>
              <w:bottom w:w="0" w:type="dxa"/>
              <w:right w:w="108" w:type="dxa"/>
            </w:tcMar>
            <w:vAlign w:val="center"/>
          </w:tcPr>
          <w:p w14:paraId="6F54756B"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Partial 2021</w:t>
            </w:r>
          </w:p>
        </w:tc>
      </w:tr>
      <w:tr w:rsidR="007E31E3" w:rsidRPr="00524435" w14:paraId="1F1DB11D" w14:textId="77777777" w:rsidTr="00820229">
        <w:tc>
          <w:tcPr>
            <w:tcW w:w="562" w:type="dxa"/>
            <w:shd w:val="clear" w:color="auto" w:fill="D9D9D9" w:themeFill="background1" w:themeFillShade="D9"/>
            <w:tcMar>
              <w:top w:w="0" w:type="dxa"/>
              <w:left w:w="108" w:type="dxa"/>
              <w:bottom w:w="0" w:type="dxa"/>
              <w:right w:w="108" w:type="dxa"/>
            </w:tcMar>
            <w:vAlign w:val="center"/>
          </w:tcPr>
          <w:p w14:paraId="51FEF418"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3CE728C4"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0B13BE33"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D9D9D9" w:themeFill="background1" w:themeFillShade="D9"/>
            <w:tcMar>
              <w:top w:w="0" w:type="dxa"/>
              <w:left w:w="108" w:type="dxa"/>
              <w:bottom w:w="0" w:type="dxa"/>
              <w:right w:w="108" w:type="dxa"/>
            </w:tcMar>
            <w:vAlign w:val="center"/>
          </w:tcPr>
          <w:p w14:paraId="0F745996" w14:textId="77777777" w:rsidR="007E31E3" w:rsidRPr="00524435" w:rsidRDefault="007E31E3" w:rsidP="00820229">
            <w:pPr>
              <w:ind w:right="72"/>
              <w:jc w:val="both"/>
              <w:rPr>
                <w:rFonts w:ascii="Cambria" w:eastAsia="Batang" w:hAnsi="Cambria" w:cs="Calibri Light"/>
                <w:b/>
                <w:bCs/>
                <w:color w:val="000000"/>
                <w:sz w:val="18"/>
                <w:szCs w:val="18"/>
              </w:rPr>
            </w:pPr>
            <w:r w:rsidRPr="00524435">
              <w:rPr>
                <w:rFonts w:ascii="Cambria" w:eastAsia="Batang" w:hAnsi="Cambria" w:cs="Calibri Light"/>
                <w:b/>
                <w:bCs/>
                <w:color w:val="000000"/>
                <w:sz w:val="18"/>
                <w:szCs w:val="18"/>
              </w:rPr>
              <w:t xml:space="preserve">Clause 2. C. </w:t>
            </w:r>
            <w:r w:rsidRPr="00524435">
              <w:rPr>
                <w:rFonts w:ascii="Cambria" w:hAnsi="Cambria"/>
                <w:b/>
                <w:sz w:val="18"/>
                <w:szCs w:val="18"/>
              </w:rPr>
              <w:t xml:space="preserve">Publication of the facts. </w:t>
            </w:r>
            <w:r w:rsidRPr="00524435">
              <w:rPr>
                <w:rFonts w:ascii="Cambria" w:hAnsi="Cambria"/>
                <w:sz w:val="18"/>
                <w:szCs w:val="18"/>
              </w:rPr>
              <w:t>The Colombian State commits to posting the report issued by the Inter-American Commission on Human Rights pursuant to Article 49 of the American Convention that approves the final friendly settlement agreement on the web pages of the Offices of the National Penitentiary and Prison Institute (INPEC) and the National Legal Defense Agency of the State.</w:t>
            </w:r>
          </w:p>
        </w:tc>
        <w:tc>
          <w:tcPr>
            <w:tcW w:w="1440" w:type="dxa"/>
            <w:gridSpan w:val="2"/>
            <w:shd w:val="clear" w:color="auto" w:fill="D9D9D9" w:themeFill="background1" w:themeFillShade="D9"/>
            <w:tcMar>
              <w:top w:w="0" w:type="dxa"/>
              <w:left w:w="108" w:type="dxa"/>
              <w:bottom w:w="0" w:type="dxa"/>
              <w:right w:w="108" w:type="dxa"/>
            </w:tcMar>
            <w:vAlign w:val="center"/>
          </w:tcPr>
          <w:p w14:paraId="7D9D85A9"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16474ACC" w14:textId="77777777" w:rsidTr="00820229">
        <w:tc>
          <w:tcPr>
            <w:tcW w:w="562" w:type="dxa"/>
            <w:shd w:val="clear" w:color="auto" w:fill="D9D9D9" w:themeFill="background1" w:themeFillShade="D9"/>
            <w:tcMar>
              <w:top w:w="0" w:type="dxa"/>
              <w:left w:w="108" w:type="dxa"/>
              <w:bottom w:w="0" w:type="dxa"/>
              <w:right w:w="108" w:type="dxa"/>
            </w:tcMar>
            <w:vAlign w:val="center"/>
          </w:tcPr>
          <w:p w14:paraId="51205DCE"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61BB917C"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73C9203B"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D9D9D9" w:themeFill="background1" w:themeFillShade="D9"/>
            <w:tcMar>
              <w:top w:w="0" w:type="dxa"/>
              <w:left w:w="108" w:type="dxa"/>
              <w:bottom w:w="0" w:type="dxa"/>
              <w:right w:w="108" w:type="dxa"/>
            </w:tcMar>
            <w:vAlign w:val="center"/>
          </w:tcPr>
          <w:p w14:paraId="05E65DA4" w14:textId="77777777" w:rsidR="007E31E3" w:rsidRPr="00524435" w:rsidRDefault="007E31E3" w:rsidP="00820229">
            <w:pPr>
              <w:contextualSpacing/>
              <w:jc w:val="both"/>
              <w:rPr>
                <w:rFonts w:ascii="Cambria" w:eastAsia="Batang" w:hAnsi="Cambria" w:cs="Calibri Light"/>
                <w:b/>
                <w:bCs/>
                <w:color w:val="000000"/>
                <w:sz w:val="18"/>
                <w:szCs w:val="18"/>
              </w:rPr>
            </w:pPr>
            <w:r w:rsidRPr="00524435">
              <w:rPr>
                <w:rFonts w:ascii="Cambria" w:eastAsia="Batang" w:hAnsi="Cambria" w:cs="Calibri Light"/>
                <w:b/>
                <w:bCs/>
                <w:color w:val="000000"/>
                <w:sz w:val="18"/>
                <w:szCs w:val="18"/>
              </w:rPr>
              <w:t xml:space="preserve">Clause 3. Guarantees of non-repetition: </w:t>
            </w:r>
            <w:r w:rsidRPr="00524435">
              <w:rPr>
                <w:rFonts w:ascii="Cambria" w:hAnsi="Cambria"/>
                <w:sz w:val="18"/>
                <w:szCs w:val="18"/>
              </w:rPr>
              <w:t xml:space="preserve">Through the National Penitentiary and Prison Institute (INPEC), the State commits to include what happened on January 17, 1996 in the "El </w:t>
            </w:r>
            <w:proofErr w:type="spellStart"/>
            <w:r w:rsidRPr="00524435">
              <w:rPr>
                <w:rFonts w:ascii="Cambria" w:hAnsi="Cambria"/>
                <w:sz w:val="18"/>
                <w:szCs w:val="18"/>
              </w:rPr>
              <w:t>Barne</w:t>
            </w:r>
            <w:proofErr w:type="spellEnd"/>
            <w:r w:rsidRPr="00524435">
              <w:rPr>
                <w:rFonts w:ascii="Cambria" w:hAnsi="Cambria"/>
                <w:sz w:val="18"/>
                <w:szCs w:val="18"/>
              </w:rPr>
              <w:t>" National Penitentiary as a subject matter of a "lesson learned" exercise that will serve as a tool for evaluating and improving penitentiary services to be addressed in human rights training courses delivered by the National School of Penitentiary Studies [</w:t>
            </w:r>
            <w:r w:rsidRPr="00524435">
              <w:rPr>
                <w:rFonts w:ascii="Cambria" w:hAnsi="Cambria"/>
                <w:i/>
                <w:sz w:val="18"/>
                <w:szCs w:val="18"/>
              </w:rPr>
              <w:t xml:space="preserve">Escuela </w:t>
            </w:r>
            <w:proofErr w:type="spellStart"/>
            <w:r w:rsidRPr="00524435">
              <w:rPr>
                <w:rFonts w:ascii="Cambria" w:hAnsi="Cambria"/>
                <w:i/>
                <w:sz w:val="18"/>
                <w:szCs w:val="18"/>
              </w:rPr>
              <w:t>Penitenciaria</w:t>
            </w:r>
            <w:proofErr w:type="spellEnd"/>
            <w:r w:rsidRPr="00524435">
              <w:rPr>
                <w:rFonts w:ascii="Cambria" w:hAnsi="Cambria"/>
                <w:i/>
                <w:sz w:val="18"/>
                <w:szCs w:val="18"/>
              </w:rPr>
              <w:t xml:space="preserve"> Nacional </w:t>
            </w:r>
            <w:r w:rsidRPr="00524435">
              <w:rPr>
                <w:rFonts w:ascii="Cambria" w:hAnsi="Cambria"/>
                <w:sz w:val="18"/>
                <w:szCs w:val="18"/>
              </w:rPr>
              <w:t>in Spanish</w:t>
            </w:r>
            <w:proofErr w:type="gramStart"/>
            <w:r w:rsidRPr="00524435">
              <w:rPr>
                <w:rFonts w:ascii="Cambria" w:hAnsi="Cambria"/>
                <w:i/>
                <w:sz w:val="18"/>
                <w:szCs w:val="18"/>
              </w:rPr>
              <w:t>]</w:t>
            </w:r>
            <w:r w:rsidRPr="00524435">
              <w:rPr>
                <w:rFonts w:ascii="Cambria" w:hAnsi="Cambria"/>
                <w:sz w:val="18"/>
                <w:szCs w:val="18"/>
              </w:rPr>
              <w:t>..</w:t>
            </w:r>
            <w:proofErr w:type="gramEnd"/>
          </w:p>
        </w:tc>
        <w:tc>
          <w:tcPr>
            <w:tcW w:w="1440" w:type="dxa"/>
            <w:gridSpan w:val="2"/>
            <w:shd w:val="clear" w:color="auto" w:fill="D9D9D9" w:themeFill="background1" w:themeFillShade="D9"/>
            <w:tcMar>
              <w:top w:w="0" w:type="dxa"/>
              <w:left w:w="108" w:type="dxa"/>
              <w:bottom w:w="0" w:type="dxa"/>
              <w:right w:w="108" w:type="dxa"/>
            </w:tcMar>
            <w:vAlign w:val="center"/>
          </w:tcPr>
          <w:p w14:paraId="71A306C3"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Partial substantial 2021</w:t>
            </w:r>
          </w:p>
        </w:tc>
      </w:tr>
      <w:tr w:rsidR="007E31E3" w:rsidRPr="00524435" w14:paraId="78799F5D" w14:textId="77777777" w:rsidTr="00820229">
        <w:tc>
          <w:tcPr>
            <w:tcW w:w="562" w:type="dxa"/>
            <w:shd w:val="clear" w:color="auto" w:fill="auto"/>
            <w:tcMar>
              <w:top w:w="0" w:type="dxa"/>
              <w:left w:w="108" w:type="dxa"/>
              <w:bottom w:w="0" w:type="dxa"/>
              <w:right w:w="108" w:type="dxa"/>
            </w:tcMar>
            <w:vAlign w:val="center"/>
          </w:tcPr>
          <w:p w14:paraId="480D3393"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val="restart"/>
            <w:shd w:val="clear" w:color="auto" w:fill="auto"/>
            <w:vAlign w:val="center"/>
          </w:tcPr>
          <w:p w14:paraId="3D806279"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 xml:space="preserve">Petition 595/09, Report No.84/20, Jorge Alberto Montes Gallego and </w:t>
            </w:r>
            <w:r w:rsidRPr="00524435">
              <w:rPr>
                <w:rFonts w:ascii="Cambria" w:hAnsi="Cambria"/>
                <w:b/>
                <w:sz w:val="18"/>
                <w:szCs w:val="18"/>
              </w:rPr>
              <w:lastRenderedPageBreak/>
              <w:t xml:space="preserve">Family </w:t>
            </w:r>
            <w:r w:rsidRPr="00524435">
              <w:rPr>
                <w:rFonts w:ascii="Cambria" w:hAnsi="Cambria"/>
                <w:b/>
                <w:sz w:val="18"/>
                <w:szCs w:val="18"/>
              </w:rPr>
              <w:br/>
              <w:t xml:space="preserve"> (Colombia)</w:t>
            </w:r>
          </w:p>
        </w:tc>
        <w:tc>
          <w:tcPr>
            <w:tcW w:w="1081" w:type="dxa"/>
            <w:shd w:val="clear" w:color="auto" w:fill="auto"/>
            <w:tcMar>
              <w:top w:w="0" w:type="dxa"/>
              <w:left w:w="108" w:type="dxa"/>
              <w:bottom w:w="0" w:type="dxa"/>
              <w:right w:w="108" w:type="dxa"/>
            </w:tcMar>
            <w:vAlign w:val="center"/>
          </w:tcPr>
          <w:p w14:paraId="014E8E28" w14:textId="77777777" w:rsidR="007E31E3" w:rsidRPr="00524435" w:rsidRDefault="007E31E3" w:rsidP="00820229">
            <w:pPr>
              <w:jc w:val="center"/>
              <w:rPr>
                <w:rFonts w:ascii="Cambria" w:hAnsi="Cambria"/>
                <w:sz w:val="18"/>
                <w:szCs w:val="18"/>
              </w:rPr>
            </w:pPr>
            <w:r w:rsidRPr="00524435">
              <w:rPr>
                <w:rFonts w:ascii="Cambria" w:hAnsi="Cambria"/>
                <w:sz w:val="18"/>
                <w:szCs w:val="18"/>
              </w:rPr>
              <w:lastRenderedPageBreak/>
              <w:t>Individual</w:t>
            </w:r>
          </w:p>
        </w:tc>
        <w:tc>
          <w:tcPr>
            <w:tcW w:w="5304" w:type="dxa"/>
            <w:gridSpan w:val="2"/>
            <w:shd w:val="clear" w:color="auto" w:fill="auto"/>
            <w:tcMar>
              <w:top w:w="0" w:type="dxa"/>
              <w:left w:w="108" w:type="dxa"/>
              <w:bottom w:w="0" w:type="dxa"/>
              <w:right w:w="108" w:type="dxa"/>
            </w:tcMar>
            <w:vAlign w:val="center"/>
          </w:tcPr>
          <w:p w14:paraId="3DB051F9" w14:textId="77777777" w:rsidR="007E31E3" w:rsidRPr="00524435" w:rsidRDefault="007E31E3" w:rsidP="00820229">
            <w:pPr>
              <w:contextualSpacing/>
              <w:jc w:val="both"/>
              <w:rPr>
                <w:rFonts w:ascii="Cambria" w:eastAsia="Batang" w:hAnsi="Cambria" w:cs="Calibri Light"/>
                <w:b/>
                <w:bCs/>
                <w:color w:val="000000"/>
                <w:sz w:val="18"/>
                <w:szCs w:val="18"/>
              </w:rPr>
            </w:pPr>
            <w:r w:rsidRPr="00524435">
              <w:rPr>
                <w:rFonts w:ascii="Cambria" w:eastAsia="Batang" w:hAnsi="Cambria" w:cs="Calibri Light"/>
                <w:b/>
                <w:bCs/>
                <w:color w:val="000000"/>
                <w:sz w:val="18"/>
                <w:szCs w:val="18"/>
              </w:rPr>
              <w:t xml:space="preserve">Clause 2.1 Act of acknowledgment of responsibility: </w:t>
            </w:r>
            <w:r w:rsidRPr="00524435">
              <w:rPr>
                <w:rFonts w:ascii="Cambria" w:hAnsi="Cambria"/>
                <w:sz w:val="18"/>
                <w:szCs w:val="18"/>
              </w:rPr>
              <w:t>The State commits to conducting a private ceremony of Acknowledgment of Responsibility, during which it will deliver a letter of apology to the victim's family. The ceremony will be chaired by the Director General or the Director of the National Agency for International Legal Defense of the State and will be coordinated with the victims' representatives.</w:t>
            </w:r>
          </w:p>
        </w:tc>
        <w:tc>
          <w:tcPr>
            <w:tcW w:w="1440" w:type="dxa"/>
            <w:gridSpan w:val="2"/>
            <w:shd w:val="clear" w:color="auto" w:fill="auto"/>
            <w:tcMar>
              <w:top w:w="0" w:type="dxa"/>
              <w:left w:w="108" w:type="dxa"/>
              <w:bottom w:w="0" w:type="dxa"/>
              <w:right w:w="108" w:type="dxa"/>
            </w:tcMar>
            <w:vAlign w:val="center"/>
          </w:tcPr>
          <w:p w14:paraId="30459533"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73DD4120" w14:textId="77777777" w:rsidTr="00820229">
        <w:tc>
          <w:tcPr>
            <w:tcW w:w="562" w:type="dxa"/>
            <w:shd w:val="clear" w:color="auto" w:fill="auto"/>
            <w:tcMar>
              <w:top w:w="0" w:type="dxa"/>
              <w:left w:w="108" w:type="dxa"/>
              <w:bottom w:w="0" w:type="dxa"/>
              <w:right w:w="108" w:type="dxa"/>
            </w:tcMar>
            <w:vAlign w:val="center"/>
          </w:tcPr>
          <w:p w14:paraId="6CE3AAD1"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vAlign w:val="center"/>
          </w:tcPr>
          <w:p w14:paraId="751D13D3" w14:textId="77777777" w:rsidR="007E31E3" w:rsidRPr="00524435" w:rsidRDefault="007E31E3" w:rsidP="00820229">
            <w:pPr>
              <w:jc w:val="center"/>
              <w:rPr>
                <w:rFonts w:ascii="Cambria" w:hAnsi="Cambria"/>
                <w:b/>
                <w:sz w:val="18"/>
                <w:szCs w:val="18"/>
              </w:rPr>
            </w:pPr>
          </w:p>
        </w:tc>
        <w:tc>
          <w:tcPr>
            <w:tcW w:w="1081" w:type="dxa"/>
            <w:shd w:val="clear" w:color="auto" w:fill="auto"/>
            <w:tcMar>
              <w:top w:w="0" w:type="dxa"/>
              <w:left w:w="108" w:type="dxa"/>
              <w:bottom w:w="0" w:type="dxa"/>
              <w:right w:w="108" w:type="dxa"/>
            </w:tcMar>
            <w:vAlign w:val="center"/>
          </w:tcPr>
          <w:p w14:paraId="778E8840"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auto"/>
            <w:tcMar>
              <w:top w:w="0" w:type="dxa"/>
              <w:left w:w="108" w:type="dxa"/>
              <w:bottom w:w="0" w:type="dxa"/>
              <w:right w:w="108" w:type="dxa"/>
            </w:tcMar>
            <w:vAlign w:val="center"/>
          </w:tcPr>
          <w:p w14:paraId="320DF02B" w14:textId="77777777" w:rsidR="007E31E3" w:rsidRPr="00524435" w:rsidRDefault="007E31E3" w:rsidP="00820229">
            <w:pPr>
              <w:contextualSpacing/>
              <w:jc w:val="both"/>
              <w:rPr>
                <w:rFonts w:ascii="Cambria" w:eastAsia="Batang" w:hAnsi="Cambria" w:cs="Calibri Light"/>
                <w:b/>
                <w:bCs/>
                <w:color w:val="000000"/>
                <w:sz w:val="18"/>
                <w:szCs w:val="18"/>
              </w:rPr>
            </w:pPr>
            <w:r w:rsidRPr="00524435">
              <w:rPr>
                <w:rFonts w:ascii="Cambria" w:eastAsia="Batang" w:hAnsi="Cambria" w:cs="Calibri Light"/>
                <w:b/>
                <w:bCs/>
                <w:color w:val="000000"/>
                <w:sz w:val="18"/>
                <w:szCs w:val="18"/>
              </w:rPr>
              <w:t xml:space="preserve">Clause 2.2 </w:t>
            </w:r>
            <w:r w:rsidRPr="00524435">
              <w:rPr>
                <w:rFonts w:ascii="Cambria" w:hAnsi="Cambria"/>
                <w:b/>
                <w:bCs/>
                <w:sz w:val="18"/>
                <w:szCs w:val="18"/>
              </w:rPr>
              <w:t>Publication of the facts.</w:t>
            </w:r>
            <w:r w:rsidRPr="00524435">
              <w:rPr>
                <w:rFonts w:ascii="Cambria" w:hAnsi="Cambria"/>
                <w:sz w:val="18"/>
                <w:szCs w:val="18"/>
              </w:rPr>
              <w:t xml:space="preserve"> The Colombian State commits to posting the report approving the friendly settlement agreement, as instructed under American Convention on Human Rights, on the website of the National Agency for Legal Defense of the State, for six months.</w:t>
            </w:r>
          </w:p>
        </w:tc>
        <w:tc>
          <w:tcPr>
            <w:tcW w:w="1440" w:type="dxa"/>
            <w:gridSpan w:val="2"/>
            <w:shd w:val="clear" w:color="auto" w:fill="auto"/>
            <w:tcMar>
              <w:top w:w="0" w:type="dxa"/>
              <w:left w:w="108" w:type="dxa"/>
              <w:bottom w:w="0" w:type="dxa"/>
              <w:right w:w="108" w:type="dxa"/>
            </w:tcMar>
            <w:vAlign w:val="center"/>
          </w:tcPr>
          <w:p w14:paraId="5BC37145"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7B5FB1E9" w14:textId="77777777" w:rsidTr="00820229">
        <w:tc>
          <w:tcPr>
            <w:tcW w:w="562" w:type="dxa"/>
            <w:shd w:val="clear" w:color="auto" w:fill="D9D9D9" w:themeFill="background1" w:themeFillShade="D9"/>
            <w:tcMar>
              <w:top w:w="0" w:type="dxa"/>
              <w:left w:w="108" w:type="dxa"/>
              <w:bottom w:w="0" w:type="dxa"/>
              <w:right w:w="108" w:type="dxa"/>
            </w:tcMar>
            <w:vAlign w:val="center"/>
          </w:tcPr>
          <w:p w14:paraId="0A185965"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val="restart"/>
            <w:shd w:val="clear" w:color="auto" w:fill="D9D9D9" w:themeFill="background1" w:themeFillShade="D9"/>
            <w:vAlign w:val="center"/>
          </w:tcPr>
          <w:p w14:paraId="632A3967"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 xml:space="preserve">Case 13.319, Report No.213/20, William Fernández </w:t>
            </w:r>
            <w:proofErr w:type="gramStart"/>
            <w:r w:rsidRPr="00524435">
              <w:rPr>
                <w:rFonts w:ascii="Cambria" w:hAnsi="Cambria"/>
                <w:b/>
                <w:sz w:val="18"/>
                <w:szCs w:val="18"/>
              </w:rPr>
              <w:t>Becerra</w:t>
            </w:r>
            <w:proofErr w:type="gramEnd"/>
            <w:r w:rsidRPr="00524435">
              <w:rPr>
                <w:rFonts w:ascii="Cambria" w:hAnsi="Cambria"/>
                <w:b/>
                <w:sz w:val="18"/>
                <w:szCs w:val="18"/>
              </w:rPr>
              <w:t xml:space="preserve"> and Family</w:t>
            </w:r>
            <w:r w:rsidRPr="00524435">
              <w:rPr>
                <w:rFonts w:ascii="Cambria" w:hAnsi="Cambria"/>
                <w:b/>
                <w:sz w:val="18"/>
                <w:szCs w:val="18"/>
              </w:rPr>
              <w:br/>
              <w:t xml:space="preserve"> (Colombia)</w:t>
            </w:r>
          </w:p>
        </w:tc>
        <w:tc>
          <w:tcPr>
            <w:tcW w:w="1081" w:type="dxa"/>
            <w:shd w:val="clear" w:color="auto" w:fill="D9D9D9" w:themeFill="background1" w:themeFillShade="D9"/>
            <w:tcMar>
              <w:top w:w="0" w:type="dxa"/>
              <w:left w:w="108" w:type="dxa"/>
              <w:bottom w:w="0" w:type="dxa"/>
              <w:right w:w="108" w:type="dxa"/>
            </w:tcMar>
            <w:vAlign w:val="center"/>
          </w:tcPr>
          <w:p w14:paraId="65E909B8"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D9D9D9" w:themeFill="background1" w:themeFillShade="D9"/>
            <w:tcMar>
              <w:top w:w="0" w:type="dxa"/>
              <w:left w:w="108" w:type="dxa"/>
              <w:bottom w:w="0" w:type="dxa"/>
              <w:right w:w="108" w:type="dxa"/>
            </w:tcMar>
            <w:vAlign w:val="center"/>
          </w:tcPr>
          <w:p w14:paraId="3826C7DD" w14:textId="77777777" w:rsidR="007E31E3" w:rsidRPr="00524435" w:rsidRDefault="007E31E3" w:rsidP="00820229">
            <w:pPr>
              <w:contextualSpacing/>
              <w:jc w:val="both"/>
              <w:rPr>
                <w:rFonts w:ascii="Cambria" w:eastAsia="Batang" w:hAnsi="Cambria" w:cs="Calibri Light"/>
                <w:b/>
                <w:bCs/>
                <w:color w:val="000000"/>
                <w:sz w:val="18"/>
                <w:szCs w:val="18"/>
              </w:rPr>
            </w:pPr>
            <w:r w:rsidRPr="00524435">
              <w:rPr>
                <w:rFonts w:ascii="Cambria" w:eastAsia="Batang" w:hAnsi="Cambria" w:cs="Calibri Light"/>
                <w:b/>
                <w:bCs/>
                <w:color w:val="000000"/>
                <w:sz w:val="18"/>
                <w:szCs w:val="18"/>
              </w:rPr>
              <w:t xml:space="preserve">Clause 2.2 Publication of the facts. </w:t>
            </w:r>
            <w:r w:rsidRPr="00524435">
              <w:rPr>
                <w:rFonts w:ascii="Cambria" w:eastAsia="Batang" w:hAnsi="Cambria" w:cs="Calibri Light"/>
                <w:color w:val="000000"/>
                <w:sz w:val="18"/>
                <w:szCs w:val="18"/>
              </w:rPr>
              <w:t>The Colombian State commits to posting the report issued by the Inter-American Commission on Human Rights pursuant to Article 49 of the American Convention that approves the friendly settlement agreement on the web pages of the Ministry of National Defense and the National Legal Defense Agency of the State.</w:t>
            </w:r>
          </w:p>
        </w:tc>
        <w:tc>
          <w:tcPr>
            <w:tcW w:w="1440" w:type="dxa"/>
            <w:gridSpan w:val="2"/>
            <w:shd w:val="clear" w:color="auto" w:fill="D9D9D9" w:themeFill="background1" w:themeFillShade="D9"/>
            <w:tcMar>
              <w:top w:w="0" w:type="dxa"/>
              <w:left w:w="108" w:type="dxa"/>
              <w:bottom w:w="0" w:type="dxa"/>
              <w:right w:w="108" w:type="dxa"/>
            </w:tcMar>
            <w:vAlign w:val="center"/>
          </w:tcPr>
          <w:p w14:paraId="42CE31F7"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Partial 2021</w:t>
            </w:r>
          </w:p>
        </w:tc>
      </w:tr>
      <w:tr w:rsidR="007E31E3" w:rsidRPr="00524435" w14:paraId="068CDFA5" w14:textId="77777777" w:rsidTr="00820229">
        <w:tc>
          <w:tcPr>
            <w:tcW w:w="562" w:type="dxa"/>
            <w:shd w:val="clear" w:color="auto" w:fill="D9D9D9" w:themeFill="background1" w:themeFillShade="D9"/>
            <w:tcMar>
              <w:top w:w="0" w:type="dxa"/>
              <w:left w:w="108" w:type="dxa"/>
              <w:bottom w:w="0" w:type="dxa"/>
              <w:right w:w="108" w:type="dxa"/>
            </w:tcMar>
            <w:vAlign w:val="center"/>
          </w:tcPr>
          <w:p w14:paraId="2139280A"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28C1CCCB"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2DDA5453"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2BE1C00E" w14:textId="77777777" w:rsidR="007E31E3" w:rsidRPr="00524435" w:rsidRDefault="007E31E3" w:rsidP="00820229">
            <w:pPr>
              <w:contextualSpacing/>
              <w:jc w:val="both"/>
              <w:rPr>
                <w:rFonts w:ascii="Cambria" w:eastAsia="Batang" w:hAnsi="Cambria" w:cs="Calibri Light"/>
                <w:b/>
                <w:bCs/>
                <w:color w:val="000000"/>
                <w:sz w:val="18"/>
                <w:szCs w:val="18"/>
              </w:rPr>
            </w:pPr>
            <w:r w:rsidRPr="00524435">
              <w:rPr>
                <w:rFonts w:ascii="Cambria" w:eastAsia="Batang" w:hAnsi="Cambria" w:cs="Calibri Light"/>
                <w:b/>
                <w:bCs/>
                <w:color w:val="000000"/>
                <w:sz w:val="18"/>
                <w:szCs w:val="18"/>
              </w:rPr>
              <w:t xml:space="preserve">Clause 3. Health Measures. Psycho-social care component. a. </w:t>
            </w:r>
            <w:proofErr w:type="spellStart"/>
            <w:r w:rsidRPr="00524435">
              <w:rPr>
                <w:rFonts w:ascii="Cambria" w:eastAsia="Batang" w:hAnsi="Cambria" w:cs="Calibri Light"/>
                <w:b/>
                <w:bCs/>
                <w:color w:val="000000"/>
                <w:sz w:val="18"/>
                <w:szCs w:val="18"/>
              </w:rPr>
              <w:t>Contactability</w:t>
            </w:r>
            <w:proofErr w:type="spellEnd"/>
            <w:r w:rsidRPr="00524435">
              <w:rPr>
                <w:rFonts w:ascii="Cambria" w:eastAsia="Batang" w:hAnsi="Cambria" w:cs="Calibri Light"/>
                <w:b/>
                <w:bCs/>
                <w:color w:val="000000"/>
                <w:sz w:val="18"/>
                <w:szCs w:val="18"/>
              </w:rPr>
              <w:t xml:space="preserve">: </w:t>
            </w:r>
            <w:r w:rsidRPr="00524435">
              <w:rPr>
                <w:rFonts w:ascii="Cambria" w:eastAsia="Batang" w:hAnsi="Cambria" w:cs="Calibri Light"/>
                <w:color w:val="000000"/>
                <w:sz w:val="18"/>
                <w:szCs w:val="18"/>
              </w:rPr>
              <w:t xml:space="preserve">Using the victims database  for case 13.319 of the Inter-American Commission on Human Rights (IACHR), contact shall be made with each one of them in order to verify their location and target their needs and subsequently determine whether they are within the municipalities where the program is operating (Ministry - Territorial Entity Operators), as well as to check their willingness to receive psycho-social care through the Psycho-Social Care and Comprehensive Health Care for Victims Program (PAPSIVI).  </w:t>
            </w:r>
          </w:p>
        </w:tc>
        <w:tc>
          <w:tcPr>
            <w:tcW w:w="1440" w:type="dxa"/>
            <w:gridSpan w:val="2"/>
            <w:shd w:val="clear" w:color="auto" w:fill="D9D9D9" w:themeFill="background1" w:themeFillShade="D9"/>
            <w:tcMar>
              <w:top w:w="0" w:type="dxa"/>
              <w:left w:w="108" w:type="dxa"/>
              <w:bottom w:w="0" w:type="dxa"/>
              <w:right w:w="108" w:type="dxa"/>
            </w:tcMar>
            <w:vAlign w:val="center"/>
          </w:tcPr>
          <w:p w14:paraId="0E91B301"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Partial 2021</w:t>
            </w:r>
          </w:p>
        </w:tc>
      </w:tr>
      <w:tr w:rsidR="007E31E3" w:rsidRPr="00524435" w14:paraId="38AAAAEC" w14:textId="77777777" w:rsidTr="00820229">
        <w:tc>
          <w:tcPr>
            <w:tcW w:w="562" w:type="dxa"/>
            <w:shd w:val="clear" w:color="auto" w:fill="D9D9D9" w:themeFill="background1" w:themeFillShade="D9"/>
            <w:tcMar>
              <w:top w:w="0" w:type="dxa"/>
              <w:left w:w="108" w:type="dxa"/>
              <w:bottom w:w="0" w:type="dxa"/>
              <w:right w:w="108" w:type="dxa"/>
            </w:tcMar>
            <w:vAlign w:val="center"/>
          </w:tcPr>
          <w:p w14:paraId="656C6BD8"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0B72326F"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3705948E"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6C20E952" w14:textId="77777777" w:rsidR="007E31E3" w:rsidRPr="00524435" w:rsidRDefault="007E31E3" w:rsidP="00820229">
            <w:pPr>
              <w:contextualSpacing/>
              <w:jc w:val="both"/>
              <w:rPr>
                <w:rFonts w:ascii="Cambria" w:eastAsia="Batang" w:hAnsi="Cambria" w:cs="Calibri Light"/>
                <w:b/>
                <w:bCs/>
                <w:color w:val="000000"/>
                <w:sz w:val="18"/>
                <w:szCs w:val="18"/>
              </w:rPr>
            </w:pPr>
            <w:r w:rsidRPr="00524435">
              <w:rPr>
                <w:rFonts w:ascii="Cambria" w:eastAsia="Batang" w:hAnsi="Cambria" w:cs="Calibri Light"/>
                <w:b/>
                <w:bCs/>
                <w:color w:val="000000"/>
                <w:sz w:val="18"/>
                <w:szCs w:val="18"/>
              </w:rPr>
              <w:t>Clause 4.1. Economic compensation: T</w:t>
            </w:r>
            <w:r w:rsidRPr="00524435">
              <w:rPr>
                <w:rFonts w:ascii="Cambria" w:hAnsi="Cambria"/>
                <w:color w:val="000000"/>
                <w:kern w:val="36"/>
                <w:sz w:val="18"/>
                <w:szCs w:val="18"/>
              </w:rPr>
              <w:t>he State shall implement a satisfaction measure geared to restoring the dignity of the family of the young WILLAM FERNANDEZ BECERRA and agree to pay 100 minimum monthly legal wages (SMLMV) to each member of his immediate nuclear family</w:t>
            </w:r>
            <w:proofErr w:type="gramStart"/>
            <w:r w:rsidRPr="00524435">
              <w:rPr>
                <w:rFonts w:ascii="Cambria" w:hAnsi="Cambria"/>
                <w:color w:val="000000"/>
                <w:kern w:val="36"/>
                <w:sz w:val="18"/>
                <w:szCs w:val="18"/>
              </w:rPr>
              <w:t>, that is to say, his</w:t>
            </w:r>
            <w:proofErr w:type="gramEnd"/>
            <w:r w:rsidRPr="00524435">
              <w:rPr>
                <w:rFonts w:ascii="Cambria" w:hAnsi="Cambria"/>
                <w:color w:val="000000"/>
                <w:kern w:val="36"/>
                <w:sz w:val="18"/>
                <w:szCs w:val="18"/>
              </w:rPr>
              <w:t xml:space="preserve"> parents, and 50 SMLMV to each of his two (2) siblings.</w:t>
            </w:r>
          </w:p>
        </w:tc>
        <w:tc>
          <w:tcPr>
            <w:tcW w:w="1440" w:type="dxa"/>
            <w:gridSpan w:val="2"/>
            <w:shd w:val="clear" w:color="auto" w:fill="D9D9D9" w:themeFill="background1" w:themeFillShade="D9"/>
            <w:tcMar>
              <w:top w:w="0" w:type="dxa"/>
              <w:left w:w="108" w:type="dxa"/>
              <w:bottom w:w="0" w:type="dxa"/>
              <w:right w:w="108" w:type="dxa"/>
            </w:tcMar>
            <w:vAlign w:val="center"/>
          </w:tcPr>
          <w:p w14:paraId="45A3D18B"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Partial 2021</w:t>
            </w:r>
          </w:p>
        </w:tc>
      </w:tr>
      <w:tr w:rsidR="007E31E3" w:rsidRPr="00524435" w14:paraId="0F3F13A5" w14:textId="77777777" w:rsidTr="00820229">
        <w:tc>
          <w:tcPr>
            <w:tcW w:w="562" w:type="dxa"/>
            <w:shd w:val="clear" w:color="auto" w:fill="D9D9D9" w:themeFill="background1" w:themeFillShade="D9"/>
            <w:tcMar>
              <w:top w:w="0" w:type="dxa"/>
              <w:left w:w="108" w:type="dxa"/>
              <w:bottom w:w="0" w:type="dxa"/>
              <w:right w:w="108" w:type="dxa"/>
            </w:tcMar>
            <w:vAlign w:val="center"/>
          </w:tcPr>
          <w:p w14:paraId="066BE905"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74D70AA7"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78C09E74"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108BB6AA" w14:textId="77777777" w:rsidR="007E31E3" w:rsidRPr="00524435" w:rsidRDefault="007E31E3" w:rsidP="00820229">
            <w:pPr>
              <w:contextualSpacing/>
              <w:jc w:val="both"/>
              <w:rPr>
                <w:rFonts w:ascii="Cambria" w:eastAsia="Batang" w:hAnsi="Cambria" w:cs="Calibri Light"/>
                <w:b/>
                <w:bCs/>
                <w:color w:val="000000"/>
                <w:sz w:val="20"/>
                <w:szCs w:val="20"/>
              </w:rPr>
            </w:pPr>
            <w:r w:rsidRPr="00524435">
              <w:rPr>
                <w:rFonts w:ascii="Cambria" w:eastAsia="Batang" w:hAnsi="Cambria" w:cs="Calibri Light"/>
                <w:b/>
                <w:bCs/>
                <w:color w:val="000000"/>
                <w:sz w:val="20"/>
                <w:szCs w:val="20"/>
              </w:rPr>
              <w:t>Clause 6. Judicial Measure</w:t>
            </w:r>
            <w:r w:rsidRPr="00524435">
              <w:rPr>
                <w:rFonts w:ascii="Cambria" w:eastAsia="Batang" w:hAnsi="Cambria" w:cs="Calibri Light"/>
                <w:b/>
                <w:bCs/>
                <w:color w:val="000000"/>
                <w:sz w:val="20"/>
                <w:szCs w:val="20"/>
                <w:shd w:val="clear" w:color="auto" w:fill="D9D9D9" w:themeFill="background1" w:themeFillShade="D9"/>
              </w:rPr>
              <w:t xml:space="preserve">: </w:t>
            </w:r>
            <w:r w:rsidRPr="00524435">
              <w:rPr>
                <w:rStyle w:val="normaltextrun"/>
                <w:rFonts w:ascii="Cambria" w:hAnsi="Cambria"/>
                <w:color w:val="000000"/>
                <w:sz w:val="20"/>
                <w:szCs w:val="20"/>
                <w:shd w:val="clear" w:color="auto" w:fill="D9D9D9" w:themeFill="background1" w:themeFillShade="D9"/>
              </w:rPr>
              <w:t>The National Agency for Legal Defense of the State shall ask the Procurator-General of the Nation (PGN) to examine the feasibility of filing an Action for Reconsideration (</w:t>
            </w:r>
            <w:proofErr w:type="spellStart"/>
            <w:r w:rsidRPr="00524435">
              <w:rPr>
                <w:rStyle w:val="normaltextrun"/>
                <w:rFonts w:ascii="Cambria" w:hAnsi="Cambria"/>
                <w:i/>
                <w:iCs/>
                <w:color w:val="000000"/>
                <w:sz w:val="20"/>
                <w:szCs w:val="20"/>
                <w:shd w:val="clear" w:color="auto" w:fill="D9D9D9" w:themeFill="background1" w:themeFillShade="D9"/>
              </w:rPr>
              <w:t>Acción</w:t>
            </w:r>
            <w:proofErr w:type="spellEnd"/>
            <w:r w:rsidRPr="00524435">
              <w:rPr>
                <w:rStyle w:val="normaltextrun"/>
                <w:rFonts w:ascii="Cambria" w:hAnsi="Cambria"/>
                <w:i/>
                <w:iCs/>
                <w:color w:val="000000"/>
                <w:sz w:val="20"/>
                <w:szCs w:val="20"/>
                <w:shd w:val="clear" w:color="auto" w:fill="D9D9D9" w:themeFill="background1" w:themeFillShade="D9"/>
              </w:rPr>
              <w:t> de </w:t>
            </w:r>
            <w:proofErr w:type="spellStart"/>
            <w:r w:rsidRPr="00524435">
              <w:rPr>
                <w:rStyle w:val="normaltextrun"/>
                <w:rFonts w:ascii="Cambria" w:hAnsi="Cambria"/>
                <w:i/>
                <w:iCs/>
                <w:color w:val="000000"/>
                <w:sz w:val="20"/>
                <w:szCs w:val="20"/>
                <w:shd w:val="clear" w:color="auto" w:fill="D9D9D9" w:themeFill="background1" w:themeFillShade="D9"/>
              </w:rPr>
              <w:t>Revisión</w:t>
            </w:r>
            <w:proofErr w:type="spellEnd"/>
            <w:r w:rsidRPr="00524435">
              <w:rPr>
                <w:rStyle w:val="normaltextrun"/>
                <w:rFonts w:ascii="Cambria" w:hAnsi="Cambria"/>
                <w:color w:val="000000"/>
                <w:sz w:val="20"/>
                <w:szCs w:val="20"/>
                <w:shd w:val="clear" w:color="auto" w:fill="D9D9D9" w:themeFill="background1" w:themeFillShade="D9"/>
              </w:rPr>
              <w:t>) with respect to the proceedings conducted on account of the events of August 26, 1996, in the vicinity of the El Cardo village in the municipality of </w:t>
            </w:r>
            <w:proofErr w:type="spellStart"/>
            <w:r w:rsidRPr="00524435">
              <w:rPr>
                <w:rStyle w:val="normaltextrun"/>
                <w:rFonts w:ascii="Cambria" w:hAnsi="Cambria"/>
                <w:color w:val="000000"/>
                <w:sz w:val="20"/>
                <w:szCs w:val="20"/>
                <w:shd w:val="clear" w:color="auto" w:fill="D9D9D9" w:themeFill="background1" w:themeFillShade="D9"/>
              </w:rPr>
              <w:t>Mercaderes</w:t>
            </w:r>
            <w:proofErr w:type="spellEnd"/>
            <w:r w:rsidRPr="00524435">
              <w:rPr>
                <w:rStyle w:val="normaltextrun"/>
                <w:rFonts w:ascii="Cambria" w:hAnsi="Cambria"/>
                <w:color w:val="000000"/>
                <w:sz w:val="20"/>
                <w:szCs w:val="20"/>
                <w:shd w:val="clear" w:color="auto" w:fill="D9D9D9" w:themeFill="background1" w:themeFillShade="D9"/>
              </w:rPr>
              <w:t> (Cauca), in which Mr. </w:t>
            </w:r>
            <w:r w:rsidRPr="00524435">
              <w:rPr>
                <w:rStyle w:val="findhit"/>
                <w:rFonts w:ascii="Cambria" w:hAnsi="Cambria"/>
                <w:color w:val="000000"/>
                <w:sz w:val="20"/>
                <w:szCs w:val="20"/>
                <w:shd w:val="clear" w:color="auto" w:fill="D9D9D9" w:themeFill="background1" w:themeFillShade="D9"/>
              </w:rPr>
              <w:t>William</w:t>
            </w:r>
            <w:r w:rsidRPr="00524435">
              <w:rPr>
                <w:rStyle w:val="normaltextrun"/>
                <w:rFonts w:ascii="Cambria" w:hAnsi="Cambria"/>
                <w:color w:val="000000"/>
                <w:sz w:val="20"/>
                <w:szCs w:val="20"/>
                <w:shd w:val="clear" w:color="auto" w:fill="D9D9D9" w:themeFill="background1" w:themeFillShade="D9"/>
              </w:rPr>
              <w:t> Fernández Becerra lost his life.</w:t>
            </w:r>
          </w:p>
        </w:tc>
        <w:tc>
          <w:tcPr>
            <w:tcW w:w="1440" w:type="dxa"/>
            <w:gridSpan w:val="2"/>
            <w:shd w:val="clear" w:color="auto" w:fill="D9D9D9" w:themeFill="background1" w:themeFillShade="D9"/>
            <w:tcMar>
              <w:top w:w="0" w:type="dxa"/>
              <w:left w:w="108" w:type="dxa"/>
              <w:bottom w:w="0" w:type="dxa"/>
              <w:right w:w="108" w:type="dxa"/>
            </w:tcMar>
            <w:vAlign w:val="center"/>
          </w:tcPr>
          <w:p w14:paraId="5AEB483C"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2972D4D7" w14:textId="77777777" w:rsidTr="00820229">
        <w:tc>
          <w:tcPr>
            <w:tcW w:w="562" w:type="dxa"/>
            <w:shd w:val="clear" w:color="auto" w:fill="auto"/>
            <w:tcMar>
              <w:top w:w="0" w:type="dxa"/>
              <w:left w:w="108" w:type="dxa"/>
              <w:bottom w:w="0" w:type="dxa"/>
              <w:right w:w="108" w:type="dxa"/>
            </w:tcMar>
            <w:vAlign w:val="center"/>
          </w:tcPr>
          <w:p w14:paraId="01E15F5C"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shd w:val="clear" w:color="auto" w:fill="auto"/>
            <w:vAlign w:val="center"/>
          </w:tcPr>
          <w:p w14:paraId="3E140BA9"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 xml:space="preserve">Case 13.421, Report No.333/20, </w:t>
            </w:r>
            <w:proofErr w:type="spellStart"/>
            <w:r w:rsidRPr="00524435">
              <w:rPr>
                <w:rFonts w:ascii="Cambria" w:hAnsi="Cambria"/>
                <w:b/>
                <w:sz w:val="18"/>
                <w:szCs w:val="18"/>
              </w:rPr>
              <w:t>Geminiano</w:t>
            </w:r>
            <w:proofErr w:type="spellEnd"/>
            <w:r w:rsidRPr="00524435">
              <w:rPr>
                <w:rFonts w:ascii="Cambria" w:hAnsi="Cambria"/>
                <w:b/>
                <w:sz w:val="18"/>
                <w:szCs w:val="18"/>
              </w:rPr>
              <w:t xml:space="preserve"> Gil Martinez and Family</w:t>
            </w:r>
            <w:r w:rsidRPr="00524435">
              <w:rPr>
                <w:rFonts w:ascii="Cambria" w:hAnsi="Cambria"/>
                <w:b/>
                <w:sz w:val="18"/>
                <w:szCs w:val="18"/>
              </w:rPr>
              <w:br/>
              <w:t xml:space="preserve"> (Colombia)</w:t>
            </w:r>
          </w:p>
        </w:tc>
        <w:tc>
          <w:tcPr>
            <w:tcW w:w="1081" w:type="dxa"/>
            <w:shd w:val="clear" w:color="auto" w:fill="auto"/>
            <w:tcMar>
              <w:top w:w="0" w:type="dxa"/>
              <w:left w:w="108" w:type="dxa"/>
              <w:bottom w:w="0" w:type="dxa"/>
              <w:right w:w="108" w:type="dxa"/>
            </w:tcMar>
            <w:vAlign w:val="center"/>
          </w:tcPr>
          <w:p w14:paraId="221037ED"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auto"/>
            <w:tcMar>
              <w:top w:w="0" w:type="dxa"/>
              <w:left w:w="108" w:type="dxa"/>
              <w:bottom w:w="0" w:type="dxa"/>
              <w:right w:w="108" w:type="dxa"/>
            </w:tcMar>
            <w:vAlign w:val="center"/>
          </w:tcPr>
          <w:p w14:paraId="633E4E4C" w14:textId="77777777" w:rsidR="007E31E3" w:rsidRPr="00524435" w:rsidRDefault="007E31E3" w:rsidP="00820229">
            <w:pPr>
              <w:contextualSpacing/>
              <w:jc w:val="both"/>
              <w:rPr>
                <w:rFonts w:ascii="Cambria" w:eastAsia="Batang" w:hAnsi="Cambria" w:cs="Calibri Light"/>
                <w:b/>
                <w:bCs/>
                <w:color w:val="000000"/>
                <w:sz w:val="18"/>
                <w:szCs w:val="18"/>
              </w:rPr>
            </w:pPr>
            <w:r w:rsidRPr="00524435">
              <w:rPr>
                <w:rFonts w:ascii="Cambria" w:eastAsia="Batang" w:hAnsi="Cambria" w:cs="Calibri Light"/>
                <w:b/>
                <w:bCs/>
                <w:color w:val="000000"/>
                <w:sz w:val="18"/>
                <w:szCs w:val="18"/>
              </w:rPr>
              <w:t xml:space="preserve">Clause 3. C. Publication of the facts: </w:t>
            </w:r>
            <w:r w:rsidRPr="00524435">
              <w:rPr>
                <w:rFonts w:ascii="Cambria" w:eastAsia="Batang" w:hAnsi="Cambria" w:cs="Calibri Light"/>
                <w:color w:val="000000"/>
                <w:sz w:val="18"/>
                <w:szCs w:val="18"/>
              </w:rPr>
              <w:t>The Colombian State commits to posting the report issued by the Inter-American Commission on Human Rights pursuant to Article 49 of the American Convention that approves the friendly settlement agreement on the web page of the National Legal Defense Agency of the State for a period of six months.</w:t>
            </w:r>
          </w:p>
        </w:tc>
        <w:tc>
          <w:tcPr>
            <w:tcW w:w="1440" w:type="dxa"/>
            <w:gridSpan w:val="2"/>
            <w:shd w:val="clear" w:color="auto" w:fill="auto"/>
            <w:tcMar>
              <w:top w:w="0" w:type="dxa"/>
              <w:left w:w="108" w:type="dxa"/>
              <w:bottom w:w="0" w:type="dxa"/>
              <w:right w:w="108" w:type="dxa"/>
            </w:tcMar>
            <w:vAlign w:val="center"/>
          </w:tcPr>
          <w:p w14:paraId="684E9339"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Partial substantial 2021</w:t>
            </w:r>
          </w:p>
        </w:tc>
      </w:tr>
      <w:tr w:rsidR="007E31E3" w:rsidRPr="00524435" w14:paraId="6B33BC11" w14:textId="77777777" w:rsidTr="00820229">
        <w:tc>
          <w:tcPr>
            <w:tcW w:w="562" w:type="dxa"/>
            <w:shd w:val="clear" w:color="auto" w:fill="D9D9D9" w:themeFill="background1" w:themeFillShade="D9"/>
            <w:tcMar>
              <w:top w:w="0" w:type="dxa"/>
              <w:left w:w="108" w:type="dxa"/>
              <w:bottom w:w="0" w:type="dxa"/>
              <w:right w:w="108" w:type="dxa"/>
            </w:tcMar>
            <w:vAlign w:val="center"/>
          </w:tcPr>
          <w:p w14:paraId="355BFB7F"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shd w:val="clear" w:color="auto" w:fill="D9D9D9" w:themeFill="background1" w:themeFillShade="D9"/>
            <w:vAlign w:val="center"/>
          </w:tcPr>
          <w:p w14:paraId="24CC043D"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 xml:space="preserve">Case 13.642, Report No.41/21, Edgar José Sánchez </w:t>
            </w:r>
            <w:proofErr w:type="gramStart"/>
            <w:r w:rsidRPr="00524435">
              <w:rPr>
                <w:rFonts w:ascii="Cambria" w:hAnsi="Cambria"/>
                <w:b/>
                <w:sz w:val="18"/>
                <w:szCs w:val="18"/>
              </w:rPr>
              <w:t>Duarte</w:t>
            </w:r>
            <w:proofErr w:type="gramEnd"/>
            <w:r w:rsidRPr="00524435">
              <w:rPr>
                <w:rFonts w:ascii="Cambria" w:hAnsi="Cambria"/>
                <w:b/>
                <w:sz w:val="18"/>
                <w:szCs w:val="18"/>
              </w:rPr>
              <w:t xml:space="preserve"> and Family</w:t>
            </w:r>
            <w:r w:rsidRPr="00524435">
              <w:rPr>
                <w:rFonts w:ascii="Cambria" w:hAnsi="Cambria"/>
                <w:b/>
                <w:sz w:val="18"/>
                <w:szCs w:val="18"/>
              </w:rPr>
              <w:br/>
              <w:t xml:space="preserve"> (Colombia)</w:t>
            </w:r>
          </w:p>
        </w:tc>
        <w:tc>
          <w:tcPr>
            <w:tcW w:w="1081" w:type="dxa"/>
            <w:shd w:val="clear" w:color="auto" w:fill="D9D9D9" w:themeFill="background1" w:themeFillShade="D9"/>
            <w:tcMar>
              <w:top w:w="0" w:type="dxa"/>
              <w:left w:w="108" w:type="dxa"/>
              <w:bottom w:w="0" w:type="dxa"/>
              <w:right w:w="108" w:type="dxa"/>
            </w:tcMar>
            <w:vAlign w:val="center"/>
          </w:tcPr>
          <w:p w14:paraId="41CB6E7A"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345A21C0" w14:textId="77777777" w:rsidR="007E31E3" w:rsidRPr="00524435" w:rsidRDefault="007E31E3" w:rsidP="00820229">
            <w:pPr>
              <w:contextualSpacing/>
              <w:jc w:val="both"/>
              <w:rPr>
                <w:rFonts w:ascii="Cambria" w:eastAsia="Batang" w:hAnsi="Cambria" w:cs="Calibri Light"/>
                <w:b/>
                <w:bCs/>
                <w:color w:val="000000"/>
                <w:sz w:val="18"/>
                <w:szCs w:val="18"/>
              </w:rPr>
            </w:pPr>
            <w:r w:rsidRPr="00524435">
              <w:rPr>
                <w:rFonts w:ascii="Cambria" w:hAnsi="Cambria"/>
                <w:b/>
                <w:color w:val="333333"/>
                <w:sz w:val="18"/>
                <w:szCs w:val="18"/>
              </w:rPr>
              <w:t xml:space="preserve">Clause 5. Satisfaction and rehabilitation measures. 1.1 Act of redress. </w:t>
            </w:r>
            <w:r w:rsidRPr="00524435">
              <w:rPr>
                <w:rFonts w:ascii="Cambria" w:hAnsi="Cambria"/>
                <w:bCs/>
                <w:color w:val="333333"/>
                <w:sz w:val="18"/>
                <w:szCs w:val="18"/>
              </w:rPr>
              <w:t>Colombia undertakes to carry out a public act of acknowledgment of responsibility and apology led by a high official of the State, with the participation of public authorities, the families of the victims and their representatives, which will be disseminated through the mass media. The act will be carried out in accordance with the acknowledgment of responsibility indicated in this Agreement</w:t>
            </w:r>
            <w:r w:rsidRPr="00524435">
              <w:rPr>
                <w:rFonts w:ascii="Cambria" w:hAnsi="Cambria"/>
                <w:b/>
                <w:color w:val="333333"/>
                <w:sz w:val="18"/>
                <w:szCs w:val="18"/>
              </w:rPr>
              <w:t>.</w:t>
            </w:r>
          </w:p>
        </w:tc>
        <w:tc>
          <w:tcPr>
            <w:tcW w:w="1440" w:type="dxa"/>
            <w:gridSpan w:val="2"/>
            <w:shd w:val="clear" w:color="auto" w:fill="D9D9D9" w:themeFill="background1" w:themeFillShade="D9"/>
            <w:tcMar>
              <w:top w:w="0" w:type="dxa"/>
              <w:left w:w="108" w:type="dxa"/>
              <w:bottom w:w="0" w:type="dxa"/>
              <w:right w:w="108" w:type="dxa"/>
            </w:tcMar>
            <w:vAlign w:val="center"/>
          </w:tcPr>
          <w:p w14:paraId="00CD9E04"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678C0328" w14:textId="77777777" w:rsidTr="00820229">
        <w:tc>
          <w:tcPr>
            <w:tcW w:w="562" w:type="dxa"/>
            <w:shd w:val="clear" w:color="auto" w:fill="auto"/>
            <w:tcMar>
              <w:top w:w="0" w:type="dxa"/>
              <w:left w:w="108" w:type="dxa"/>
              <w:bottom w:w="0" w:type="dxa"/>
              <w:right w:w="108" w:type="dxa"/>
            </w:tcMar>
            <w:vAlign w:val="center"/>
          </w:tcPr>
          <w:p w14:paraId="3AC2D65B"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val="restart"/>
            <w:shd w:val="clear" w:color="auto" w:fill="auto"/>
            <w:vAlign w:val="center"/>
          </w:tcPr>
          <w:p w14:paraId="5FA641F0" w14:textId="77777777" w:rsidR="007E31E3" w:rsidRPr="00E42B49" w:rsidRDefault="007E31E3" w:rsidP="00820229">
            <w:pPr>
              <w:jc w:val="center"/>
              <w:rPr>
                <w:rFonts w:ascii="Cambria" w:hAnsi="Cambria"/>
                <w:b/>
                <w:bCs/>
                <w:sz w:val="18"/>
                <w:szCs w:val="18"/>
                <w:lang w:val="es-US"/>
              </w:rPr>
            </w:pPr>
            <w:r w:rsidRPr="00E42B49">
              <w:rPr>
                <w:rFonts w:ascii="Cambria" w:eastAsia="MS Mincho" w:hAnsi="Cambria" w:cs="Arial"/>
                <w:b/>
                <w:bCs/>
                <w:sz w:val="18"/>
                <w:szCs w:val="18"/>
                <w:lang w:val="es-US" w:eastAsia="es-ES_tradnl"/>
              </w:rPr>
              <w:t xml:space="preserve">Case 13.171, </w:t>
            </w:r>
            <w:proofErr w:type="spellStart"/>
            <w:r w:rsidRPr="00E42B49">
              <w:rPr>
                <w:rFonts w:ascii="Cambria" w:eastAsia="MS Mincho" w:hAnsi="Cambria" w:cs="Arial"/>
                <w:b/>
                <w:bCs/>
                <w:sz w:val="18"/>
                <w:szCs w:val="18"/>
                <w:lang w:val="es-US" w:eastAsia="es-ES_tradnl"/>
              </w:rPr>
              <w:t>Report</w:t>
            </w:r>
            <w:proofErr w:type="spellEnd"/>
            <w:r w:rsidRPr="00E42B49">
              <w:rPr>
                <w:rFonts w:ascii="Cambria" w:eastAsia="MS Mincho" w:hAnsi="Cambria" w:cs="Arial"/>
                <w:b/>
                <w:bCs/>
                <w:sz w:val="18"/>
                <w:szCs w:val="18"/>
                <w:lang w:val="es-US" w:eastAsia="es-ES_tradnl"/>
              </w:rPr>
              <w:t xml:space="preserve"> No.115/21, Luis </w:t>
            </w:r>
            <w:r w:rsidRPr="00E42B49">
              <w:rPr>
                <w:rFonts w:ascii="Cambria" w:eastAsia="MS Mincho" w:hAnsi="Cambria" w:cs="Arial"/>
                <w:b/>
                <w:bCs/>
                <w:sz w:val="18"/>
                <w:szCs w:val="18"/>
                <w:lang w:val="es-US" w:eastAsia="es-ES_tradnl"/>
              </w:rPr>
              <w:lastRenderedPageBreak/>
              <w:t xml:space="preserve">Argemiro Gómez </w:t>
            </w:r>
            <w:proofErr w:type="spellStart"/>
            <w:r w:rsidRPr="00E42B49">
              <w:rPr>
                <w:rFonts w:ascii="Cambria" w:eastAsia="MS Mincho" w:hAnsi="Cambria" w:cs="Arial"/>
                <w:b/>
                <w:bCs/>
                <w:sz w:val="18"/>
                <w:szCs w:val="18"/>
                <w:lang w:val="es-US" w:eastAsia="es-ES_tradnl"/>
              </w:rPr>
              <w:t>Atehortua</w:t>
            </w:r>
            <w:proofErr w:type="spellEnd"/>
            <w:r w:rsidRPr="00E42B49">
              <w:rPr>
                <w:rFonts w:ascii="Cambria" w:eastAsia="MS Mincho" w:hAnsi="Cambria" w:cs="Arial"/>
                <w:b/>
                <w:bCs/>
                <w:sz w:val="18"/>
                <w:szCs w:val="18"/>
                <w:lang w:val="es-US" w:eastAsia="es-ES_tradnl"/>
              </w:rPr>
              <w:t xml:space="preserve"> (Colombia)</w:t>
            </w:r>
          </w:p>
        </w:tc>
        <w:tc>
          <w:tcPr>
            <w:tcW w:w="1081" w:type="dxa"/>
            <w:shd w:val="clear" w:color="auto" w:fill="auto"/>
            <w:tcMar>
              <w:top w:w="0" w:type="dxa"/>
              <w:left w:w="108" w:type="dxa"/>
              <w:bottom w:w="0" w:type="dxa"/>
              <w:right w:w="108" w:type="dxa"/>
            </w:tcMar>
            <w:vAlign w:val="center"/>
          </w:tcPr>
          <w:p w14:paraId="083C8F13" w14:textId="77777777" w:rsidR="007E31E3" w:rsidRPr="00524435" w:rsidRDefault="007E31E3" w:rsidP="00820229">
            <w:pPr>
              <w:jc w:val="center"/>
              <w:rPr>
                <w:rFonts w:ascii="Cambria" w:hAnsi="Cambria"/>
                <w:sz w:val="18"/>
                <w:szCs w:val="18"/>
              </w:rPr>
            </w:pPr>
            <w:r w:rsidRPr="00524435">
              <w:rPr>
                <w:rFonts w:ascii="Cambria" w:hAnsi="Cambria"/>
                <w:sz w:val="18"/>
                <w:szCs w:val="18"/>
              </w:rPr>
              <w:lastRenderedPageBreak/>
              <w:t>Individual</w:t>
            </w:r>
          </w:p>
        </w:tc>
        <w:tc>
          <w:tcPr>
            <w:tcW w:w="5304" w:type="dxa"/>
            <w:gridSpan w:val="2"/>
            <w:shd w:val="clear" w:color="auto" w:fill="auto"/>
            <w:tcMar>
              <w:top w:w="0" w:type="dxa"/>
              <w:left w:w="108" w:type="dxa"/>
              <w:bottom w:w="0" w:type="dxa"/>
              <w:right w:w="108" w:type="dxa"/>
            </w:tcMar>
            <w:vAlign w:val="center"/>
          </w:tcPr>
          <w:p w14:paraId="16497B2F" w14:textId="77777777" w:rsidR="007E31E3" w:rsidRPr="00524435" w:rsidRDefault="007E31E3" w:rsidP="00820229">
            <w:pPr>
              <w:contextualSpacing/>
              <w:jc w:val="both"/>
              <w:rPr>
                <w:rFonts w:ascii="Cambria" w:hAnsi="Cambria"/>
                <w:color w:val="333333"/>
                <w:sz w:val="18"/>
                <w:szCs w:val="18"/>
              </w:rPr>
            </w:pPr>
            <w:r w:rsidRPr="00524435">
              <w:rPr>
                <w:rFonts w:ascii="Cambria" w:eastAsia="MS Mincho" w:hAnsi="Cambria" w:cs="Arial"/>
                <w:b/>
                <w:sz w:val="18"/>
                <w:szCs w:val="18"/>
                <w:lang w:eastAsia="es-ES_tradnl"/>
              </w:rPr>
              <w:t xml:space="preserve">Clause 1.1. </w:t>
            </w:r>
            <w:r w:rsidRPr="00524435">
              <w:rPr>
                <w:rFonts w:ascii="Cambria" w:hAnsi="Cambria" w:cs="Arial"/>
                <w:b/>
                <w:bCs/>
                <w:sz w:val="18"/>
                <w:szCs w:val="18"/>
              </w:rPr>
              <w:t xml:space="preserve">Act of redress: </w:t>
            </w:r>
            <w:r w:rsidRPr="00524435">
              <w:rPr>
                <w:rFonts w:ascii="Cambria" w:hAnsi="Cambria" w:cs="Arial"/>
                <w:sz w:val="18"/>
                <w:szCs w:val="18"/>
              </w:rPr>
              <w:t xml:space="preserve"> A Virtual Act of Responsibility Recognition will be held with the active participation of the next of kin and the representatives of the victims. In this Act, state </w:t>
            </w:r>
            <w:r w:rsidRPr="00524435">
              <w:rPr>
                <w:rFonts w:ascii="Cambria" w:hAnsi="Cambria" w:cs="Arial"/>
                <w:sz w:val="18"/>
                <w:szCs w:val="18"/>
              </w:rPr>
              <w:lastRenderedPageBreak/>
              <w:t>responsibility will be recognized in the terms established in this Agreement. The National Agency for the Legal Defense of the State will oversee the measure.</w:t>
            </w:r>
          </w:p>
        </w:tc>
        <w:tc>
          <w:tcPr>
            <w:tcW w:w="1440" w:type="dxa"/>
            <w:gridSpan w:val="2"/>
            <w:shd w:val="clear" w:color="auto" w:fill="auto"/>
            <w:tcMar>
              <w:top w:w="0" w:type="dxa"/>
              <w:left w:w="108" w:type="dxa"/>
              <w:bottom w:w="0" w:type="dxa"/>
              <w:right w:w="108" w:type="dxa"/>
            </w:tcMar>
            <w:vAlign w:val="center"/>
          </w:tcPr>
          <w:p w14:paraId="1C078528"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lastRenderedPageBreak/>
              <w:t>Total 2021</w:t>
            </w:r>
          </w:p>
        </w:tc>
      </w:tr>
      <w:tr w:rsidR="007E31E3" w:rsidRPr="00524435" w14:paraId="485E61E7" w14:textId="77777777" w:rsidTr="00820229">
        <w:tc>
          <w:tcPr>
            <w:tcW w:w="562" w:type="dxa"/>
            <w:shd w:val="clear" w:color="auto" w:fill="auto"/>
            <w:tcMar>
              <w:top w:w="0" w:type="dxa"/>
              <w:left w:w="108" w:type="dxa"/>
              <w:bottom w:w="0" w:type="dxa"/>
              <w:right w:w="108" w:type="dxa"/>
            </w:tcMar>
            <w:vAlign w:val="center"/>
          </w:tcPr>
          <w:p w14:paraId="0161F525"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vAlign w:val="center"/>
          </w:tcPr>
          <w:p w14:paraId="2606373A" w14:textId="77777777" w:rsidR="007E31E3" w:rsidRPr="00524435" w:rsidRDefault="007E31E3" w:rsidP="00820229">
            <w:pPr>
              <w:jc w:val="center"/>
              <w:rPr>
                <w:rFonts w:ascii="Cambria" w:hAnsi="Cambria"/>
                <w:b/>
                <w:sz w:val="18"/>
                <w:szCs w:val="18"/>
              </w:rPr>
            </w:pPr>
          </w:p>
        </w:tc>
        <w:tc>
          <w:tcPr>
            <w:tcW w:w="1081" w:type="dxa"/>
            <w:shd w:val="clear" w:color="auto" w:fill="auto"/>
            <w:tcMar>
              <w:top w:w="0" w:type="dxa"/>
              <w:left w:w="108" w:type="dxa"/>
              <w:bottom w:w="0" w:type="dxa"/>
              <w:right w:w="108" w:type="dxa"/>
            </w:tcMar>
            <w:vAlign w:val="center"/>
          </w:tcPr>
          <w:p w14:paraId="57817B0B"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1D5A4B93" w14:textId="77777777" w:rsidR="007E31E3" w:rsidRPr="00524435" w:rsidRDefault="007E31E3" w:rsidP="00820229">
            <w:pPr>
              <w:contextualSpacing/>
              <w:jc w:val="both"/>
              <w:rPr>
                <w:rFonts w:ascii="Cambria" w:hAnsi="Cambria"/>
                <w:color w:val="333333"/>
                <w:sz w:val="18"/>
                <w:szCs w:val="18"/>
              </w:rPr>
            </w:pPr>
            <w:r w:rsidRPr="00524435">
              <w:rPr>
                <w:rFonts w:ascii="Cambria" w:eastAsia="MS Mincho" w:hAnsi="Cambria" w:cs="Arial"/>
                <w:b/>
                <w:sz w:val="18"/>
                <w:szCs w:val="18"/>
                <w:lang w:eastAsia="es-ES_tradnl"/>
              </w:rPr>
              <w:t xml:space="preserve">Clause 1. 4. </w:t>
            </w:r>
            <w:r w:rsidRPr="00524435">
              <w:rPr>
                <w:rFonts w:ascii="Cambria" w:hAnsi="Cambria" w:cs="Arial"/>
                <w:b/>
                <w:bCs/>
                <w:sz w:val="18"/>
                <w:szCs w:val="18"/>
              </w:rPr>
              <w:t xml:space="preserve">Justice Measures: </w:t>
            </w:r>
            <w:r w:rsidRPr="00524435">
              <w:rPr>
                <w:rFonts w:ascii="Cambria" w:hAnsi="Cambria" w:cs="Arial"/>
                <w:sz w:val="18"/>
                <w:szCs w:val="18"/>
              </w:rPr>
              <w:t xml:space="preserve">The National Agency for Legal Defense of the State will request the Office of the Attorney General of the Nation to study the feasibility of filing a Review Action against the process initiated by the events that occurred on February 5, 1999, in the </w:t>
            </w:r>
            <w:proofErr w:type="spellStart"/>
            <w:r w:rsidRPr="00524435">
              <w:rPr>
                <w:rFonts w:ascii="Cambria" w:hAnsi="Cambria" w:cs="Arial"/>
                <w:sz w:val="18"/>
                <w:szCs w:val="18"/>
              </w:rPr>
              <w:t>Gaula</w:t>
            </w:r>
            <w:proofErr w:type="spellEnd"/>
            <w:r w:rsidRPr="00524435">
              <w:rPr>
                <w:rFonts w:ascii="Cambria" w:hAnsi="Cambria" w:cs="Arial"/>
                <w:sz w:val="18"/>
                <w:szCs w:val="18"/>
              </w:rPr>
              <w:t xml:space="preserve"> cells of the Medellín Police, in the context of which Mr. Luis </w:t>
            </w:r>
            <w:proofErr w:type="spellStart"/>
            <w:r w:rsidRPr="00524435">
              <w:rPr>
                <w:rFonts w:ascii="Cambria" w:hAnsi="Cambria" w:cs="Arial"/>
                <w:sz w:val="18"/>
                <w:szCs w:val="18"/>
              </w:rPr>
              <w:t>Argemiro</w:t>
            </w:r>
            <w:proofErr w:type="spellEnd"/>
            <w:r w:rsidRPr="00524435">
              <w:rPr>
                <w:rFonts w:ascii="Cambria" w:hAnsi="Cambria" w:cs="Arial"/>
                <w:sz w:val="18"/>
                <w:szCs w:val="18"/>
              </w:rPr>
              <w:t xml:space="preserve"> Gómez </w:t>
            </w:r>
            <w:proofErr w:type="spellStart"/>
            <w:r w:rsidRPr="00524435">
              <w:rPr>
                <w:rFonts w:ascii="Cambria" w:hAnsi="Cambria" w:cs="Arial"/>
                <w:sz w:val="18"/>
                <w:szCs w:val="18"/>
              </w:rPr>
              <w:t>Atehortua</w:t>
            </w:r>
            <w:proofErr w:type="spellEnd"/>
            <w:r w:rsidRPr="00524435">
              <w:rPr>
                <w:rFonts w:ascii="Cambria" w:hAnsi="Cambria" w:cs="Arial"/>
                <w:sz w:val="18"/>
                <w:szCs w:val="18"/>
              </w:rPr>
              <w:t xml:space="preserve"> lost his life.</w:t>
            </w:r>
          </w:p>
        </w:tc>
        <w:tc>
          <w:tcPr>
            <w:tcW w:w="1440" w:type="dxa"/>
            <w:gridSpan w:val="2"/>
            <w:shd w:val="clear" w:color="auto" w:fill="auto"/>
            <w:tcMar>
              <w:top w:w="0" w:type="dxa"/>
              <w:left w:w="108" w:type="dxa"/>
              <w:bottom w:w="0" w:type="dxa"/>
              <w:right w:w="108" w:type="dxa"/>
            </w:tcMar>
            <w:vAlign w:val="center"/>
          </w:tcPr>
          <w:p w14:paraId="2C11F7DB"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125EDEF1" w14:textId="77777777" w:rsidTr="00820229">
        <w:tc>
          <w:tcPr>
            <w:tcW w:w="562" w:type="dxa"/>
            <w:shd w:val="clear" w:color="auto" w:fill="D9D9D9" w:themeFill="background1" w:themeFillShade="D9"/>
            <w:tcMar>
              <w:top w:w="0" w:type="dxa"/>
              <w:left w:w="108" w:type="dxa"/>
              <w:bottom w:w="0" w:type="dxa"/>
              <w:right w:w="108" w:type="dxa"/>
            </w:tcMar>
            <w:vAlign w:val="center"/>
          </w:tcPr>
          <w:p w14:paraId="67DEB07C"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shd w:val="clear" w:color="auto" w:fill="D9D9D9" w:themeFill="background1" w:themeFillShade="D9"/>
            <w:vAlign w:val="center"/>
          </w:tcPr>
          <w:p w14:paraId="65256F85" w14:textId="77777777" w:rsidR="007E31E3" w:rsidRPr="00E42B49" w:rsidRDefault="007E31E3" w:rsidP="00820229">
            <w:pPr>
              <w:jc w:val="center"/>
              <w:rPr>
                <w:rFonts w:ascii="Cambria" w:hAnsi="Cambria"/>
                <w:b/>
                <w:bCs/>
                <w:sz w:val="18"/>
                <w:szCs w:val="18"/>
                <w:lang w:val="es-US"/>
              </w:rPr>
            </w:pPr>
            <w:r w:rsidRPr="00E42B49">
              <w:rPr>
                <w:rFonts w:ascii="Cambria" w:eastAsia="MS Mincho" w:hAnsi="Cambria" w:cs="Arial"/>
                <w:b/>
                <w:bCs/>
                <w:sz w:val="18"/>
                <w:szCs w:val="18"/>
                <w:lang w:val="es-US" w:eastAsia="es-ES_tradnl"/>
              </w:rPr>
              <w:t xml:space="preserve">Case 13.571, </w:t>
            </w:r>
            <w:proofErr w:type="spellStart"/>
            <w:r w:rsidRPr="00E42B49">
              <w:rPr>
                <w:rFonts w:ascii="Cambria" w:eastAsia="MS Mincho" w:hAnsi="Cambria" w:cs="Arial"/>
                <w:b/>
                <w:bCs/>
                <w:sz w:val="18"/>
                <w:szCs w:val="18"/>
                <w:lang w:val="es-US" w:eastAsia="es-ES_tradnl"/>
              </w:rPr>
              <w:t>Report</w:t>
            </w:r>
            <w:proofErr w:type="spellEnd"/>
            <w:r w:rsidRPr="00E42B49">
              <w:rPr>
                <w:rFonts w:ascii="Cambria" w:eastAsia="MS Mincho" w:hAnsi="Cambria" w:cs="Arial"/>
                <w:b/>
                <w:bCs/>
                <w:sz w:val="18"/>
                <w:szCs w:val="18"/>
                <w:lang w:val="es-US" w:eastAsia="es-ES_tradnl"/>
              </w:rPr>
              <w:t xml:space="preserve"> No.336/21, Carlos Mario Muñoz (Colombia)</w:t>
            </w:r>
          </w:p>
        </w:tc>
        <w:tc>
          <w:tcPr>
            <w:tcW w:w="1081" w:type="dxa"/>
            <w:shd w:val="clear" w:color="auto" w:fill="D9D9D9" w:themeFill="background1" w:themeFillShade="D9"/>
            <w:tcMar>
              <w:top w:w="0" w:type="dxa"/>
              <w:left w:w="108" w:type="dxa"/>
              <w:bottom w:w="0" w:type="dxa"/>
              <w:right w:w="108" w:type="dxa"/>
            </w:tcMar>
            <w:vAlign w:val="center"/>
          </w:tcPr>
          <w:p w14:paraId="68341F6D"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32A677D5" w14:textId="77777777" w:rsidR="007E31E3" w:rsidRPr="00524435" w:rsidRDefault="007E31E3" w:rsidP="00820229">
            <w:pPr>
              <w:contextualSpacing/>
              <w:jc w:val="both"/>
              <w:rPr>
                <w:rFonts w:ascii="Cambria" w:eastAsia="MS Mincho" w:hAnsi="Cambria" w:cs="Arial"/>
                <w:b/>
                <w:sz w:val="18"/>
                <w:szCs w:val="18"/>
                <w:lang w:eastAsia="es-ES_tradnl"/>
              </w:rPr>
            </w:pPr>
            <w:r w:rsidRPr="00524435">
              <w:rPr>
                <w:rFonts w:ascii="Cambria" w:hAnsi="Cambria" w:cs="Arial"/>
                <w:b/>
                <w:bCs/>
                <w:sz w:val="18"/>
                <w:szCs w:val="18"/>
              </w:rPr>
              <w:t>Clause 5.1.1. Act of redress.</w:t>
            </w:r>
            <w:r w:rsidRPr="00524435">
              <w:rPr>
                <w:rFonts w:ascii="Cambria" w:hAnsi="Cambria" w:cs="Arial"/>
                <w:sz w:val="18"/>
                <w:szCs w:val="18"/>
              </w:rPr>
              <w:t xml:space="preserve"> A virtual Act of Acknowledgment of Responsibility. The act of acknowledgment of responsibility will be carried out with the active participation of the next of kin and the representatives of the victims. In it, state responsibility will be recognized in the terms established in this agreement. This measure will </w:t>
            </w:r>
            <w:proofErr w:type="gramStart"/>
            <w:r w:rsidRPr="00524435">
              <w:rPr>
                <w:rFonts w:ascii="Cambria" w:hAnsi="Cambria" w:cs="Arial"/>
                <w:sz w:val="18"/>
                <w:szCs w:val="18"/>
              </w:rPr>
              <w:t>be in charge of</w:t>
            </w:r>
            <w:proofErr w:type="gramEnd"/>
            <w:r w:rsidRPr="00524435">
              <w:rPr>
                <w:rFonts w:ascii="Cambria" w:hAnsi="Cambria" w:cs="Arial"/>
                <w:sz w:val="18"/>
                <w:szCs w:val="18"/>
              </w:rPr>
              <w:t xml:space="preserve"> the National Legal Defense Agency of the State.</w:t>
            </w:r>
          </w:p>
        </w:tc>
        <w:tc>
          <w:tcPr>
            <w:tcW w:w="1440" w:type="dxa"/>
            <w:gridSpan w:val="2"/>
            <w:shd w:val="clear" w:color="auto" w:fill="D9D9D9" w:themeFill="background1" w:themeFillShade="D9"/>
            <w:tcMar>
              <w:top w:w="0" w:type="dxa"/>
              <w:left w:w="108" w:type="dxa"/>
              <w:bottom w:w="0" w:type="dxa"/>
              <w:right w:w="108" w:type="dxa"/>
            </w:tcMar>
            <w:vAlign w:val="center"/>
          </w:tcPr>
          <w:p w14:paraId="374FFB0C"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6C57DE4E" w14:textId="77777777" w:rsidTr="00820229">
        <w:tc>
          <w:tcPr>
            <w:tcW w:w="562" w:type="dxa"/>
            <w:shd w:val="clear" w:color="auto" w:fill="auto"/>
            <w:tcMar>
              <w:top w:w="0" w:type="dxa"/>
              <w:left w:w="108" w:type="dxa"/>
              <w:bottom w:w="0" w:type="dxa"/>
              <w:right w:w="108" w:type="dxa"/>
            </w:tcMar>
            <w:vAlign w:val="center"/>
          </w:tcPr>
          <w:p w14:paraId="5C9B8663"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shd w:val="clear" w:color="auto" w:fill="auto"/>
            <w:vAlign w:val="center"/>
          </w:tcPr>
          <w:p w14:paraId="557F5EB4" w14:textId="77777777" w:rsidR="007E31E3" w:rsidRPr="00524435" w:rsidRDefault="007E31E3" w:rsidP="00820229">
            <w:pPr>
              <w:jc w:val="center"/>
              <w:rPr>
                <w:rFonts w:ascii="Cambria" w:hAnsi="Cambria"/>
                <w:b/>
                <w:bCs/>
                <w:sz w:val="18"/>
                <w:szCs w:val="18"/>
              </w:rPr>
            </w:pPr>
            <w:r w:rsidRPr="00524435">
              <w:rPr>
                <w:rFonts w:ascii="Cambria" w:eastAsia="MS Mincho" w:hAnsi="Cambria" w:cs="Arial"/>
                <w:b/>
                <w:bCs/>
                <w:sz w:val="18"/>
                <w:szCs w:val="18"/>
                <w:lang w:eastAsia="es-ES_tradnl"/>
              </w:rPr>
              <w:t xml:space="preserve">Case 13.758, Report No.337/21, </w:t>
            </w:r>
            <w:r w:rsidRPr="00524435">
              <w:rPr>
                <w:rFonts w:ascii="Cambria" w:hAnsi="Cambria"/>
                <w:b/>
                <w:bCs/>
                <w:color w:val="000000"/>
                <w:sz w:val="18"/>
                <w:szCs w:val="18"/>
              </w:rPr>
              <w:t>Franklin Bustamante Restrepo</w:t>
            </w:r>
            <w:r w:rsidRPr="00524435">
              <w:rPr>
                <w:rFonts w:ascii="Cambria" w:eastAsia="MS Mincho" w:hAnsi="Cambria" w:cs="Arial"/>
                <w:b/>
                <w:bCs/>
                <w:sz w:val="18"/>
                <w:szCs w:val="18"/>
                <w:lang w:eastAsia="es-ES_tradnl"/>
              </w:rPr>
              <w:t xml:space="preserve"> (Colombia)</w:t>
            </w:r>
          </w:p>
        </w:tc>
        <w:tc>
          <w:tcPr>
            <w:tcW w:w="1081" w:type="dxa"/>
            <w:shd w:val="clear" w:color="auto" w:fill="auto"/>
            <w:tcMar>
              <w:top w:w="0" w:type="dxa"/>
              <w:left w:w="108" w:type="dxa"/>
              <w:bottom w:w="0" w:type="dxa"/>
              <w:right w:w="108" w:type="dxa"/>
            </w:tcMar>
            <w:vAlign w:val="center"/>
          </w:tcPr>
          <w:p w14:paraId="1260F7F5"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2D15404E" w14:textId="77777777" w:rsidR="007E31E3" w:rsidRPr="00524435" w:rsidRDefault="007E31E3" w:rsidP="00820229">
            <w:pPr>
              <w:contextualSpacing/>
              <w:jc w:val="both"/>
              <w:rPr>
                <w:rFonts w:ascii="Cambria" w:hAnsi="Cambria" w:cs="Arial"/>
                <w:b/>
                <w:bCs/>
                <w:sz w:val="18"/>
                <w:szCs w:val="18"/>
              </w:rPr>
            </w:pPr>
            <w:r w:rsidRPr="00524435">
              <w:rPr>
                <w:rFonts w:ascii="Cambria" w:hAnsi="Cambria" w:cs="Arial"/>
                <w:b/>
                <w:bCs/>
                <w:sz w:val="18"/>
                <w:szCs w:val="18"/>
              </w:rPr>
              <w:t xml:space="preserve">Clause 5.1 Measures of Satisfaction. Act of Acknowledgement of Responsibility: </w:t>
            </w:r>
            <w:r w:rsidRPr="00524435">
              <w:rPr>
                <w:rFonts w:ascii="Cambria" w:hAnsi="Cambria" w:cs="Arial"/>
                <w:sz w:val="18"/>
                <w:szCs w:val="18"/>
              </w:rPr>
              <w:t>The Colombian State is to perform a Public Act of Acknowledgement of Responsibility, which is to be conducted in a virtual manner with the participation of the family of Mr. Franklin Bustamante and their representatives. The act shall be performed pursuant to the acknowledgement of responsibility mentioned in this Agreement.</w:t>
            </w:r>
          </w:p>
        </w:tc>
        <w:tc>
          <w:tcPr>
            <w:tcW w:w="1440" w:type="dxa"/>
            <w:gridSpan w:val="2"/>
            <w:shd w:val="clear" w:color="auto" w:fill="auto"/>
            <w:tcMar>
              <w:top w:w="0" w:type="dxa"/>
              <w:left w:w="108" w:type="dxa"/>
              <w:bottom w:w="0" w:type="dxa"/>
              <w:right w:w="108" w:type="dxa"/>
            </w:tcMar>
            <w:vAlign w:val="center"/>
          </w:tcPr>
          <w:p w14:paraId="2350C30F"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05B420AC" w14:textId="77777777" w:rsidTr="00820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5"/>
        </w:trPr>
        <w:tc>
          <w:tcPr>
            <w:tcW w:w="9805" w:type="dxa"/>
            <w:gridSpan w:val="7"/>
            <w:tcBorders>
              <w:top w:val="single" w:sz="4"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01F83799" w14:textId="77777777" w:rsidR="007E31E3" w:rsidRPr="00524435" w:rsidRDefault="007E31E3" w:rsidP="00E1597F">
            <w:pPr>
              <w:spacing w:after="0" w:line="240" w:lineRule="auto"/>
              <w:jc w:val="center"/>
              <w:rPr>
                <w:rFonts w:ascii="Cambria" w:hAnsi="Cambria"/>
                <w:b/>
                <w:sz w:val="18"/>
                <w:szCs w:val="18"/>
              </w:rPr>
            </w:pPr>
            <w:r w:rsidRPr="00524435">
              <w:rPr>
                <w:rFonts w:ascii="Cambria" w:hAnsi="Cambria"/>
                <w:b/>
                <w:sz w:val="18"/>
                <w:szCs w:val="18"/>
              </w:rPr>
              <w:t>Number of measures where progress was achieved: 27 (18 individual and 9 structural)</w:t>
            </w:r>
          </w:p>
          <w:p w14:paraId="2A79935E" w14:textId="77777777" w:rsidR="007E31E3" w:rsidRPr="00524435" w:rsidRDefault="007E31E3" w:rsidP="00E1597F">
            <w:pPr>
              <w:spacing w:after="0" w:line="240" w:lineRule="auto"/>
              <w:jc w:val="center"/>
              <w:rPr>
                <w:rFonts w:ascii="Cambria" w:hAnsi="Cambria"/>
                <w:b/>
                <w:sz w:val="18"/>
                <w:szCs w:val="18"/>
              </w:rPr>
            </w:pPr>
            <w:r w:rsidRPr="00524435">
              <w:rPr>
                <w:rFonts w:ascii="Cambria" w:hAnsi="Cambria"/>
                <w:b/>
                <w:sz w:val="18"/>
                <w:szCs w:val="18"/>
              </w:rPr>
              <w:t>Total compliance: 15</w:t>
            </w:r>
          </w:p>
          <w:p w14:paraId="15174C21" w14:textId="77777777" w:rsidR="007E31E3" w:rsidRPr="00524435" w:rsidRDefault="007E31E3" w:rsidP="00E1597F">
            <w:pPr>
              <w:spacing w:after="0" w:line="240" w:lineRule="auto"/>
              <w:jc w:val="center"/>
              <w:rPr>
                <w:rFonts w:ascii="Cambria" w:hAnsi="Cambria"/>
                <w:b/>
                <w:sz w:val="18"/>
                <w:szCs w:val="18"/>
              </w:rPr>
            </w:pPr>
            <w:r w:rsidRPr="00524435">
              <w:rPr>
                <w:rFonts w:ascii="Cambria" w:hAnsi="Cambria"/>
                <w:b/>
                <w:sz w:val="18"/>
                <w:szCs w:val="18"/>
              </w:rPr>
              <w:t>Partial substantial: 3</w:t>
            </w:r>
          </w:p>
          <w:p w14:paraId="39D04357" w14:textId="77777777" w:rsidR="007E31E3" w:rsidRPr="00524435" w:rsidRDefault="007E31E3" w:rsidP="00E1597F">
            <w:pPr>
              <w:spacing w:after="0" w:line="240" w:lineRule="auto"/>
              <w:jc w:val="center"/>
              <w:rPr>
                <w:rFonts w:ascii="Cambria" w:hAnsi="Cambria"/>
                <w:b/>
                <w:strike/>
                <w:color w:val="FF0000"/>
                <w:sz w:val="18"/>
                <w:szCs w:val="18"/>
              </w:rPr>
            </w:pPr>
            <w:r w:rsidRPr="00524435">
              <w:rPr>
                <w:rFonts w:ascii="Cambria" w:hAnsi="Cambria"/>
                <w:b/>
                <w:sz w:val="18"/>
                <w:szCs w:val="18"/>
              </w:rPr>
              <w:t>Partial compliance:  9</w:t>
            </w:r>
          </w:p>
        </w:tc>
      </w:tr>
      <w:tr w:rsidR="007E31E3" w:rsidRPr="00524435" w14:paraId="05EC4FFF" w14:textId="77777777" w:rsidTr="00820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8"/>
        </w:trPr>
        <w:tc>
          <w:tcPr>
            <w:tcW w:w="9805" w:type="dxa"/>
            <w:gridSpan w:val="7"/>
            <w:tcBorders>
              <w:top w:val="single" w:sz="4"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6A562592"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ECUADOR</w:t>
            </w:r>
          </w:p>
        </w:tc>
      </w:tr>
      <w:tr w:rsidR="007E31E3" w:rsidRPr="00524435" w14:paraId="7880EBAA" w14:textId="77777777" w:rsidTr="00820229">
        <w:tc>
          <w:tcPr>
            <w:tcW w:w="562" w:type="dxa"/>
            <w:shd w:val="clear" w:color="auto" w:fill="D9D9D9" w:themeFill="background1" w:themeFillShade="D9"/>
            <w:tcMar>
              <w:top w:w="0" w:type="dxa"/>
              <w:left w:w="108" w:type="dxa"/>
              <w:bottom w:w="0" w:type="dxa"/>
              <w:right w:w="108" w:type="dxa"/>
            </w:tcMar>
            <w:vAlign w:val="center"/>
          </w:tcPr>
          <w:p w14:paraId="55C5AA13"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shd w:val="clear" w:color="auto" w:fill="D9D9D9" w:themeFill="background1" w:themeFillShade="D9"/>
            <w:vAlign w:val="center"/>
          </w:tcPr>
          <w:p w14:paraId="1B1A7CD6" w14:textId="77777777" w:rsidR="007E31E3" w:rsidRPr="00E42B49" w:rsidRDefault="007E31E3" w:rsidP="00820229">
            <w:pPr>
              <w:jc w:val="center"/>
              <w:rPr>
                <w:rFonts w:ascii="Cambria" w:hAnsi="Cambria"/>
                <w:b/>
                <w:sz w:val="18"/>
                <w:szCs w:val="18"/>
                <w:lang w:val="es-US"/>
              </w:rPr>
            </w:pPr>
            <w:r w:rsidRPr="00E42B49">
              <w:rPr>
                <w:rFonts w:ascii="Cambria" w:eastAsia="MS Mincho" w:hAnsi="Cambria" w:cs="Arial"/>
                <w:b/>
                <w:bCs/>
                <w:sz w:val="18"/>
                <w:szCs w:val="18"/>
                <w:lang w:val="es-US" w:eastAsia="es-ES_tradnl"/>
              </w:rPr>
              <w:t xml:space="preserve">Case 12.631, </w:t>
            </w:r>
            <w:proofErr w:type="spellStart"/>
            <w:r w:rsidRPr="00E42B49">
              <w:rPr>
                <w:rFonts w:ascii="Cambria" w:eastAsia="MS Mincho" w:hAnsi="Cambria" w:cs="Arial"/>
                <w:b/>
                <w:bCs/>
                <w:sz w:val="18"/>
                <w:szCs w:val="18"/>
                <w:lang w:val="es-US" w:eastAsia="es-ES_tradnl"/>
              </w:rPr>
              <w:t>Report</w:t>
            </w:r>
            <w:proofErr w:type="spellEnd"/>
            <w:r w:rsidRPr="00E42B49">
              <w:rPr>
                <w:rFonts w:ascii="Cambria" w:eastAsia="MS Mincho" w:hAnsi="Cambria" w:cs="Arial"/>
                <w:b/>
                <w:bCs/>
                <w:sz w:val="18"/>
                <w:szCs w:val="18"/>
                <w:lang w:val="es-US" w:eastAsia="es-ES_tradnl"/>
              </w:rPr>
              <w:t xml:space="preserve"> No.61/13, </w:t>
            </w:r>
            <w:r w:rsidRPr="00E42B49">
              <w:rPr>
                <w:rFonts w:ascii="Cambria" w:hAnsi="Cambria"/>
                <w:b/>
                <w:bCs/>
                <w:color w:val="000000"/>
                <w:sz w:val="18"/>
                <w:szCs w:val="18"/>
                <w:lang w:val="es-US"/>
              </w:rPr>
              <w:t>Karina Montenegro et al</w:t>
            </w:r>
            <w:r w:rsidRPr="00E42B49">
              <w:rPr>
                <w:rFonts w:ascii="Cambria" w:hAnsi="Cambria"/>
                <w:b/>
                <w:bCs/>
                <w:color w:val="000000"/>
                <w:sz w:val="18"/>
                <w:szCs w:val="18"/>
                <w:lang w:val="es-US"/>
              </w:rPr>
              <w:br/>
              <w:t>|</w:t>
            </w:r>
            <w:r w:rsidRPr="00E42B49">
              <w:rPr>
                <w:rFonts w:ascii="Cambria" w:eastAsia="MS Mincho" w:hAnsi="Cambria" w:cs="Arial"/>
                <w:b/>
                <w:bCs/>
                <w:sz w:val="18"/>
                <w:szCs w:val="18"/>
                <w:lang w:val="es-US" w:eastAsia="es-ES_tradnl"/>
              </w:rPr>
              <w:t xml:space="preserve"> (Ecuador)</w:t>
            </w:r>
          </w:p>
        </w:tc>
        <w:tc>
          <w:tcPr>
            <w:tcW w:w="1081" w:type="dxa"/>
            <w:shd w:val="clear" w:color="auto" w:fill="D9D9D9" w:themeFill="background1" w:themeFillShade="D9"/>
            <w:tcMar>
              <w:top w:w="0" w:type="dxa"/>
              <w:left w:w="108" w:type="dxa"/>
              <w:bottom w:w="0" w:type="dxa"/>
              <w:right w:w="108" w:type="dxa"/>
            </w:tcMar>
            <w:vAlign w:val="center"/>
          </w:tcPr>
          <w:p w14:paraId="6233E0BA"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D9D9D9" w:themeFill="background1" w:themeFillShade="D9"/>
            <w:tcMar>
              <w:top w:w="0" w:type="dxa"/>
              <w:left w:w="108" w:type="dxa"/>
              <w:bottom w:w="0" w:type="dxa"/>
              <w:right w:w="108" w:type="dxa"/>
            </w:tcMar>
            <w:vAlign w:val="center"/>
          </w:tcPr>
          <w:p w14:paraId="7B41283E" w14:textId="77777777" w:rsidR="007E31E3" w:rsidRPr="00524435" w:rsidRDefault="007E31E3" w:rsidP="00820229">
            <w:pPr>
              <w:tabs>
                <w:tab w:val="left" w:pos="336"/>
              </w:tabs>
              <w:ind w:left="27" w:right="-18"/>
              <w:jc w:val="both"/>
              <w:rPr>
                <w:rFonts w:ascii="Cambria" w:eastAsia="MS Mincho" w:hAnsi="Cambria"/>
                <w:color w:val="000000"/>
                <w:sz w:val="18"/>
                <w:szCs w:val="18"/>
                <w:lang w:eastAsia="es-ES_tradnl"/>
              </w:rPr>
            </w:pPr>
            <w:r w:rsidRPr="00524435">
              <w:rPr>
                <w:rFonts w:ascii="Cambria" w:hAnsi="Cambria"/>
                <w:b/>
                <w:color w:val="000000"/>
                <w:sz w:val="18"/>
                <w:szCs w:val="18"/>
              </w:rPr>
              <w:t>Clause 3.b. Supply of inputs.</w:t>
            </w:r>
            <w:r w:rsidRPr="00524435">
              <w:rPr>
                <w:rFonts w:ascii="Cambria" w:eastAsia="MS Mincho" w:hAnsi="Cambria"/>
                <w:color w:val="000000"/>
                <w:sz w:val="18"/>
                <w:szCs w:val="18"/>
                <w:lang w:eastAsia="es-ES_tradnl"/>
              </w:rPr>
              <w:t xml:space="preserve"> Provision of staff and inputs to enforce the guarantee of house arrest</w:t>
            </w:r>
          </w:p>
        </w:tc>
        <w:tc>
          <w:tcPr>
            <w:tcW w:w="1440" w:type="dxa"/>
            <w:gridSpan w:val="2"/>
            <w:shd w:val="clear" w:color="auto" w:fill="D9D9D9" w:themeFill="background1" w:themeFillShade="D9"/>
            <w:tcMar>
              <w:top w:w="0" w:type="dxa"/>
              <w:left w:w="108" w:type="dxa"/>
              <w:bottom w:w="0" w:type="dxa"/>
              <w:right w:w="108" w:type="dxa"/>
            </w:tcMar>
            <w:vAlign w:val="center"/>
          </w:tcPr>
          <w:p w14:paraId="0DB1C937"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580DC0E3" w14:textId="77777777" w:rsidTr="00820229">
        <w:tc>
          <w:tcPr>
            <w:tcW w:w="562" w:type="dxa"/>
            <w:shd w:val="clear" w:color="auto" w:fill="auto"/>
            <w:tcMar>
              <w:top w:w="0" w:type="dxa"/>
              <w:left w:w="108" w:type="dxa"/>
              <w:bottom w:w="0" w:type="dxa"/>
              <w:right w:w="108" w:type="dxa"/>
            </w:tcMar>
            <w:vAlign w:val="center"/>
          </w:tcPr>
          <w:p w14:paraId="04DDCACD"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shd w:val="clear" w:color="auto" w:fill="auto"/>
            <w:vAlign w:val="center"/>
          </w:tcPr>
          <w:p w14:paraId="4BB9DFA2" w14:textId="77777777" w:rsidR="007E31E3" w:rsidRPr="00E42B49" w:rsidRDefault="007E31E3" w:rsidP="00820229">
            <w:pPr>
              <w:jc w:val="center"/>
              <w:rPr>
                <w:rFonts w:ascii="Cambria" w:hAnsi="Cambria"/>
                <w:b/>
                <w:sz w:val="18"/>
                <w:szCs w:val="18"/>
                <w:lang w:val="es-US"/>
              </w:rPr>
            </w:pPr>
            <w:r w:rsidRPr="00E42B49">
              <w:rPr>
                <w:rFonts w:ascii="Cambria" w:eastAsia="MS Mincho" w:hAnsi="Cambria" w:cs="Arial"/>
                <w:b/>
                <w:bCs/>
                <w:sz w:val="18"/>
                <w:szCs w:val="18"/>
                <w:lang w:val="es-US" w:eastAsia="es-ES_tradnl"/>
              </w:rPr>
              <w:t xml:space="preserve">Case 12.957, </w:t>
            </w:r>
            <w:proofErr w:type="spellStart"/>
            <w:r w:rsidRPr="00E42B49">
              <w:rPr>
                <w:rFonts w:ascii="Cambria" w:eastAsia="MS Mincho" w:hAnsi="Cambria" w:cs="Arial"/>
                <w:b/>
                <w:bCs/>
                <w:sz w:val="18"/>
                <w:szCs w:val="18"/>
                <w:lang w:val="es-US" w:eastAsia="es-ES_tradnl"/>
              </w:rPr>
              <w:t>Report</w:t>
            </w:r>
            <w:proofErr w:type="spellEnd"/>
            <w:r w:rsidRPr="00E42B49">
              <w:rPr>
                <w:rFonts w:ascii="Cambria" w:eastAsia="MS Mincho" w:hAnsi="Cambria" w:cs="Arial"/>
                <w:b/>
                <w:bCs/>
                <w:sz w:val="18"/>
                <w:szCs w:val="18"/>
                <w:lang w:val="es-US" w:eastAsia="es-ES_tradnl"/>
              </w:rPr>
              <w:t xml:space="preserve"> No.167/18, </w:t>
            </w:r>
            <w:r w:rsidRPr="00E42B49">
              <w:rPr>
                <w:rFonts w:ascii="Cambria" w:hAnsi="Cambria"/>
                <w:b/>
                <w:bCs/>
                <w:color w:val="000000"/>
                <w:sz w:val="18"/>
                <w:szCs w:val="18"/>
                <w:lang w:val="es-US"/>
              </w:rPr>
              <w:t xml:space="preserve">Luis Bolívar Hernández Peñaherrera </w:t>
            </w:r>
            <w:r w:rsidRPr="00E42B49">
              <w:rPr>
                <w:rFonts w:ascii="Cambria" w:eastAsia="MS Mincho" w:hAnsi="Cambria" w:cs="Arial"/>
                <w:b/>
                <w:bCs/>
                <w:sz w:val="18"/>
                <w:szCs w:val="18"/>
                <w:lang w:val="es-US" w:eastAsia="es-ES_tradnl"/>
              </w:rPr>
              <w:t>(Ecuador</w:t>
            </w:r>
            <w:r w:rsidRPr="00E42B49">
              <w:rPr>
                <w:rFonts w:ascii="Cambria" w:hAnsi="Cambria"/>
                <w:b/>
                <w:sz w:val="18"/>
                <w:szCs w:val="18"/>
                <w:lang w:val="es-US"/>
              </w:rPr>
              <w:t>)</w:t>
            </w:r>
          </w:p>
        </w:tc>
        <w:tc>
          <w:tcPr>
            <w:tcW w:w="1081" w:type="dxa"/>
            <w:shd w:val="clear" w:color="auto" w:fill="auto"/>
            <w:tcMar>
              <w:top w:w="0" w:type="dxa"/>
              <w:left w:w="108" w:type="dxa"/>
              <w:bottom w:w="0" w:type="dxa"/>
              <w:right w:w="108" w:type="dxa"/>
            </w:tcMar>
            <w:vAlign w:val="center"/>
          </w:tcPr>
          <w:p w14:paraId="34C5166E"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07FA45DE" w14:textId="77777777" w:rsidR="007E31E3" w:rsidRPr="00524435" w:rsidRDefault="007E31E3" w:rsidP="00820229">
            <w:pPr>
              <w:ind w:right="72"/>
              <w:jc w:val="both"/>
              <w:rPr>
                <w:rFonts w:ascii="Cambria" w:eastAsia="Times New Roman" w:hAnsi="Cambria"/>
                <w:bCs/>
                <w:color w:val="000000"/>
                <w:kern w:val="36"/>
                <w:sz w:val="18"/>
                <w:szCs w:val="18"/>
              </w:rPr>
            </w:pPr>
            <w:r w:rsidRPr="00524435">
              <w:rPr>
                <w:rFonts w:ascii="Cambria" w:hAnsi="Cambria"/>
                <w:b/>
                <w:color w:val="000000"/>
                <w:sz w:val="18"/>
                <w:szCs w:val="18"/>
              </w:rPr>
              <w:t>Clause 7. Reparation measures:</w:t>
            </w:r>
            <w:r w:rsidRPr="00524435">
              <w:rPr>
                <w:rFonts w:ascii="Cambria" w:hAnsi="Cambria"/>
                <w:sz w:val="18"/>
                <w:szCs w:val="18"/>
              </w:rPr>
              <w:t xml:space="preserve"> </w:t>
            </w:r>
            <w:r w:rsidRPr="00524435">
              <w:rPr>
                <w:rFonts w:ascii="Cambria" w:eastAsia="Times New Roman" w:hAnsi="Cambria"/>
                <w:bCs/>
                <w:color w:val="000000"/>
                <w:kern w:val="36"/>
                <w:sz w:val="18"/>
                <w:szCs w:val="18"/>
              </w:rPr>
              <w:t xml:space="preserve">Following the negotiation process, […] the President of the Republic will award Luis Bolivar Hernandez </w:t>
            </w:r>
            <w:proofErr w:type="spellStart"/>
            <w:r w:rsidRPr="00524435">
              <w:rPr>
                <w:rFonts w:ascii="Cambria" w:eastAsia="Times New Roman" w:hAnsi="Cambria"/>
                <w:bCs/>
                <w:color w:val="000000"/>
                <w:kern w:val="36"/>
                <w:sz w:val="18"/>
                <w:szCs w:val="18"/>
              </w:rPr>
              <w:t>Peñaherrera</w:t>
            </w:r>
            <w:proofErr w:type="spellEnd"/>
            <w:r w:rsidRPr="00524435">
              <w:rPr>
                <w:rFonts w:ascii="Cambria" w:eastAsia="Times New Roman" w:hAnsi="Cambria"/>
                <w:bCs/>
                <w:color w:val="000000"/>
                <w:kern w:val="36"/>
                <w:sz w:val="18"/>
                <w:szCs w:val="18"/>
              </w:rPr>
              <w:t xml:space="preserve"> the rank of brigadier general and in the same act order the military discharge of the beneficiary of this agreement.</w:t>
            </w:r>
          </w:p>
          <w:p w14:paraId="27570933" w14:textId="77777777" w:rsidR="007E31E3" w:rsidRPr="00524435" w:rsidRDefault="007E31E3" w:rsidP="00820229">
            <w:pPr>
              <w:ind w:right="72"/>
              <w:jc w:val="both"/>
              <w:rPr>
                <w:rFonts w:ascii="Cambria" w:hAnsi="Cambria"/>
                <w:b/>
                <w:strike/>
                <w:color w:val="FF0000"/>
                <w:sz w:val="18"/>
                <w:szCs w:val="18"/>
              </w:rPr>
            </w:pPr>
          </w:p>
        </w:tc>
        <w:tc>
          <w:tcPr>
            <w:tcW w:w="1440" w:type="dxa"/>
            <w:gridSpan w:val="2"/>
            <w:shd w:val="clear" w:color="auto" w:fill="auto"/>
            <w:tcMar>
              <w:top w:w="0" w:type="dxa"/>
              <w:left w:w="108" w:type="dxa"/>
              <w:bottom w:w="0" w:type="dxa"/>
              <w:right w:w="108" w:type="dxa"/>
            </w:tcMar>
            <w:vAlign w:val="center"/>
          </w:tcPr>
          <w:p w14:paraId="5108C22B"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 xml:space="preserve">Total 2021 </w:t>
            </w:r>
          </w:p>
        </w:tc>
      </w:tr>
      <w:tr w:rsidR="007E31E3" w:rsidRPr="00524435" w14:paraId="6AF759D3" w14:textId="77777777" w:rsidTr="00820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5"/>
        </w:trPr>
        <w:tc>
          <w:tcPr>
            <w:tcW w:w="9805" w:type="dxa"/>
            <w:gridSpan w:val="7"/>
            <w:tcBorders>
              <w:top w:val="single" w:sz="4"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22ADB96E" w14:textId="77777777" w:rsidR="007E31E3" w:rsidRPr="00524435" w:rsidRDefault="007E31E3" w:rsidP="00E1597F">
            <w:pPr>
              <w:spacing w:after="0" w:line="240" w:lineRule="auto"/>
              <w:jc w:val="center"/>
              <w:rPr>
                <w:rFonts w:ascii="Cambria" w:hAnsi="Cambria"/>
                <w:b/>
                <w:sz w:val="18"/>
                <w:szCs w:val="18"/>
              </w:rPr>
            </w:pPr>
            <w:r w:rsidRPr="00524435">
              <w:rPr>
                <w:rFonts w:ascii="Cambria" w:hAnsi="Cambria"/>
                <w:b/>
                <w:sz w:val="18"/>
                <w:szCs w:val="18"/>
              </w:rPr>
              <w:t>Number of measures where progress was achieved: 2 (1 individual and 1 structural)</w:t>
            </w:r>
          </w:p>
          <w:p w14:paraId="7DAF7930" w14:textId="77777777" w:rsidR="007E31E3" w:rsidRPr="00524435" w:rsidRDefault="007E31E3" w:rsidP="00E1597F">
            <w:pPr>
              <w:spacing w:after="0" w:line="240" w:lineRule="auto"/>
              <w:jc w:val="center"/>
              <w:rPr>
                <w:rFonts w:ascii="Cambria" w:hAnsi="Cambria"/>
                <w:b/>
                <w:sz w:val="18"/>
                <w:szCs w:val="18"/>
              </w:rPr>
            </w:pPr>
            <w:r w:rsidRPr="00524435">
              <w:rPr>
                <w:rFonts w:ascii="Cambria" w:hAnsi="Cambria"/>
                <w:b/>
                <w:sz w:val="18"/>
                <w:szCs w:val="18"/>
              </w:rPr>
              <w:t>Total compliance: 2</w:t>
            </w:r>
          </w:p>
          <w:p w14:paraId="4FC92A89" w14:textId="77777777" w:rsidR="007E31E3" w:rsidRPr="00524435" w:rsidRDefault="007E31E3" w:rsidP="00E1597F">
            <w:pPr>
              <w:spacing w:after="0" w:line="240" w:lineRule="auto"/>
              <w:jc w:val="center"/>
              <w:rPr>
                <w:rFonts w:ascii="Cambria" w:hAnsi="Cambria"/>
                <w:b/>
                <w:sz w:val="18"/>
                <w:szCs w:val="18"/>
              </w:rPr>
            </w:pPr>
            <w:r w:rsidRPr="00524435">
              <w:rPr>
                <w:rFonts w:ascii="Cambria" w:hAnsi="Cambria"/>
                <w:b/>
                <w:sz w:val="18"/>
                <w:szCs w:val="18"/>
              </w:rPr>
              <w:t>Partial substantial: n/a</w:t>
            </w:r>
          </w:p>
          <w:p w14:paraId="7371AC99" w14:textId="77777777" w:rsidR="007E31E3" w:rsidRPr="00524435" w:rsidRDefault="007E31E3" w:rsidP="00E1597F">
            <w:pPr>
              <w:spacing w:after="0" w:line="240" w:lineRule="auto"/>
              <w:jc w:val="center"/>
              <w:rPr>
                <w:rFonts w:ascii="Cambria" w:hAnsi="Cambria"/>
                <w:b/>
                <w:strike/>
                <w:color w:val="FF0000"/>
                <w:sz w:val="18"/>
                <w:szCs w:val="18"/>
              </w:rPr>
            </w:pPr>
            <w:r w:rsidRPr="00524435">
              <w:rPr>
                <w:rFonts w:ascii="Cambria" w:hAnsi="Cambria"/>
                <w:b/>
                <w:sz w:val="18"/>
                <w:szCs w:val="18"/>
              </w:rPr>
              <w:t>Partial compliance:  n/a</w:t>
            </w:r>
          </w:p>
        </w:tc>
      </w:tr>
      <w:tr w:rsidR="007E31E3" w:rsidRPr="00524435" w14:paraId="1496A5CC" w14:textId="77777777" w:rsidTr="00820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7"/>
        </w:trPr>
        <w:tc>
          <w:tcPr>
            <w:tcW w:w="9805" w:type="dxa"/>
            <w:gridSpan w:val="7"/>
            <w:tcBorders>
              <w:top w:val="single" w:sz="4"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2E3DD164"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GUATEMALA</w:t>
            </w:r>
          </w:p>
        </w:tc>
      </w:tr>
      <w:tr w:rsidR="007E31E3" w:rsidRPr="00524435" w14:paraId="61FC1B2C" w14:textId="77777777" w:rsidTr="00820229">
        <w:tc>
          <w:tcPr>
            <w:tcW w:w="562" w:type="dxa"/>
            <w:shd w:val="clear" w:color="auto" w:fill="D9D9D9" w:themeFill="background1" w:themeFillShade="D9"/>
            <w:tcMar>
              <w:top w:w="0" w:type="dxa"/>
              <w:left w:w="108" w:type="dxa"/>
              <w:bottom w:w="0" w:type="dxa"/>
              <w:right w:w="108" w:type="dxa"/>
            </w:tcMar>
            <w:vAlign w:val="center"/>
          </w:tcPr>
          <w:p w14:paraId="72634CFC"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val="restart"/>
            <w:shd w:val="clear" w:color="auto" w:fill="D9D9D9" w:themeFill="background1" w:themeFillShade="D9"/>
            <w:vAlign w:val="center"/>
          </w:tcPr>
          <w:p w14:paraId="668D637E" w14:textId="77777777" w:rsidR="007E31E3" w:rsidRPr="00E42B49" w:rsidRDefault="007E31E3" w:rsidP="00820229">
            <w:pPr>
              <w:jc w:val="center"/>
              <w:rPr>
                <w:rFonts w:ascii="Cambria" w:hAnsi="Cambria"/>
                <w:b/>
                <w:sz w:val="18"/>
                <w:szCs w:val="18"/>
                <w:lang w:val="es-US"/>
              </w:rPr>
            </w:pPr>
            <w:r w:rsidRPr="00E42B49">
              <w:rPr>
                <w:rFonts w:ascii="Cambria" w:eastAsia="MS Mincho" w:hAnsi="Cambria" w:cs="Arial"/>
                <w:b/>
                <w:bCs/>
                <w:sz w:val="18"/>
                <w:szCs w:val="18"/>
                <w:lang w:val="es-US" w:eastAsia="es-ES_tradnl"/>
              </w:rPr>
              <w:t xml:space="preserve">Case 11.197, </w:t>
            </w:r>
            <w:proofErr w:type="spellStart"/>
            <w:r w:rsidRPr="00E42B49">
              <w:rPr>
                <w:rFonts w:ascii="Cambria" w:eastAsia="MS Mincho" w:hAnsi="Cambria" w:cs="Arial"/>
                <w:b/>
                <w:bCs/>
                <w:sz w:val="18"/>
                <w:szCs w:val="18"/>
                <w:lang w:val="es-US" w:eastAsia="es-ES_tradnl"/>
              </w:rPr>
              <w:t>Report</w:t>
            </w:r>
            <w:proofErr w:type="spellEnd"/>
            <w:r w:rsidRPr="00E42B49">
              <w:rPr>
                <w:rFonts w:ascii="Cambria" w:eastAsia="MS Mincho" w:hAnsi="Cambria" w:cs="Arial"/>
                <w:b/>
                <w:bCs/>
                <w:sz w:val="18"/>
                <w:szCs w:val="18"/>
                <w:lang w:val="es-US" w:eastAsia="es-ES_tradnl"/>
              </w:rPr>
              <w:t xml:space="preserve"> No.68/03, </w:t>
            </w:r>
            <w:r w:rsidRPr="00E42B49">
              <w:rPr>
                <w:rFonts w:ascii="Cambria" w:hAnsi="Cambria"/>
                <w:b/>
                <w:bCs/>
                <w:color w:val="000000"/>
                <w:sz w:val="18"/>
                <w:szCs w:val="18"/>
                <w:lang w:val="es-US"/>
              </w:rPr>
              <w:t xml:space="preserve">San Vicente de los Cimientos </w:t>
            </w:r>
            <w:proofErr w:type="spellStart"/>
            <w:r w:rsidRPr="00E42B49">
              <w:rPr>
                <w:rFonts w:ascii="Cambria" w:hAnsi="Cambria"/>
                <w:b/>
                <w:bCs/>
                <w:color w:val="000000"/>
                <w:sz w:val="18"/>
                <w:szCs w:val="18"/>
                <w:lang w:val="es-US"/>
              </w:rPr>
              <w:lastRenderedPageBreak/>
              <w:t>Community</w:t>
            </w:r>
            <w:proofErr w:type="spellEnd"/>
            <w:r w:rsidRPr="00E42B49">
              <w:rPr>
                <w:rFonts w:ascii="Cambria" w:hAnsi="Cambria"/>
                <w:b/>
                <w:bCs/>
                <w:color w:val="000000"/>
                <w:sz w:val="18"/>
                <w:szCs w:val="18"/>
                <w:lang w:val="es-US"/>
              </w:rPr>
              <w:br/>
            </w:r>
            <w:r w:rsidRPr="00E42B49">
              <w:rPr>
                <w:rFonts w:ascii="Cambria" w:eastAsia="MS Mincho" w:hAnsi="Cambria" w:cs="Arial"/>
                <w:b/>
                <w:bCs/>
                <w:sz w:val="18"/>
                <w:szCs w:val="18"/>
                <w:lang w:val="es-US" w:eastAsia="es-ES_tradnl"/>
              </w:rPr>
              <w:t>(Guatemala</w:t>
            </w:r>
            <w:r w:rsidRPr="00E42B49">
              <w:rPr>
                <w:rFonts w:ascii="Cambria" w:hAnsi="Cambria"/>
                <w:b/>
                <w:sz w:val="18"/>
                <w:szCs w:val="18"/>
                <w:lang w:val="es-US"/>
              </w:rPr>
              <w:t>)</w:t>
            </w:r>
          </w:p>
        </w:tc>
        <w:tc>
          <w:tcPr>
            <w:tcW w:w="1081" w:type="dxa"/>
            <w:shd w:val="clear" w:color="auto" w:fill="D9D9D9" w:themeFill="background1" w:themeFillShade="D9"/>
            <w:tcMar>
              <w:top w:w="0" w:type="dxa"/>
              <w:left w:w="108" w:type="dxa"/>
              <w:bottom w:w="0" w:type="dxa"/>
              <w:right w:w="108" w:type="dxa"/>
            </w:tcMar>
            <w:vAlign w:val="center"/>
          </w:tcPr>
          <w:p w14:paraId="592ED407" w14:textId="77777777" w:rsidR="007E31E3" w:rsidRPr="00524435" w:rsidRDefault="007E31E3" w:rsidP="00820229">
            <w:pPr>
              <w:jc w:val="center"/>
              <w:rPr>
                <w:rFonts w:ascii="Cambria" w:hAnsi="Cambria"/>
                <w:sz w:val="18"/>
                <w:szCs w:val="18"/>
              </w:rPr>
            </w:pPr>
            <w:r w:rsidRPr="00524435">
              <w:rPr>
                <w:rFonts w:ascii="Cambria" w:hAnsi="Cambria"/>
                <w:sz w:val="18"/>
                <w:szCs w:val="18"/>
              </w:rPr>
              <w:lastRenderedPageBreak/>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74890906" w14:textId="77777777" w:rsidR="007E31E3" w:rsidRPr="00524435" w:rsidRDefault="007E31E3" w:rsidP="00820229">
            <w:pPr>
              <w:ind w:right="72"/>
              <w:jc w:val="both"/>
              <w:rPr>
                <w:rFonts w:ascii="Cambria" w:hAnsi="Cambria"/>
                <w:b/>
                <w:strike/>
                <w:color w:val="FF0000"/>
                <w:sz w:val="18"/>
                <w:szCs w:val="18"/>
              </w:rPr>
            </w:pPr>
            <w:r w:rsidRPr="00524435">
              <w:rPr>
                <w:rFonts w:ascii="Cambria" w:hAnsi="Cambria"/>
                <w:b/>
                <w:color w:val="000000"/>
                <w:sz w:val="18"/>
                <w:szCs w:val="18"/>
              </w:rPr>
              <w:t xml:space="preserve">Clause 2. Economic reactivation projects: </w:t>
            </w:r>
            <w:r w:rsidRPr="00524435">
              <w:rPr>
                <w:rFonts w:ascii="Cambria" w:hAnsi="Cambria"/>
                <w:bCs/>
                <w:color w:val="000000"/>
                <w:sz w:val="18"/>
                <w:szCs w:val="18"/>
              </w:rPr>
              <w:t>Th</w:t>
            </w:r>
            <w:r w:rsidRPr="00524435">
              <w:rPr>
                <w:rFonts w:ascii="Cambria" w:eastAsia="Times New Roman" w:hAnsi="Cambria"/>
                <w:color w:val="000000"/>
                <w:sz w:val="18"/>
                <w:szCs w:val="18"/>
              </w:rPr>
              <w:t xml:space="preserve">e community of Los </w:t>
            </w:r>
            <w:proofErr w:type="spellStart"/>
            <w:r w:rsidRPr="00524435">
              <w:rPr>
                <w:rFonts w:ascii="Cambria" w:eastAsia="Times New Roman" w:hAnsi="Cambria"/>
                <w:color w:val="000000"/>
                <w:sz w:val="18"/>
                <w:szCs w:val="18"/>
              </w:rPr>
              <w:t>Cimientos</w:t>
            </w:r>
            <w:proofErr w:type="spellEnd"/>
            <w:r w:rsidRPr="00524435">
              <w:rPr>
                <w:rFonts w:ascii="Cambria" w:eastAsia="Times New Roman" w:hAnsi="Cambria"/>
                <w:color w:val="000000"/>
                <w:sz w:val="18"/>
                <w:szCs w:val="18"/>
              </w:rPr>
              <w:t xml:space="preserve">, through the Community Association of Residents of Los </w:t>
            </w:r>
            <w:proofErr w:type="spellStart"/>
            <w:r w:rsidRPr="00524435">
              <w:rPr>
                <w:rFonts w:ascii="Cambria" w:eastAsia="Times New Roman" w:hAnsi="Cambria"/>
                <w:color w:val="000000"/>
                <w:sz w:val="18"/>
                <w:szCs w:val="18"/>
              </w:rPr>
              <w:t>Cimientos</w:t>
            </w:r>
            <w:proofErr w:type="spellEnd"/>
            <w:r w:rsidRPr="00524435">
              <w:rPr>
                <w:rFonts w:ascii="Cambria" w:eastAsia="Times New Roman" w:hAnsi="Cambria"/>
                <w:color w:val="000000"/>
                <w:sz w:val="18"/>
                <w:szCs w:val="18"/>
              </w:rPr>
              <w:t xml:space="preserve"> </w:t>
            </w:r>
            <w:proofErr w:type="spellStart"/>
            <w:r w:rsidRPr="00524435">
              <w:rPr>
                <w:rFonts w:ascii="Cambria" w:eastAsia="Times New Roman" w:hAnsi="Cambria"/>
                <w:color w:val="000000"/>
                <w:sz w:val="18"/>
                <w:szCs w:val="18"/>
              </w:rPr>
              <w:t>Xetzununchaj</w:t>
            </w:r>
            <w:proofErr w:type="spellEnd"/>
            <w:r w:rsidRPr="00524435">
              <w:rPr>
                <w:rFonts w:ascii="Cambria" w:eastAsia="Times New Roman" w:hAnsi="Cambria"/>
                <w:color w:val="000000"/>
                <w:sz w:val="18"/>
                <w:szCs w:val="18"/>
              </w:rPr>
              <w:t xml:space="preserve"> civic association, and the Government, shall identify and negotiate, within sixty days following the settlement of the community, urgent projects to reactivate its productive, economic, and social capacities, with a </w:t>
            </w:r>
            <w:r w:rsidRPr="00524435">
              <w:rPr>
                <w:rFonts w:ascii="Cambria" w:eastAsia="Times New Roman" w:hAnsi="Cambria"/>
                <w:color w:val="000000"/>
                <w:sz w:val="18"/>
                <w:szCs w:val="18"/>
              </w:rPr>
              <w:lastRenderedPageBreak/>
              <w:t xml:space="preserve">view to fostering the community’s development and wellbeing, and in consideration of the agrological study carried out and the record of the landmarks and limits of the San Vicente Osuna estate and its annex, the Las </w:t>
            </w:r>
            <w:proofErr w:type="spellStart"/>
            <w:r w:rsidRPr="00524435">
              <w:rPr>
                <w:rFonts w:ascii="Cambria" w:eastAsia="Times New Roman" w:hAnsi="Cambria"/>
                <w:color w:val="000000"/>
                <w:sz w:val="18"/>
                <w:szCs w:val="18"/>
              </w:rPr>
              <w:t>Delicias</w:t>
            </w:r>
            <w:proofErr w:type="spellEnd"/>
            <w:r w:rsidRPr="00524435">
              <w:rPr>
                <w:rFonts w:ascii="Cambria" w:eastAsia="Times New Roman" w:hAnsi="Cambria"/>
                <w:color w:val="000000"/>
                <w:sz w:val="18"/>
                <w:szCs w:val="18"/>
              </w:rPr>
              <w:t xml:space="preserve"> estate.</w:t>
            </w:r>
          </w:p>
        </w:tc>
        <w:tc>
          <w:tcPr>
            <w:tcW w:w="1440" w:type="dxa"/>
            <w:gridSpan w:val="2"/>
            <w:shd w:val="clear" w:color="auto" w:fill="D9D9D9" w:themeFill="background1" w:themeFillShade="D9"/>
            <w:tcMar>
              <w:top w:w="0" w:type="dxa"/>
              <w:left w:w="108" w:type="dxa"/>
              <w:bottom w:w="0" w:type="dxa"/>
              <w:right w:w="108" w:type="dxa"/>
            </w:tcMar>
            <w:vAlign w:val="center"/>
          </w:tcPr>
          <w:p w14:paraId="482C2E61"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lastRenderedPageBreak/>
              <w:t>Partial 2021</w:t>
            </w:r>
          </w:p>
        </w:tc>
      </w:tr>
      <w:tr w:rsidR="007E31E3" w:rsidRPr="00524435" w14:paraId="7F7ABF85" w14:textId="77777777" w:rsidTr="00820229">
        <w:tc>
          <w:tcPr>
            <w:tcW w:w="562" w:type="dxa"/>
            <w:shd w:val="clear" w:color="auto" w:fill="D9D9D9" w:themeFill="background1" w:themeFillShade="D9"/>
            <w:tcMar>
              <w:top w:w="0" w:type="dxa"/>
              <w:left w:w="108" w:type="dxa"/>
              <w:bottom w:w="0" w:type="dxa"/>
              <w:right w:w="108" w:type="dxa"/>
            </w:tcMar>
            <w:vAlign w:val="center"/>
          </w:tcPr>
          <w:p w14:paraId="1FAB6252"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0CE79685" w14:textId="77777777" w:rsidR="007E31E3" w:rsidRPr="00524435" w:rsidRDefault="007E31E3" w:rsidP="00820229">
            <w:pP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2B861EAB"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D9D9D9" w:themeFill="background1" w:themeFillShade="D9"/>
            <w:tcMar>
              <w:top w:w="0" w:type="dxa"/>
              <w:left w:w="108" w:type="dxa"/>
              <w:bottom w:w="0" w:type="dxa"/>
              <w:right w:w="108" w:type="dxa"/>
            </w:tcMar>
            <w:vAlign w:val="center"/>
          </w:tcPr>
          <w:p w14:paraId="5353625B" w14:textId="77777777" w:rsidR="007E31E3" w:rsidRPr="00524435" w:rsidRDefault="007E31E3" w:rsidP="00820229">
            <w:pPr>
              <w:jc w:val="both"/>
              <w:rPr>
                <w:rFonts w:ascii="Cambria" w:hAnsi="Cambria"/>
                <w:b/>
                <w:strike/>
                <w:color w:val="FF0000"/>
                <w:sz w:val="18"/>
                <w:szCs w:val="18"/>
              </w:rPr>
            </w:pPr>
            <w:r w:rsidRPr="00524435">
              <w:rPr>
                <w:rFonts w:ascii="Cambria" w:hAnsi="Cambria"/>
                <w:b/>
                <w:color w:val="000000"/>
                <w:sz w:val="18"/>
                <w:szCs w:val="18"/>
              </w:rPr>
              <w:t>Clause 3. Land Fund:</w:t>
            </w:r>
            <w:r w:rsidRPr="00524435">
              <w:rPr>
                <w:rFonts w:ascii="Cambria" w:hAnsi="Cambria"/>
                <w:sz w:val="18"/>
                <w:szCs w:val="18"/>
              </w:rPr>
              <w:t xml:space="preserve"> </w:t>
            </w:r>
            <w:r w:rsidRPr="00524435">
              <w:rPr>
                <w:rFonts w:ascii="Cambria" w:eastAsia="Times New Roman" w:hAnsi="Cambria"/>
                <w:color w:val="000000"/>
                <w:sz w:val="18"/>
                <w:szCs w:val="18"/>
              </w:rPr>
              <w:t xml:space="preserve">The individual </w:t>
            </w:r>
            <w:proofErr w:type="gramStart"/>
            <w:r w:rsidRPr="00524435">
              <w:rPr>
                <w:rFonts w:ascii="Cambria" w:eastAsia="Times New Roman" w:hAnsi="Cambria"/>
                <w:color w:val="000000"/>
                <w:sz w:val="18"/>
                <w:szCs w:val="18"/>
              </w:rPr>
              <w:t>land owners</w:t>
            </w:r>
            <w:proofErr w:type="gramEnd"/>
            <w:r w:rsidRPr="00524435">
              <w:rPr>
                <w:rFonts w:ascii="Cambria" w:eastAsia="Times New Roman" w:hAnsi="Cambria"/>
                <w:color w:val="000000"/>
                <w:sz w:val="18"/>
                <w:szCs w:val="18"/>
              </w:rPr>
              <w:t xml:space="preserve">, land holders, and assigns of the estates comprising the Los </w:t>
            </w:r>
            <w:proofErr w:type="spellStart"/>
            <w:r w:rsidRPr="00524435">
              <w:rPr>
                <w:rFonts w:ascii="Cambria" w:eastAsia="Times New Roman" w:hAnsi="Cambria"/>
                <w:color w:val="000000"/>
                <w:sz w:val="18"/>
                <w:szCs w:val="18"/>
              </w:rPr>
              <w:t>Cimientos</w:t>
            </w:r>
            <w:proofErr w:type="spellEnd"/>
            <w:r w:rsidRPr="00524435">
              <w:rPr>
                <w:rFonts w:ascii="Cambria" w:eastAsia="Times New Roman" w:hAnsi="Cambria"/>
                <w:color w:val="000000"/>
                <w:sz w:val="18"/>
                <w:szCs w:val="18"/>
              </w:rPr>
              <w:t xml:space="preserve"> community, as a part of the commitments arising from the government’s purchase on their behalf of the estates known as San Vicente Osuna and its annex, the Las </w:t>
            </w:r>
            <w:proofErr w:type="spellStart"/>
            <w:r w:rsidRPr="00524435">
              <w:rPr>
                <w:rFonts w:ascii="Cambria" w:eastAsia="Times New Roman" w:hAnsi="Cambria"/>
                <w:color w:val="000000"/>
                <w:sz w:val="18"/>
                <w:szCs w:val="18"/>
              </w:rPr>
              <w:t>Delicias</w:t>
            </w:r>
            <w:proofErr w:type="spellEnd"/>
            <w:r w:rsidRPr="00524435">
              <w:rPr>
                <w:rFonts w:ascii="Cambria" w:eastAsia="Times New Roman" w:hAnsi="Cambria"/>
                <w:color w:val="000000"/>
                <w:sz w:val="18"/>
                <w:szCs w:val="18"/>
              </w:rPr>
              <w:t xml:space="preserve"> estate, shall cede their current rights of ownership, holding, and inheritance to the Land Fund, in compliance with the provisions of Article 8(h) of the Land Fund Law, Decree No. 24-99.</w:t>
            </w:r>
          </w:p>
        </w:tc>
        <w:tc>
          <w:tcPr>
            <w:tcW w:w="1440" w:type="dxa"/>
            <w:gridSpan w:val="2"/>
            <w:shd w:val="clear" w:color="auto" w:fill="D9D9D9" w:themeFill="background1" w:themeFillShade="D9"/>
            <w:tcMar>
              <w:top w:w="0" w:type="dxa"/>
              <w:left w:w="108" w:type="dxa"/>
              <w:bottom w:w="0" w:type="dxa"/>
              <w:right w:w="108" w:type="dxa"/>
            </w:tcMar>
            <w:vAlign w:val="center"/>
          </w:tcPr>
          <w:p w14:paraId="40F12DE7"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60974789" w14:textId="77777777" w:rsidTr="00820229">
        <w:tc>
          <w:tcPr>
            <w:tcW w:w="562" w:type="dxa"/>
            <w:shd w:val="clear" w:color="auto" w:fill="auto"/>
            <w:tcMar>
              <w:top w:w="0" w:type="dxa"/>
              <w:left w:w="108" w:type="dxa"/>
              <w:bottom w:w="0" w:type="dxa"/>
              <w:right w:w="108" w:type="dxa"/>
            </w:tcMar>
            <w:vAlign w:val="center"/>
          </w:tcPr>
          <w:p w14:paraId="231251E5"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shd w:val="clear" w:color="auto" w:fill="auto"/>
            <w:vAlign w:val="center"/>
          </w:tcPr>
          <w:p w14:paraId="10DC8C58" w14:textId="77777777" w:rsidR="007E31E3" w:rsidRPr="007A5442" w:rsidRDefault="007E31E3" w:rsidP="00820229">
            <w:pPr>
              <w:jc w:val="center"/>
              <w:rPr>
                <w:rFonts w:ascii="Cambria" w:hAnsi="Cambria"/>
                <w:b/>
                <w:sz w:val="18"/>
                <w:szCs w:val="18"/>
                <w:lang w:val="pt-PT"/>
              </w:rPr>
            </w:pPr>
            <w:r w:rsidRPr="007A5442">
              <w:rPr>
                <w:rFonts w:ascii="Cambria" w:eastAsia="MS Mincho" w:hAnsi="Cambria" w:cs="Arial"/>
                <w:b/>
                <w:bCs/>
                <w:sz w:val="18"/>
                <w:szCs w:val="18"/>
                <w:lang w:val="pt-PT" w:eastAsia="es-ES_tradnl"/>
              </w:rPr>
              <w:t xml:space="preserve">Case 9.168, Report No. 29/04, </w:t>
            </w:r>
            <w:r w:rsidRPr="007A5442">
              <w:rPr>
                <w:rFonts w:ascii="Cambria" w:hAnsi="Cambria"/>
                <w:b/>
                <w:bCs/>
                <w:color w:val="000000"/>
                <w:sz w:val="18"/>
                <w:szCs w:val="18"/>
                <w:lang w:val="pt-PT"/>
              </w:rPr>
              <w:t>Jorge Alberto Rosal Paz</w:t>
            </w:r>
            <w:r w:rsidRPr="007A5442">
              <w:rPr>
                <w:rFonts w:ascii="Cambria" w:hAnsi="Cambria"/>
                <w:b/>
                <w:bCs/>
                <w:color w:val="000000"/>
                <w:sz w:val="18"/>
                <w:szCs w:val="18"/>
                <w:lang w:val="pt-PT"/>
              </w:rPr>
              <w:br/>
            </w:r>
            <w:r w:rsidRPr="007A5442">
              <w:rPr>
                <w:rFonts w:ascii="Cambria" w:eastAsia="MS Mincho" w:hAnsi="Cambria" w:cs="Arial"/>
                <w:b/>
                <w:bCs/>
                <w:sz w:val="18"/>
                <w:szCs w:val="18"/>
                <w:lang w:val="pt-PT" w:eastAsia="es-ES_tradnl"/>
              </w:rPr>
              <w:t>(Guatemala</w:t>
            </w:r>
            <w:r w:rsidRPr="007A5442">
              <w:rPr>
                <w:rFonts w:ascii="Cambria" w:hAnsi="Cambria"/>
                <w:b/>
                <w:sz w:val="18"/>
                <w:szCs w:val="18"/>
                <w:lang w:val="pt-PT"/>
              </w:rPr>
              <w:t>)</w:t>
            </w:r>
          </w:p>
        </w:tc>
        <w:tc>
          <w:tcPr>
            <w:tcW w:w="1081" w:type="dxa"/>
            <w:shd w:val="clear" w:color="auto" w:fill="auto"/>
            <w:tcMar>
              <w:top w:w="0" w:type="dxa"/>
              <w:left w:w="108" w:type="dxa"/>
              <w:bottom w:w="0" w:type="dxa"/>
              <w:right w:w="108" w:type="dxa"/>
            </w:tcMar>
            <w:vAlign w:val="center"/>
          </w:tcPr>
          <w:p w14:paraId="7800D0C0"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52554C36" w14:textId="77777777" w:rsidR="007E31E3" w:rsidRPr="00524435" w:rsidRDefault="007E31E3" w:rsidP="00820229">
            <w:pPr>
              <w:contextualSpacing/>
              <w:jc w:val="both"/>
              <w:rPr>
                <w:rFonts w:ascii="Cambria" w:hAnsi="Cambria"/>
                <w:b/>
                <w:color w:val="000000"/>
                <w:sz w:val="18"/>
                <w:szCs w:val="18"/>
              </w:rPr>
            </w:pPr>
            <w:r w:rsidRPr="00524435">
              <w:rPr>
                <w:rFonts w:ascii="Cambria" w:hAnsi="Cambria"/>
                <w:b/>
                <w:color w:val="000000"/>
                <w:sz w:val="18"/>
                <w:szCs w:val="18"/>
              </w:rPr>
              <w:t xml:space="preserve">Clause 5. Investigation and punishment of those responsible: </w:t>
            </w:r>
            <w:r w:rsidRPr="00524435">
              <w:rPr>
                <w:rFonts w:ascii="Cambria" w:eastAsia="Times New Roman" w:hAnsi="Cambria"/>
                <w:color w:val="000000"/>
                <w:sz w:val="18"/>
                <w:szCs w:val="18"/>
              </w:rPr>
              <w:t xml:space="preserve">In conformity with Guatemala’s constitutional and legal provisions and with its international obligations, the State of Guatemala undertakes to reopen its investigations of the acts through the Office of the Attorney General and to the extent possible to bring civil, criminal and administrative charges against those persons who, in the discharge of State functions or relying on their public authority, are presumed to have participated in the acts that led to the disappearance of the agronomist Jorge Alberto </w:t>
            </w:r>
            <w:proofErr w:type="spellStart"/>
            <w:r w:rsidRPr="00524435">
              <w:rPr>
                <w:rFonts w:ascii="Cambria" w:eastAsia="Times New Roman" w:hAnsi="Cambria"/>
                <w:color w:val="000000"/>
                <w:sz w:val="18"/>
                <w:szCs w:val="18"/>
              </w:rPr>
              <w:t>Rosal</w:t>
            </w:r>
            <w:proofErr w:type="spellEnd"/>
            <w:r w:rsidRPr="00524435">
              <w:rPr>
                <w:rFonts w:ascii="Cambria" w:eastAsia="Times New Roman" w:hAnsi="Cambria"/>
                <w:color w:val="000000"/>
                <w:sz w:val="18"/>
                <w:szCs w:val="18"/>
              </w:rPr>
              <w:t xml:space="preserve"> Paz y Paz, acts that have been acknowledged in this agreement and/or in the event that the investigations do not prove the participation of elements or agents of the State in these violations, to determine the criminal and civil responsibilities of the private individuals that participated and carried out the illegal acts in question.  Moreover, to the degree that it is able and in function of the nature and circumstances of the case, the State of Guatemala undertakes to institute legal proceedings against those persons who, through their omissions, </w:t>
            </w:r>
            <w:proofErr w:type="gramStart"/>
            <w:r w:rsidRPr="00524435">
              <w:rPr>
                <w:rFonts w:ascii="Cambria" w:eastAsia="Times New Roman" w:hAnsi="Cambria"/>
                <w:color w:val="000000"/>
                <w:sz w:val="18"/>
                <w:szCs w:val="18"/>
              </w:rPr>
              <w:t>negligence</w:t>
            </w:r>
            <w:proofErr w:type="gramEnd"/>
            <w:r w:rsidRPr="00524435">
              <w:rPr>
                <w:rFonts w:ascii="Cambria" w:eastAsia="Times New Roman" w:hAnsi="Cambria"/>
                <w:color w:val="000000"/>
                <w:sz w:val="18"/>
                <w:szCs w:val="18"/>
              </w:rPr>
              <w:t xml:space="preserve"> or inexperience, have delayed the administration of justice in this case.</w:t>
            </w:r>
          </w:p>
        </w:tc>
        <w:tc>
          <w:tcPr>
            <w:tcW w:w="1440" w:type="dxa"/>
            <w:gridSpan w:val="2"/>
            <w:shd w:val="clear" w:color="auto" w:fill="auto"/>
            <w:tcMar>
              <w:top w:w="0" w:type="dxa"/>
              <w:left w:w="108" w:type="dxa"/>
              <w:bottom w:w="0" w:type="dxa"/>
              <w:right w:w="108" w:type="dxa"/>
            </w:tcMar>
            <w:vAlign w:val="center"/>
          </w:tcPr>
          <w:p w14:paraId="2D599434"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 xml:space="preserve">Total 2021 </w:t>
            </w:r>
          </w:p>
        </w:tc>
      </w:tr>
      <w:tr w:rsidR="007E31E3" w:rsidRPr="00524435" w14:paraId="7E3917F8" w14:textId="77777777" w:rsidTr="00820229">
        <w:tc>
          <w:tcPr>
            <w:tcW w:w="562" w:type="dxa"/>
            <w:shd w:val="clear" w:color="auto" w:fill="D9D9D9" w:themeFill="background1" w:themeFillShade="D9"/>
            <w:tcMar>
              <w:top w:w="0" w:type="dxa"/>
              <w:left w:w="108" w:type="dxa"/>
              <w:bottom w:w="0" w:type="dxa"/>
              <w:right w:w="108" w:type="dxa"/>
            </w:tcMar>
            <w:vAlign w:val="center"/>
          </w:tcPr>
          <w:p w14:paraId="26A038E6"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shd w:val="clear" w:color="auto" w:fill="D9D9D9" w:themeFill="background1" w:themeFillShade="D9"/>
            <w:vAlign w:val="center"/>
          </w:tcPr>
          <w:p w14:paraId="6BB39922" w14:textId="77777777" w:rsidR="007E31E3" w:rsidRPr="007A5442" w:rsidRDefault="007E31E3" w:rsidP="00820229">
            <w:pPr>
              <w:jc w:val="center"/>
              <w:rPr>
                <w:rFonts w:ascii="Cambria" w:eastAsia="MS Mincho" w:hAnsi="Cambria" w:cs="Arial"/>
                <w:b/>
                <w:bCs/>
                <w:sz w:val="18"/>
                <w:szCs w:val="18"/>
                <w:lang w:val="pt-PT" w:eastAsia="es-ES_tradnl"/>
              </w:rPr>
            </w:pPr>
            <w:r w:rsidRPr="007A5442">
              <w:rPr>
                <w:rFonts w:ascii="Cambria" w:eastAsia="MS Mincho" w:hAnsi="Cambria" w:cs="Arial"/>
                <w:b/>
                <w:bCs/>
                <w:sz w:val="18"/>
                <w:szCs w:val="18"/>
                <w:lang w:val="pt-PT" w:eastAsia="es-ES_tradnl"/>
              </w:rPr>
              <w:t xml:space="preserve">Petition 133/04, Report No.99/05, </w:t>
            </w:r>
            <w:r w:rsidRPr="007A5442">
              <w:rPr>
                <w:rFonts w:ascii="Cambria" w:hAnsi="Cambria"/>
                <w:b/>
                <w:bCs/>
                <w:color w:val="000000"/>
                <w:sz w:val="18"/>
                <w:szCs w:val="18"/>
                <w:lang w:val="pt-PT"/>
              </w:rPr>
              <w:t>José Miguel Mérida Escobar</w:t>
            </w:r>
            <w:r w:rsidRPr="007A5442">
              <w:rPr>
                <w:rFonts w:ascii="Cambria" w:hAnsi="Cambria"/>
                <w:b/>
                <w:bCs/>
                <w:color w:val="000000"/>
                <w:sz w:val="18"/>
                <w:szCs w:val="18"/>
                <w:lang w:val="pt-PT"/>
              </w:rPr>
              <w:br/>
            </w:r>
            <w:r w:rsidRPr="007A5442">
              <w:rPr>
                <w:rFonts w:ascii="Cambria" w:eastAsia="MS Mincho" w:hAnsi="Cambria" w:cs="Arial"/>
                <w:b/>
                <w:bCs/>
                <w:sz w:val="18"/>
                <w:szCs w:val="18"/>
                <w:lang w:val="pt-PT" w:eastAsia="es-ES_tradnl"/>
              </w:rPr>
              <w:t>(Guatemala</w:t>
            </w:r>
            <w:r w:rsidRPr="007A5442">
              <w:rPr>
                <w:rFonts w:ascii="Cambria" w:hAnsi="Cambria"/>
                <w:b/>
                <w:sz w:val="18"/>
                <w:szCs w:val="18"/>
                <w:lang w:val="pt-PT"/>
              </w:rPr>
              <w:t>)</w:t>
            </w:r>
          </w:p>
        </w:tc>
        <w:tc>
          <w:tcPr>
            <w:tcW w:w="1081" w:type="dxa"/>
            <w:shd w:val="clear" w:color="auto" w:fill="D9D9D9" w:themeFill="background1" w:themeFillShade="D9"/>
            <w:tcMar>
              <w:top w:w="0" w:type="dxa"/>
              <w:left w:w="108" w:type="dxa"/>
              <w:bottom w:w="0" w:type="dxa"/>
              <w:right w:w="108" w:type="dxa"/>
            </w:tcMar>
            <w:vAlign w:val="center"/>
          </w:tcPr>
          <w:p w14:paraId="6406956D"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D9D9D9" w:themeFill="background1" w:themeFillShade="D9"/>
            <w:tcMar>
              <w:top w:w="0" w:type="dxa"/>
              <w:left w:w="108" w:type="dxa"/>
              <w:bottom w:w="0" w:type="dxa"/>
              <w:right w:w="108" w:type="dxa"/>
            </w:tcMar>
            <w:vAlign w:val="center"/>
          </w:tcPr>
          <w:p w14:paraId="6B9F5BF9" w14:textId="77777777" w:rsidR="007E31E3" w:rsidRPr="00524435" w:rsidRDefault="007E31E3" w:rsidP="00820229">
            <w:pPr>
              <w:contextualSpacing/>
              <w:jc w:val="both"/>
              <w:rPr>
                <w:rFonts w:ascii="Cambria" w:hAnsi="Cambria"/>
                <w:b/>
                <w:strike/>
                <w:color w:val="FF0000"/>
                <w:sz w:val="18"/>
                <w:szCs w:val="18"/>
              </w:rPr>
            </w:pPr>
            <w:r w:rsidRPr="00524435">
              <w:rPr>
                <w:rFonts w:ascii="Cambria" w:hAnsi="Cambria"/>
                <w:b/>
                <w:color w:val="000000"/>
                <w:sz w:val="18"/>
                <w:szCs w:val="18"/>
              </w:rPr>
              <w:t>Clause VI. a Measures to honor the memory of the victim:</w:t>
            </w:r>
            <w:r w:rsidRPr="00524435">
              <w:rPr>
                <w:rFonts w:ascii="Cambria" w:hAnsi="Cambria"/>
              </w:rPr>
              <w:t xml:space="preserve"> </w:t>
            </w:r>
            <w:r w:rsidRPr="00524435">
              <w:rPr>
                <w:rFonts w:ascii="Cambria" w:eastAsia="Times New Roman" w:hAnsi="Cambria"/>
                <w:color w:val="000000"/>
                <w:sz w:val="18"/>
                <w:szCs w:val="18"/>
              </w:rPr>
              <w:t>The Government of the Republic pledges to make appropriate arrangements with the Ministry of the Interior and International Cooperation to establish a fellowship for police studies abroad.</w:t>
            </w:r>
          </w:p>
        </w:tc>
        <w:tc>
          <w:tcPr>
            <w:tcW w:w="1440" w:type="dxa"/>
            <w:gridSpan w:val="2"/>
            <w:shd w:val="clear" w:color="auto" w:fill="D9D9D9" w:themeFill="background1" w:themeFillShade="D9"/>
            <w:tcMar>
              <w:top w:w="0" w:type="dxa"/>
              <w:left w:w="108" w:type="dxa"/>
              <w:bottom w:w="0" w:type="dxa"/>
              <w:right w:w="108" w:type="dxa"/>
            </w:tcMar>
            <w:vAlign w:val="center"/>
          </w:tcPr>
          <w:p w14:paraId="5B985671"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487B16AB" w14:textId="77777777" w:rsidTr="00820229">
        <w:tc>
          <w:tcPr>
            <w:tcW w:w="562" w:type="dxa"/>
            <w:shd w:val="clear" w:color="auto" w:fill="auto"/>
            <w:tcMar>
              <w:top w:w="0" w:type="dxa"/>
              <w:left w:w="108" w:type="dxa"/>
              <w:bottom w:w="0" w:type="dxa"/>
              <w:right w:w="108" w:type="dxa"/>
            </w:tcMar>
            <w:vAlign w:val="center"/>
          </w:tcPr>
          <w:p w14:paraId="6F598D03"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shd w:val="clear" w:color="auto" w:fill="auto"/>
            <w:vAlign w:val="center"/>
          </w:tcPr>
          <w:p w14:paraId="5983991C" w14:textId="77777777" w:rsidR="007E31E3" w:rsidRPr="00E42B49" w:rsidRDefault="007E31E3" w:rsidP="00820229">
            <w:pPr>
              <w:jc w:val="center"/>
              <w:rPr>
                <w:rFonts w:ascii="Cambria" w:eastAsia="MS Mincho" w:hAnsi="Cambria" w:cs="Arial"/>
                <w:b/>
                <w:bCs/>
                <w:sz w:val="18"/>
                <w:szCs w:val="18"/>
                <w:lang w:val="es-US" w:eastAsia="es-ES_tradnl"/>
              </w:rPr>
            </w:pPr>
            <w:r w:rsidRPr="00E42B49">
              <w:rPr>
                <w:rFonts w:ascii="Cambria" w:eastAsia="MS Mincho" w:hAnsi="Cambria" w:cs="Arial"/>
                <w:b/>
                <w:bCs/>
                <w:sz w:val="18"/>
                <w:szCs w:val="18"/>
                <w:lang w:val="es-US" w:eastAsia="es-ES_tradnl"/>
              </w:rPr>
              <w:t xml:space="preserve">Case 11.422, </w:t>
            </w:r>
            <w:proofErr w:type="spellStart"/>
            <w:r w:rsidRPr="00E42B49">
              <w:rPr>
                <w:rFonts w:ascii="Cambria" w:eastAsia="MS Mincho" w:hAnsi="Cambria" w:cs="Arial"/>
                <w:b/>
                <w:bCs/>
                <w:sz w:val="18"/>
                <w:szCs w:val="18"/>
                <w:lang w:val="es-US" w:eastAsia="es-ES_tradnl"/>
              </w:rPr>
              <w:t>Report</w:t>
            </w:r>
            <w:proofErr w:type="spellEnd"/>
            <w:r w:rsidRPr="00E42B49">
              <w:rPr>
                <w:rFonts w:ascii="Cambria" w:eastAsia="MS Mincho" w:hAnsi="Cambria" w:cs="Arial"/>
                <w:b/>
                <w:bCs/>
                <w:sz w:val="18"/>
                <w:szCs w:val="18"/>
                <w:lang w:val="es-US" w:eastAsia="es-ES_tradnl"/>
              </w:rPr>
              <w:t xml:space="preserve"> No.1/12, </w:t>
            </w:r>
            <w:r w:rsidRPr="00E42B49">
              <w:rPr>
                <w:rFonts w:ascii="Cambria" w:hAnsi="Cambria"/>
                <w:b/>
                <w:bCs/>
                <w:color w:val="000000"/>
                <w:sz w:val="18"/>
                <w:szCs w:val="18"/>
                <w:lang w:val="es-US"/>
              </w:rPr>
              <w:t xml:space="preserve">Mario </w:t>
            </w:r>
            <w:proofErr w:type="spellStart"/>
            <w:r w:rsidRPr="00E42B49">
              <w:rPr>
                <w:rFonts w:ascii="Cambria" w:hAnsi="Cambria"/>
                <w:b/>
                <w:bCs/>
                <w:color w:val="000000"/>
                <w:sz w:val="18"/>
                <w:szCs w:val="18"/>
                <w:lang w:val="es-US"/>
              </w:rPr>
              <w:t>Alioto</w:t>
            </w:r>
            <w:proofErr w:type="spellEnd"/>
            <w:r w:rsidRPr="00E42B49">
              <w:rPr>
                <w:rFonts w:ascii="Cambria" w:hAnsi="Cambria"/>
                <w:b/>
                <w:bCs/>
                <w:color w:val="000000"/>
                <w:sz w:val="18"/>
                <w:szCs w:val="18"/>
                <w:lang w:val="es-US"/>
              </w:rPr>
              <w:t xml:space="preserve"> López Sánchez</w:t>
            </w:r>
            <w:r w:rsidRPr="00E42B49">
              <w:rPr>
                <w:rFonts w:ascii="Cambria" w:hAnsi="Cambria"/>
                <w:b/>
                <w:bCs/>
                <w:color w:val="000000"/>
                <w:sz w:val="18"/>
                <w:szCs w:val="18"/>
                <w:lang w:val="es-US"/>
              </w:rPr>
              <w:br/>
            </w:r>
            <w:r w:rsidRPr="00E42B49">
              <w:rPr>
                <w:rFonts w:ascii="Cambria" w:eastAsia="MS Mincho" w:hAnsi="Cambria" w:cs="Arial"/>
                <w:b/>
                <w:bCs/>
                <w:sz w:val="18"/>
                <w:szCs w:val="18"/>
                <w:lang w:val="es-US" w:eastAsia="es-ES_tradnl"/>
              </w:rPr>
              <w:t>(Ecuador</w:t>
            </w:r>
            <w:r w:rsidRPr="00E42B49">
              <w:rPr>
                <w:rFonts w:ascii="Cambria" w:hAnsi="Cambria"/>
                <w:b/>
                <w:sz w:val="18"/>
                <w:szCs w:val="18"/>
                <w:lang w:val="es-US"/>
              </w:rPr>
              <w:t>)</w:t>
            </w:r>
          </w:p>
        </w:tc>
        <w:tc>
          <w:tcPr>
            <w:tcW w:w="1081" w:type="dxa"/>
            <w:shd w:val="clear" w:color="auto" w:fill="auto"/>
            <w:tcMar>
              <w:top w:w="0" w:type="dxa"/>
              <w:left w:w="108" w:type="dxa"/>
              <w:bottom w:w="0" w:type="dxa"/>
              <w:right w:w="108" w:type="dxa"/>
            </w:tcMar>
            <w:vAlign w:val="center"/>
          </w:tcPr>
          <w:p w14:paraId="2895AC1A"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10F82EA0" w14:textId="77777777" w:rsidR="007E31E3" w:rsidRPr="00524435" w:rsidRDefault="007E31E3" w:rsidP="00820229">
            <w:pPr>
              <w:contextualSpacing/>
              <w:jc w:val="both"/>
              <w:rPr>
                <w:rFonts w:ascii="Cambria" w:hAnsi="Cambria"/>
                <w:b/>
                <w:strike/>
                <w:color w:val="FF0000"/>
                <w:sz w:val="18"/>
                <w:szCs w:val="18"/>
              </w:rPr>
            </w:pPr>
            <w:r w:rsidRPr="00524435">
              <w:rPr>
                <w:rFonts w:ascii="Cambria" w:hAnsi="Cambria"/>
                <w:b/>
                <w:color w:val="000000"/>
                <w:sz w:val="18"/>
                <w:szCs w:val="18"/>
              </w:rPr>
              <w:t>Clause 3.e. Measures to pay tribute to the memory of the victim:</w:t>
            </w:r>
            <w:r w:rsidRPr="00524435">
              <w:rPr>
                <w:rFonts w:ascii="Cambria" w:hAnsi="Cambria"/>
                <w:sz w:val="18"/>
                <w:szCs w:val="18"/>
              </w:rPr>
              <w:t xml:space="preserve"> </w:t>
            </w:r>
            <w:r w:rsidRPr="00524435">
              <w:rPr>
                <w:rFonts w:ascii="Cambria" w:eastAsia="Times New Roman" w:hAnsi="Cambria"/>
                <w:color w:val="000000"/>
                <w:sz w:val="18"/>
                <w:szCs w:val="18"/>
              </w:rPr>
              <w:t xml:space="preserve">he State pledges to </w:t>
            </w:r>
            <w:proofErr w:type="gramStart"/>
            <w:r w:rsidRPr="00524435">
              <w:rPr>
                <w:rFonts w:ascii="Cambria" w:eastAsia="Times New Roman" w:hAnsi="Cambria"/>
                <w:color w:val="000000"/>
                <w:sz w:val="18"/>
                <w:szCs w:val="18"/>
              </w:rPr>
              <w:t>make arrangements</w:t>
            </w:r>
            <w:proofErr w:type="gramEnd"/>
            <w:r w:rsidRPr="00524435">
              <w:rPr>
                <w:rFonts w:ascii="Cambria" w:eastAsia="Times New Roman" w:hAnsi="Cambria"/>
                <w:color w:val="000000"/>
                <w:sz w:val="18"/>
                <w:szCs w:val="18"/>
              </w:rPr>
              <w:t xml:space="preserve"> with the University of San Carlos de Guatemala, to obtain books and videos documenting the history of Mario Alioto López Sánchez’ struggle, which will be turned over to the victim’s relatives for preservation</w:t>
            </w:r>
          </w:p>
        </w:tc>
        <w:tc>
          <w:tcPr>
            <w:tcW w:w="1440" w:type="dxa"/>
            <w:gridSpan w:val="2"/>
            <w:shd w:val="clear" w:color="auto" w:fill="auto"/>
            <w:tcMar>
              <w:top w:w="0" w:type="dxa"/>
              <w:left w:w="108" w:type="dxa"/>
              <w:bottom w:w="0" w:type="dxa"/>
              <w:right w:w="108" w:type="dxa"/>
            </w:tcMar>
            <w:vAlign w:val="center"/>
          </w:tcPr>
          <w:p w14:paraId="1C21670D"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6A3AF180" w14:textId="77777777" w:rsidTr="00820229">
        <w:tc>
          <w:tcPr>
            <w:tcW w:w="562" w:type="dxa"/>
            <w:shd w:val="clear" w:color="auto" w:fill="D9D9D9" w:themeFill="background1" w:themeFillShade="D9"/>
            <w:tcMar>
              <w:top w:w="0" w:type="dxa"/>
              <w:left w:w="108" w:type="dxa"/>
              <w:bottom w:w="0" w:type="dxa"/>
              <w:right w:w="108" w:type="dxa"/>
            </w:tcMar>
            <w:vAlign w:val="center"/>
          </w:tcPr>
          <w:p w14:paraId="352179C2"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shd w:val="clear" w:color="auto" w:fill="D9D9D9" w:themeFill="background1" w:themeFillShade="D9"/>
            <w:vAlign w:val="center"/>
          </w:tcPr>
          <w:p w14:paraId="6048E6EF" w14:textId="77777777" w:rsidR="007E31E3" w:rsidRPr="00E42B49" w:rsidRDefault="007E31E3" w:rsidP="00820229">
            <w:pPr>
              <w:jc w:val="center"/>
              <w:rPr>
                <w:rFonts w:ascii="Cambria" w:eastAsia="MS Mincho" w:hAnsi="Cambria" w:cs="Arial"/>
                <w:b/>
                <w:bCs/>
                <w:sz w:val="18"/>
                <w:szCs w:val="18"/>
                <w:lang w:val="es-US" w:eastAsia="es-ES_tradnl"/>
              </w:rPr>
            </w:pPr>
            <w:r w:rsidRPr="00E42B49">
              <w:rPr>
                <w:rFonts w:ascii="Cambria" w:eastAsia="MS Mincho" w:hAnsi="Cambria" w:cs="Arial"/>
                <w:b/>
                <w:bCs/>
                <w:sz w:val="18"/>
                <w:szCs w:val="18"/>
                <w:lang w:val="es-US" w:eastAsia="es-ES_tradnl"/>
              </w:rPr>
              <w:t xml:space="preserve">Case 12.732, </w:t>
            </w:r>
            <w:proofErr w:type="spellStart"/>
            <w:r w:rsidRPr="00E42B49">
              <w:rPr>
                <w:rFonts w:ascii="Cambria" w:eastAsia="MS Mincho" w:hAnsi="Cambria" w:cs="Arial"/>
                <w:b/>
                <w:bCs/>
                <w:sz w:val="18"/>
                <w:szCs w:val="18"/>
                <w:lang w:val="es-US" w:eastAsia="es-ES_tradnl"/>
              </w:rPr>
              <w:t>Report</w:t>
            </w:r>
            <w:proofErr w:type="spellEnd"/>
            <w:r w:rsidRPr="00E42B49">
              <w:rPr>
                <w:rFonts w:ascii="Cambria" w:eastAsia="MS Mincho" w:hAnsi="Cambria" w:cs="Arial"/>
                <w:b/>
                <w:bCs/>
                <w:sz w:val="18"/>
                <w:szCs w:val="18"/>
                <w:lang w:val="es-US" w:eastAsia="es-ES_tradnl"/>
              </w:rPr>
              <w:t xml:space="preserve"> No.86/20, </w:t>
            </w:r>
            <w:r w:rsidRPr="00E42B49">
              <w:rPr>
                <w:rFonts w:ascii="Cambria" w:hAnsi="Cambria"/>
                <w:b/>
                <w:bCs/>
                <w:color w:val="000000"/>
                <w:sz w:val="18"/>
                <w:szCs w:val="18"/>
                <w:lang w:val="es-US"/>
              </w:rPr>
              <w:t>Richard Conrad Solórzano Contreras</w:t>
            </w:r>
            <w:r w:rsidRPr="00E42B49">
              <w:rPr>
                <w:rFonts w:ascii="Cambria" w:hAnsi="Cambria"/>
                <w:b/>
                <w:bCs/>
                <w:color w:val="000000"/>
                <w:sz w:val="18"/>
                <w:szCs w:val="18"/>
                <w:lang w:val="es-US"/>
              </w:rPr>
              <w:br/>
            </w:r>
            <w:r w:rsidRPr="00E42B49">
              <w:rPr>
                <w:rFonts w:ascii="Cambria" w:eastAsia="MS Mincho" w:hAnsi="Cambria" w:cs="Arial"/>
                <w:b/>
                <w:bCs/>
                <w:sz w:val="18"/>
                <w:szCs w:val="18"/>
                <w:lang w:val="es-US" w:eastAsia="es-ES_tradnl"/>
              </w:rPr>
              <w:t>(Ecuador</w:t>
            </w:r>
            <w:r w:rsidRPr="00E42B49">
              <w:rPr>
                <w:rFonts w:ascii="Cambria" w:hAnsi="Cambria"/>
                <w:b/>
                <w:sz w:val="18"/>
                <w:szCs w:val="18"/>
                <w:lang w:val="es-US"/>
              </w:rPr>
              <w:t>)</w:t>
            </w:r>
          </w:p>
        </w:tc>
        <w:tc>
          <w:tcPr>
            <w:tcW w:w="1081" w:type="dxa"/>
            <w:shd w:val="clear" w:color="auto" w:fill="D9D9D9" w:themeFill="background1" w:themeFillShade="D9"/>
            <w:tcMar>
              <w:top w:w="0" w:type="dxa"/>
              <w:left w:w="108" w:type="dxa"/>
              <w:bottom w:w="0" w:type="dxa"/>
              <w:right w:w="108" w:type="dxa"/>
            </w:tcMar>
            <w:vAlign w:val="center"/>
          </w:tcPr>
          <w:p w14:paraId="67D04865"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3C764846" w14:textId="77777777" w:rsidR="007E31E3" w:rsidRPr="00524435" w:rsidRDefault="007E31E3" w:rsidP="00820229">
            <w:pPr>
              <w:contextualSpacing/>
              <w:jc w:val="both"/>
              <w:rPr>
                <w:rFonts w:ascii="Cambria" w:hAnsi="Cambria"/>
                <w:b/>
                <w:strike/>
                <w:color w:val="FF0000"/>
                <w:sz w:val="18"/>
                <w:szCs w:val="18"/>
              </w:rPr>
            </w:pPr>
            <w:r w:rsidRPr="00524435">
              <w:rPr>
                <w:rFonts w:ascii="Cambria" w:hAnsi="Cambria"/>
                <w:b/>
                <w:color w:val="000000"/>
                <w:sz w:val="18"/>
                <w:szCs w:val="18"/>
              </w:rPr>
              <w:t xml:space="preserve">Clause 2. Justice: </w:t>
            </w:r>
            <w:r w:rsidRPr="00524435">
              <w:rPr>
                <w:rFonts w:ascii="Cambria" w:eastAsia="Times New Roman" w:hAnsi="Cambria"/>
                <w:color w:val="000000"/>
                <w:kern w:val="36"/>
                <w:sz w:val="18"/>
                <w:szCs w:val="18"/>
              </w:rPr>
              <w:t>The State commits to set up a Promotion Committee, which will be formed by all bodies of justice involved in the process of investigation resulting from the death of the young student, Richard Conrad Solórzano Contreras, for the purposes of promoting such process and follow-up on administrative procedures against the employees and government officials identified by the petitioner as responsible for the negligence during the first investigatory acts.</w:t>
            </w:r>
          </w:p>
        </w:tc>
        <w:tc>
          <w:tcPr>
            <w:tcW w:w="1440" w:type="dxa"/>
            <w:gridSpan w:val="2"/>
            <w:shd w:val="clear" w:color="auto" w:fill="D9D9D9" w:themeFill="background1" w:themeFillShade="D9"/>
            <w:tcMar>
              <w:top w:w="0" w:type="dxa"/>
              <w:left w:w="108" w:type="dxa"/>
              <w:bottom w:w="0" w:type="dxa"/>
              <w:right w:w="108" w:type="dxa"/>
            </w:tcMar>
            <w:vAlign w:val="center"/>
          </w:tcPr>
          <w:p w14:paraId="20BF6964"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Partial 2021</w:t>
            </w:r>
          </w:p>
        </w:tc>
      </w:tr>
      <w:tr w:rsidR="007E31E3" w:rsidRPr="00524435" w14:paraId="21D1156A" w14:textId="77777777" w:rsidTr="00820229">
        <w:tc>
          <w:tcPr>
            <w:tcW w:w="562" w:type="dxa"/>
            <w:shd w:val="clear" w:color="auto" w:fill="auto"/>
            <w:tcMar>
              <w:top w:w="0" w:type="dxa"/>
              <w:left w:w="108" w:type="dxa"/>
              <w:bottom w:w="0" w:type="dxa"/>
              <w:right w:w="108" w:type="dxa"/>
            </w:tcMar>
            <w:vAlign w:val="center"/>
          </w:tcPr>
          <w:p w14:paraId="724FA2F9"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val="restart"/>
            <w:shd w:val="clear" w:color="auto" w:fill="auto"/>
            <w:vAlign w:val="center"/>
          </w:tcPr>
          <w:p w14:paraId="742C24BD" w14:textId="77777777" w:rsidR="007E31E3" w:rsidRPr="00E42B49" w:rsidRDefault="007E31E3" w:rsidP="00820229">
            <w:pPr>
              <w:jc w:val="center"/>
              <w:rPr>
                <w:rFonts w:ascii="Cambria" w:eastAsia="MS Mincho" w:hAnsi="Cambria" w:cs="Arial"/>
                <w:b/>
                <w:bCs/>
                <w:sz w:val="18"/>
                <w:szCs w:val="18"/>
                <w:lang w:val="es-US" w:eastAsia="es-ES_tradnl"/>
              </w:rPr>
            </w:pPr>
            <w:r w:rsidRPr="00E42B49">
              <w:rPr>
                <w:rFonts w:ascii="Cambria" w:eastAsia="MS Mincho" w:hAnsi="Cambria" w:cs="Arial"/>
                <w:b/>
                <w:bCs/>
                <w:sz w:val="18"/>
                <w:szCs w:val="18"/>
                <w:lang w:val="es-US" w:eastAsia="es-ES_tradnl"/>
              </w:rPr>
              <w:t xml:space="preserve">Case 12.737, </w:t>
            </w:r>
            <w:proofErr w:type="spellStart"/>
            <w:r w:rsidRPr="00E42B49">
              <w:rPr>
                <w:rFonts w:ascii="Cambria" w:eastAsia="MS Mincho" w:hAnsi="Cambria" w:cs="Arial"/>
                <w:b/>
                <w:bCs/>
                <w:sz w:val="18"/>
                <w:szCs w:val="18"/>
                <w:lang w:val="es-US" w:eastAsia="es-ES_tradnl"/>
              </w:rPr>
              <w:t>Report</w:t>
            </w:r>
            <w:proofErr w:type="spellEnd"/>
            <w:r w:rsidRPr="00E42B49">
              <w:rPr>
                <w:rFonts w:ascii="Cambria" w:eastAsia="MS Mincho" w:hAnsi="Cambria" w:cs="Arial"/>
                <w:b/>
                <w:bCs/>
                <w:sz w:val="18"/>
                <w:szCs w:val="18"/>
                <w:lang w:val="es-US" w:eastAsia="es-ES_tradnl"/>
              </w:rPr>
              <w:t xml:space="preserve"> </w:t>
            </w:r>
            <w:r w:rsidRPr="00E42B49">
              <w:rPr>
                <w:rFonts w:ascii="Cambria" w:eastAsia="MS Mincho" w:hAnsi="Cambria" w:cs="Arial"/>
                <w:b/>
                <w:bCs/>
                <w:sz w:val="18"/>
                <w:szCs w:val="18"/>
                <w:lang w:val="es-US" w:eastAsia="es-ES_tradnl"/>
              </w:rPr>
              <w:lastRenderedPageBreak/>
              <w:t xml:space="preserve">No.114/21, </w:t>
            </w:r>
            <w:r w:rsidRPr="00E42B49">
              <w:rPr>
                <w:rFonts w:ascii="Cambria" w:hAnsi="Cambria"/>
                <w:b/>
                <w:bCs/>
                <w:color w:val="000000"/>
                <w:sz w:val="18"/>
                <w:szCs w:val="18"/>
                <w:lang w:val="es-US"/>
              </w:rPr>
              <w:t xml:space="preserve">Carlos Raúl Morales </w:t>
            </w:r>
            <w:proofErr w:type="spellStart"/>
            <w:r w:rsidRPr="00E42B49">
              <w:rPr>
                <w:rFonts w:ascii="Cambria" w:hAnsi="Cambria"/>
                <w:b/>
                <w:bCs/>
                <w:color w:val="000000"/>
                <w:sz w:val="18"/>
                <w:szCs w:val="18"/>
                <w:lang w:val="es-US"/>
              </w:rPr>
              <w:t>Catalan</w:t>
            </w:r>
            <w:proofErr w:type="spellEnd"/>
            <w:r w:rsidRPr="00E42B49">
              <w:rPr>
                <w:rFonts w:ascii="Cambria" w:eastAsia="MS Mincho" w:hAnsi="Cambria" w:cs="Arial"/>
                <w:b/>
                <w:bCs/>
                <w:sz w:val="18"/>
                <w:szCs w:val="18"/>
                <w:lang w:val="es-US" w:eastAsia="es-ES_tradnl"/>
              </w:rPr>
              <w:t xml:space="preserve"> (Guatemala)</w:t>
            </w:r>
          </w:p>
        </w:tc>
        <w:tc>
          <w:tcPr>
            <w:tcW w:w="1081" w:type="dxa"/>
            <w:shd w:val="clear" w:color="auto" w:fill="auto"/>
            <w:tcMar>
              <w:top w:w="0" w:type="dxa"/>
              <w:left w:w="108" w:type="dxa"/>
              <w:bottom w:w="0" w:type="dxa"/>
              <w:right w:w="108" w:type="dxa"/>
            </w:tcMar>
            <w:vAlign w:val="center"/>
          </w:tcPr>
          <w:p w14:paraId="5C8A5148"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lastRenderedPageBreak/>
              <w:t>Individual</w:t>
            </w:r>
          </w:p>
        </w:tc>
        <w:tc>
          <w:tcPr>
            <w:tcW w:w="5304" w:type="dxa"/>
            <w:gridSpan w:val="2"/>
            <w:shd w:val="clear" w:color="auto" w:fill="auto"/>
            <w:tcMar>
              <w:top w:w="0" w:type="dxa"/>
              <w:left w:w="108" w:type="dxa"/>
              <w:bottom w:w="0" w:type="dxa"/>
              <w:right w:w="108" w:type="dxa"/>
            </w:tcMar>
            <w:vAlign w:val="center"/>
          </w:tcPr>
          <w:p w14:paraId="415D2347" w14:textId="77777777" w:rsidR="007E31E3" w:rsidRPr="00524435" w:rsidRDefault="007E31E3" w:rsidP="00820229">
            <w:pPr>
              <w:contextualSpacing/>
              <w:jc w:val="both"/>
              <w:rPr>
                <w:rFonts w:ascii="Cambria" w:hAnsi="Cambria"/>
                <w:b/>
                <w:strike/>
                <w:color w:val="FF0000"/>
                <w:sz w:val="18"/>
                <w:szCs w:val="18"/>
              </w:rPr>
            </w:pPr>
            <w:r w:rsidRPr="00524435">
              <w:rPr>
                <w:rFonts w:ascii="Cambria" w:eastAsia="MS Mincho" w:hAnsi="Cambria" w:cs="Arial"/>
                <w:b/>
                <w:sz w:val="18"/>
                <w:szCs w:val="18"/>
                <w:lang w:eastAsia="es-ES_tradnl"/>
              </w:rPr>
              <w:t xml:space="preserve">Clause 2. Economic compensation: </w:t>
            </w:r>
            <w:r w:rsidRPr="00524435">
              <w:rPr>
                <w:rFonts w:ascii="Cambria" w:hAnsi="Cambria" w:cs="Arial"/>
                <w:sz w:val="18"/>
                <w:szCs w:val="18"/>
              </w:rPr>
              <w:t xml:space="preserve">The parties of this Friendly Settlement Agreement recognize the mutual willingness </w:t>
            </w:r>
            <w:r w:rsidRPr="00524435">
              <w:rPr>
                <w:rFonts w:ascii="Cambria" w:hAnsi="Cambria" w:cs="Arial"/>
                <w:sz w:val="18"/>
                <w:szCs w:val="18"/>
              </w:rPr>
              <w:lastRenderedPageBreak/>
              <w:t>demonstrated in agreeing on an amount that will allow economic compensation to the petitioner and his family, for the material damage caused, according to the facts of the case brought to the attention of the Inter-American Commission on Human Rights, and to this effect, the State of Guatemala, after an actuarial study carried out by an expert, OBLIGATES to pay the liquid and enforceable amount of ONE MILLION TWO HUNDRED TWENTY-NINE THOUSAND TWO HUNDRED NINETY-EIGHT QUETZALS AND FIVE CENTS (Q 1,229,298.05), as economic compensation in favor of Carlos Raúl Morales Catalan and his family. Said amount shall be paid in legal tender.</w:t>
            </w:r>
          </w:p>
        </w:tc>
        <w:tc>
          <w:tcPr>
            <w:tcW w:w="1440" w:type="dxa"/>
            <w:gridSpan w:val="2"/>
            <w:shd w:val="clear" w:color="auto" w:fill="auto"/>
            <w:tcMar>
              <w:top w:w="0" w:type="dxa"/>
              <w:left w:w="108" w:type="dxa"/>
              <w:bottom w:w="0" w:type="dxa"/>
              <w:right w:w="108" w:type="dxa"/>
            </w:tcMar>
            <w:vAlign w:val="center"/>
          </w:tcPr>
          <w:p w14:paraId="2D1F38C1"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lastRenderedPageBreak/>
              <w:t>Total 2021</w:t>
            </w:r>
          </w:p>
        </w:tc>
      </w:tr>
      <w:tr w:rsidR="007E31E3" w:rsidRPr="00524435" w14:paraId="1567F3AC" w14:textId="77777777" w:rsidTr="00820229">
        <w:tc>
          <w:tcPr>
            <w:tcW w:w="562" w:type="dxa"/>
            <w:shd w:val="clear" w:color="auto" w:fill="auto"/>
            <w:tcMar>
              <w:top w:w="0" w:type="dxa"/>
              <w:left w:w="108" w:type="dxa"/>
              <w:bottom w:w="0" w:type="dxa"/>
              <w:right w:w="108" w:type="dxa"/>
            </w:tcMar>
            <w:vAlign w:val="center"/>
          </w:tcPr>
          <w:p w14:paraId="6D2F3A0E"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vAlign w:val="center"/>
          </w:tcPr>
          <w:p w14:paraId="47D30DEB" w14:textId="77777777" w:rsidR="007E31E3" w:rsidRPr="00524435" w:rsidRDefault="007E31E3" w:rsidP="00820229">
            <w:pPr>
              <w:jc w:val="center"/>
              <w:rPr>
                <w:rFonts w:ascii="Cambria" w:eastAsia="MS Mincho" w:hAnsi="Cambria" w:cs="Arial"/>
                <w:b/>
                <w:bCs/>
                <w:sz w:val="18"/>
                <w:szCs w:val="18"/>
                <w:lang w:eastAsia="es-ES_tradnl"/>
              </w:rPr>
            </w:pPr>
          </w:p>
        </w:tc>
        <w:tc>
          <w:tcPr>
            <w:tcW w:w="1081" w:type="dxa"/>
            <w:shd w:val="clear" w:color="auto" w:fill="auto"/>
            <w:tcMar>
              <w:top w:w="0" w:type="dxa"/>
              <w:left w:w="108" w:type="dxa"/>
              <w:bottom w:w="0" w:type="dxa"/>
              <w:right w:w="108" w:type="dxa"/>
            </w:tcMar>
            <w:vAlign w:val="center"/>
          </w:tcPr>
          <w:p w14:paraId="06C9BA54"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03FDE6B6" w14:textId="77777777" w:rsidR="007E31E3" w:rsidRPr="00524435" w:rsidRDefault="007E31E3" w:rsidP="00820229">
            <w:pPr>
              <w:contextualSpacing/>
              <w:jc w:val="both"/>
              <w:rPr>
                <w:rFonts w:ascii="Cambria" w:hAnsi="Cambria" w:cs="Arial"/>
                <w:sz w:val="18"/>
                <w:szCs w:val="18"/>
              </w:rPr>
            </w:pPr>
            <w:r w:rsidRPr="00524435">
              <w:rPr>
                <w:rFonts w:ascii="Cambria" w:eastAsia="MS Mincho" w:hAnsi="Cambria" w:cs="Arial"/>
                <w:b/>
                <w:sz w:val="18"/>
                <w:szCs w:val="18"/>
                <w:lang w:eastAsia="es-ES_tradnl"/>
              </w:rPr>
              <w:t xml:space="preserve">Clause 3.b. University Scholarships (in favor of Jose Raul Morales Vera): </w:t>
            </w:r>
            <w:r w:rsidRPr="00524435">
              <w:rPr>
                <w:rFonts w:ascii="Cambria" w:hAnsi="Cambria" w:cs="Arial"/>
                <w:sz w:val="18"/>
                <w:szCs w:val="18"/>
              </w:rPr>
              <w:t xml:space="preserve">The State of Guatemala undertakes to take the necessary steps before the General Secretariat of Planning and Programming of the Presidency of the Republic SEGEPLAN-, so that the petitioner's sons, José Raúl Morales Vera, and Javier Ernesto Vera, may each obtain a one-time scholarship for undergraduate studies at a private university in the country, respectively, through the National Trust Fund for Scholarships and Educational Credit - FINABECE. For the granting of undergraduate scholarships, this commitment will be fulfilled when each of the beneficiaries acquires the necessary academic degree for such purpose […] </w:t>
            </w:r>
          </w:p>
        </w:tc>
        <w:tc>
          <w:tcPr>
            <w:tcW w:w="1440" w:type="dxa"/>
            <w:gridSpan w:val="2"/>
            <w:shd w:val="clear" w:color="auto" w:fill="auto"/>
            <w:tcMar>
              <w:top w:w="0" w:type="dxa"/>
              <w:left w:w="108" w:type="dxa"/>
              <w:bottom w:w="0" w:type="dxa"/>
              <w:right w:w="108" w:type="dxa"/>
            </w:tcMar>
            <w:vAlign w:val="center"/>
          </w:tcPr>
          <w:p w14:paraId="3E887E74"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7B82CC41" w14:textId="77777777" w:rsidTr="00820229">
        <w:tc>
          <w:tcPr>
            <w:tcW w:w="562" w:type="dxa"/>
            <w:shd w:val="clear" w:color="auto" w:fill="auto"/>
            <w:tcMar>
              <w:top w:w="0" w:type="dxa"/>
              <w:left w:w="108" w:type="dxa"/>
              <w:bottom w:w="0" w:type="dxa"/>
              <w:right w:w="108" w:type="dxa"/>
            </w:tcMar>
            <w:vAlign w:val="center"/>
          </w:tcPr>
          <w:p w14:paraId="4FFBC48E"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vAlign w:val="center"/>
          </w:tcPr>
          <w:p w14:paraId="08B068D6" w14:textId="77777777" w:rsidR="007E31E3" w:rsidRPr="00524435" w:rsidRDefault="007E31E3" w:rsidP="00820229">
            <w:pPr>
              <w:jc w:val="center"/>
              <w:rPr>
                <w:rFonts w:ascii="Cambria" w:eastAsia="MS Mincho" w:hAnsi="Cambria" w:cs="Arial"/>
                <w:b/>
                <w:bCs/>
                <w:sz w:val="18"/>
                <w:szCs w:val="18"/>
                <w:lang w:eastAsia="es-ES_tradnl"/>
              </w:rPr>
            </w:pPr>
          </w:p>
        </w:tc>
        <w:tc>
          <w:tcPr>
            <w:tcW w:w="1081" w:type="dxa"/>
            <w:shd w:val="clear" w:color="auto" w:fill="auto"/>
            <w:tcMar>
              <w:top w:w="0" w:type="dxa"/>
              <w:left w:w="108" w:type="dxa"/>
              <w:bottom w:w="0" w:type="dxa"/>
              <w:right w:w="108" w:type="dxa"/>
            </w:tcMar>
            <w:vAlign w:val="center"/>
          </w:tcPr>
          <w:p w14:paraId="72B286C5"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45E93A23" w14:textId="77777777" w:rsidR="007E31E3" w:rsidRPr="00524435" w:rsidRDefault="007E31E3" w:rsidP="00820229">
            <w:pPr>
              <w:contextualSpacing/>
              <w:jc w:val="both"/>
              <w:rPr>
                <w:rFonts w:ascii="Cambria" w:hAnsi="Cambria"/>
                <w:b/>
                <w:strike/>
                <w:color w:val="FF0000"/>
                <w:sz w:val="18"/>
                <w:szCs w:val="18"/>
              </w:rPr>
            </w:pPr>
            <w:r w:rsidRPr="00524435">
              <w:rPr>
                <w:rFonts w:ascii="Cambria" w:eastAsia="MS Mincho" w:hAnsi="Cambria" w:cs="Arial"/>
                <w:b/>
                <w:sz w:val="18"/>
                <w:szCs w:val="18"/>
                <w:lang w:eastAsia="es-ES_tradnl"/>
              </w:rPr>
              <w:t xml:space="preserve">Clause 3. d. </w:t>
            </w:r>
            <w:r w:rsidRPr="00524435">
              <w:rPr>
                <w:rFonts w:ascii="Cambria" w:hAnsi="Cambria" w:cs="Arial"/>
                <w:b/>
                <w:bCs/>
                <w:sz w:val="18"/>
                <w:szCs w:val="18"/>
              </w:rPr>
              <w:t xml:space="preserve">Creation of a driver education program: </w:t>
            </w:r>
            <w:r w:rsidRPr="00524435">
              <w:rPr>
                <w:rFonts w:ascii="Cambria" w:hAnsi="Cambria" w:cs="Arial"/>
                <w:sz w:val="18"/>
                <w:szCs w:val="18"/>
              </w:rPr>
              <w:t>The State of Guatemala undertakes to make the necessary arrangements with the Municipality of Guatemala so that the road safety education program will be named (sic) José Raúl and Javier Ernesto Morales Vera. If the Municipality of Guatemala denies the processing of the respective denomination, the petitioner agrees to identify another program established by the same Municipality of Guatemala.</w:t>
            </w:r>
          </w:p>
        </w:tc>
        <w:tc>
          <w:tcPr>
            <w:tcW w:w="1440" w:type="dxa"/>
            <w:gridSpan w:val="2"/>
            <w:shd w:val="clear" w:color="auto" w:fill="auto"/>
            <w:tcMar>
              <w:top w:w="0" w:type="dxa"/>
              <w:left w:w="108" w:type="dxa"/>
              <w:bottom w:w="0" w:type="dxa"/>
              <w:right w:w="108" w:type="dxa"/>
            </w:tcMar>
            <w:vAlign w:val="center"/>
          </w:tcPr>
          <w:p w14:paraId="1F68333F"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6C0BF23B" w14:textId="77777777" w:rsidTr="00820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5"/>
        </w:trPr>
        <w:tc>
          <w:tcPr>
            <w:tcW w:w="9805" w:type="dxa"/>
            <w:gridSpan w:val="7"/>
            <w:tcBorders>
              <w:top w:val="single" w:sz="4"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63E2C7AE" w14:textId="77777777" w:rsidR="007E31E3" w:rsidRPr="00524435" w:rsidRDefault="007E31E3" w:rsidP="00E1597F">
            <w:pPr>
              <w:spacing w:after="0" w:line="240" w:lineRule="auto"/>
              <w:jc w:val="center"/>
              <w:rPr>
                <w:rFonts w:ascii="Cambria" w:hAnsi="Cambria"/>
                <w:b/>
                <w:sz w:val="18"/>
                <w:szCs w:val="18"/>
              </w:rPr>
            </w:pPr>
            <w:r w:rsidRPr="00524435">
              <w:rPr>
                <w:rFonts w:ascii="Cambria" w:hAnsi="Cambria"/>
                <w:b/>
                <w:sz w:val="18"/>
                <w:szCs w:val="18"/>
              </w:rPr>
              <w:t>Number of measures where progress was achieved: 9 (7 individual and 2 structural)</w:t>
            </w:r>
          </w:p>
          <w:p w14:paraId="0E1357F9" w14:textId="77777777" w:rsidR="007E31E3" w:rsidRPr="00524435" w:rsidRDefault="007E31E3" w:rsidP="00E1597F">
            <w:pPr>
              <w:spacing w:after="0" w:line="240" w:lineRule="auto"/>
              <w:jc w:val="center"/>
              <w:rPr>
                <w:rFonts w:ascii="Cambria" w:hAnsi="Cambria"/>
                <w:b/>
                <w:sz w:val="18"/>
                <w:szCs w:val="18"/>
              </w:rPr>
            </w:pPr>
            <w:r w:rsidRPr="00524435">
              <w:rPr>
                <w:rFonts w:ascii="Cambria" w:hAnsi="Cambria"/>
                <w:b/>
                <w:sz w:val="18"/>
                <w:szCs w:val="18"/>
              </w:rPr>
              <w:t>Total compliance: 7</w:t>
            </w:r>
          </w:p>
          <w:p w14:paraId="1722A54E" w14:textId="77777777" w:rsidR="007E31E3" w:rsidRPr="00524435" w:rsidRDefault="007E31E3" w:rsidP="00E1597F">
            <w:pPr>
              <w:spacing w:after="0" w:line="240" w:lineRule="auto"/>
              <w:jc w:val="center"/>
              <w:rPr>
                <w:rFonts w:ascii="Cambria" w:hAnsi="Cambria"/>
                <w:b/>
                <w:sz w:val="18"/>
                <w:szCs w:val="18"/>
              </w:rPr>
            </w:pPr>
            <w:r w:rsidRPr="00524435">
              <w:rPr>
                <w:rFonts w:ascii="Cambria" w:hAnsi="Cambria"/>
                <w:b/>
                <w:sz w:val="18"/>
                <w:szCs w:val="18"/>
              </w:rPr>
              <w:t>Partial substantial: n/a</w:t>
            </w:r>
          </w:p>
          <w:p w14:paraId="272C5D81" w14:textId="77777777" w:rsidR="007E31E3" w:rsidRPr="00524435" w:rsidRDefault="007E31E3" w:rsidP="00E1597F">
            <w:pPr>
              <w:spacing w:after="0" w:line="240" w:lineRule="auto"/>
              <w:jc w:val="center"/>
              <w:rPr>
                <w:rFonts w:ascii="Cambria" w:hAnsi="Cambria"/>
                <w:b/>
                <w:strike/>
                <w:color w:val="FF0000"/>
                <w:sz w:val="18"/>
                <w:szCs w:val="18"/>
              </w:rPr>
            </w:pPr>
            <w:r w:rsidRPr="00524435">
              <w:rPr>
                <w:rFonts w:ascii="Cambria" w:hAnsi="Cambria"/>
                <w:b/>
                <w:sz w:val="18"/>
                <w:szCs w:val="18"/>
              </w:rPr>
              <w:t>Partial compliance:  2</w:t>
            </w:r>
          </w:p>
        </w:tc>
      </w:tr>
      <w:tr w:rsidR="007E31E3" w:rsidRPr="00524435" w14:paraId="6251BB42" w14:textId="77777777" w:rsidTr="00820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9"/>
        </w:trPr>
        <w:tc>
          <w:tcPr>
            <w:tcW w:w="9805" w:type="dxa"/>
            <w:gridSpan w:val="7"/>
            <w:tcBorders>
              <w:top w:val="single" w:sz="4"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2158AF81"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HONDURAS</w:t>
            </w:r>
          </w:p>
        </w:tc>
      </w:tr>
      <w:tr w:rsidR="007E31E3" w:rsidRPr="00524435" w14:paraId="22C8689F" w14:textId="77777777" w:rsidTr="00820229">
        <w:tc>
          <w:tcPr>
            <w:tcW w:w="562" w:type="dxa"/>
            <w:shd w:val="clear" w:color="auto" w:fill="D9D9D9" w:themeFill="background1" w:themeFillShade="D9"/>
            <w:tcMar>
              <w:top w:w="0" w:type="dxa"/>
              <w:left w:w="108" w:type="dxa"/>
              <w:bottom w:w="0" w:type="dxa"/>
              <w:right w:w="108" w:type="dxa"/>
            </w:tcMar>
            <w:vAlign w:val="center"/>
          </w:tcPr>
          <w:p w14:paraId="7489B32E"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shd w:val="clear" w:color="auto" w:fill="D9D9D9" w:themeFill="background1" w:themeFillShade="D9"/>
            <w:vAlign w:val="center"/>
          </w:tcPr>
          <w:p w14:paraId="61ABF49A" w14:textId="77777777" w:rsidR="007E31E3" w:rsidRPr="00E42B49" w:rsidRDefault="007E31E3" w:rsidP="00820229">
            <w:pPr>
              <w:jc w:val="center"/>
              <w:rPr>
                <w:rFonts w:ascii="Cambria" w:hAnsi="Cambria"/>
                <w:b/>
                <w:bCs/>
                <w:sz w:val="18"/>
                <w:szCs w:val="18"/>
                <w:lang w:val="es-US"/>
              </w:rPr>
            </w:pPr>
            <w:r w:rsidRPr="00E42B49">
              <w:rPr>
                <w:rFonts w:ascii="Cambria" w:eastAsia="MS Mincho" w:hAnsi="Cambria" w:cs="Arial"/>
                <w:b/>
                <w:bCs/>
                <w:sz w:val="18"/>
                <w:szCs w:val="18"/>
                <w:lang w:val="es-US" w:eastAsia="es-ES_tradnl"/>
              </w:rPr>
              <w:t xml:space="preserve">Case 12.891, </w:t>
            </w:r>
            <w:proofErr w:type="spellStart"/>
            <w:r w:rsidRPr="00E42B49">
              <w:rPr>
                <w:rFonts w:ascii="Cambria" w:eastAsia="MS Mincho" w:hAnsi="Cambria" w:cs="Arial"/>
                <w:b/>
                <w:bCs/>
                <w:sz w:val="18"/>
                <w:szCs w:val="18"/>
                <w:lang w:val="es-US" w:eastAsia="es-ES_tradnl"/>
              </w:rPr>
              <w:t>Report</w:t>
            </w:r>
            <w:proofErr w:type="spellEnd"/>
            <w:r w:rsidRPr="00E42B49">
              <w:rPr>
                <w:rFonts w:ascii="Cambria" w:eastAsia="MS Mincho" w:hAnsi="Cambria" w:cs="Arial"/>
                <w:b/>
                <w:bCs/>
                <w:sz w:val="18"/>
                <w:szCs w:val="18"/>
                <w:lang w:val="es-US" w:eastAsia="es-ES_tradnl"/>
              </w:rPr>
              <w:t xml:space="preserve"> No.212/20, </w:t>
            </w:r>
            <w:proofErr w:type="spellStart"/>
            <w:r w:rsidRPr="00E42B49">
              <w:rPr>
                <w:rFonts w:ascii="Cambria" w:hAnsi="Cambria"/>
                <w:b/>
                <w:bCs/>
                <w:color w:val="000000"/>
                <w:sz w:val="18"/>
                <w:szCs w:val="18"/>
                <w:lang w:val="es-US"/>
              </w:rPr>
              <w:t>Adan</w:t>
            </w:r>
            <w:proofErr w:type="spellEnd"/>
            <w:r w:rsidRPr="00E42B49">
              <w:rPr>
                <w:rFonts w:ascii="Cambria" w:hAnsi="Cambria"/>
                <w:b/>
                <w:bCs/>
                <w:color w:val="000000"/>
                <w:sz w:val="18"/>
                <w:szCs w:val="18"/>
                <w:lang w:val="es-US"/>
              </w:rPr>
              <w:t xml:space="preserve"> Guillermo Lopez </w:t>
            </w:r>
            <w:proofErr w:type="spellStart"/>
            <w:r w:rsidRPr="00E42B49">
              <w:rPr>
                <w:rFonts w:ascii="Cambria" w:hAnsi="Cambria"/>
                <w:b/>
                <w:bCs/>
                <w:color w:val="000000"/>
                <w:sz w:val="18"/>
                <w:szCs w:val="18"/>
                <w:lang w:val="es-US"/>
              </w:rPr>
              <w:t>Lone</w:t>
            </w:r>
            <w:proofErr w:type="spellEnd"/>
            <w:r w:rsidRPr="00E42B49">
              <w:rPr>
                <w:rFonts w:ascii="Cambria" w:hAnsi="Cambria"/>
                <w:b/>
                <w:bCs/>
                <w:color w:val="000000"/>
                <w:sz w:val="18"/>
                <w:szCs w:val="18"/>
                <w:lang w:val="es-US"/>
              </w:rPr>
              <w:t xml:space="preserve"> et al</w:t>
            </w:r>
            <w:r w:rsidRPr="00E42B49">
              <w:rPr>
                <w:rFonts w:ascii="Cambria" w:eastAsia="MS Mincho" w:hAnsi="Cambria" w:cs="Arial"/>
                <w:b/>
                <w:bCs/>
                <w:sz w:val="18"/>
                <w:szCs w:val="18"/>
                <w:lang w:val="es-US" w:eastAsia="es-ES_tradnl"/>
              </w:rPr>
              <w:t xml:space="preserve"> (Honduras)</w:t>
            </w:r>
          </w:p>
        </w:tc>
        <w:tc>
          <w:tcPr>
            <w:tcW w:w="1081" w:type="dxa"/>
            <w:shd w:val="clear" w:color="auto" w:fill="D9D9D9" w:themeFill="background1" w:themeFillShade="D9"/>
            <w:tcMar>
              <w:top w:w="0" w:type="dxa"/>
              <w:left w:w="108" w:type="dxa"/>
              <w:bottom w:w="0" w:type="dxa"/>
              <w:right w:w="108" w:type="dxa"/>
            </w:tcMar>
            <w:vAlign w:val="center"/>
          </w:tcPr>
          <w:p w14:paraId="1CD3B2C1" w14:textId="77777777" w:rsidR="007E31E3" w:rsidRPr="00E42B49" w:rsidRDefault="007E31E3" w:rsidP="00820229">
            <w:pPr>
              <w:jc w:val="center"/>
              <w:rPr>
                <w:rFonts w:ascii="Cambria" w:hAnsi="Cambria"/>
                <w:strike/>
                <w:color w:val="FF0000"/>
                <w:sz w:val="18"/>
                <w:szCs w:val="18"/>
                <w:lang w:val="es-US"/>
              </w:rPr>
            </w:pPr>
          </w:p>
          <w:p w14:paraId="007D64CB"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65906894" w14:textId="77777777" w:rsidR="007E31E3" w:rsidRPr="00524435" w:rsidRDefault="007E31E3" w:rsidP="00820229">
            <w:pPr>
              <w:ind w:right="72"/>
              <w:jc w:val="both"/>
              <w:rPr>
                <w:rFonts w:ascii="Cambria" w:hAnsi="Cambria"/>
                <w:b/>
                <w:strike/>
                <w:color w:val="FF0000"/>
                <w:sz w:val="18"/>
                <w:szCs w:val="18"/>
              </w:rPr>
            </w:pPr>
            <w:r w:rsidRPr="00524435">
              <w:rPr>
                <w:rFonts w:ascii="Cambria" w:eastAsia="MS Mincho" w:hAnsi="Cambria" w:cs="Arial"/>
                <w:b/>
                <w:sz w:val="18"/>
                <w:szCs w:val="18"/>
                <w:lang w:eastAsia="es-ES_tradnl"/>
              </w:rPr>
              <w:t xml:space="preserve">Clause 5. A Measures of satisfaction: </w:t>
            </w:r>
            <w:r w:rsidRPr="00524435">
              <w:rPr>
                <w:rFonts w:ascii="Cambria" w:hAnsi="Cambria"/>
                <w:sz w:val="18"/>
                <w:szCs w:val="18"/>
              </w:rPr>
              <w:t>The State of Honduras, via the State Secretariat for Security of the Public Prosecution Ministry, undertakes to continue to investigate and</w:t>
            </w:r>
            <w:proofErr w:type="gramStart"/>
            <w:r w:rsidRPr="00524435">
              <w:rPr>
                <w:rFonts w:ascii="Cambria" w:hAnsi="Cambria"/>
                <w:sz w:val="18"/>
                <w:szCs w:val="18"/>
              </w:rPr>
              <w:t>, as the case may be, capture</w:t>
            </w:r>
            <w:proofErr w:type="gramEnd"/>
            <w:r w:rsidRPr="00524435">
              <w:rPr>
                <w:rFonts w:ascii="Cambria" w:hAnsi="Cambria"/>
                <w:sz w:val="18"/>
                <w:szCs w:val="18"/>
              </w:rPr>
              <w:t xml:space="preserve"> and bring criminal actions against the agents of the State of Honduras who caused harm to the victims </w:t>
            </w:r>
            <w:r w:rsidRPr="00524435">
              <w:rPr>
                <w:rFonts w:ascii="Cambria" w:hAnsi="Cambria"/>
                <w:b/>
                <w:bCs/>
                <w:sz w:val="18"/>
                <w:szCs w:val="18"/>
              </w:rPr>
              <w:t>ADÁN GUILLERMO LÓPEZ LONE, EDWIN LÓPEZ LONE, GILDA MARÍA RIVERA SIERRA, ANA SUYAPA RIVERA SIERRA, MARLENE IRASEMA JIMÉNEZ PUERTO, MILTON DANILO JIMÉNEZ PUERTO, and RAFAEL RIVERA TORRES</w:t>
            </w:r>
            <w:r w:rsidRPr="00524435">
              <w:rPr>
                <w:rFonts w:ascii="Cambria" w:hAnsi="Cambria"/>
                <w:sz w:val="18"/>
                <w:szCs w:val="18"/>
              </w:rPr>
              <w:t>.</w:t>
            </w:r>
            <w:r w:rsidRPr="00524435">
              <w:rPr>
                <w:rFonts w:ascii="Cambria" w:hAnsi="Cambria"/>
                <w:b/>
                <w:bCs/>
                <w:sz w:val="18"/>
                <w:szCs w:val="18"/>
              </w:rPr>
              <w:t xml:space="preserve"> </w:t>
            </w:r>
            <w:r w:rsidRPr="00524435">
              <w:rPr>
                <w:rFonts w:ascii="Cambria" w:hAnsi="Cambria"/>
                <w:sz w:val="18"/>
                <w:szCs w:val="18"/>
              </w:rPr>
              <w:t>In all phases, the victims and their families will have the right to be informed about the actions taken, as well as the outcomes thereof.</w:t>
            </w:r>
          </w:p>
        </w:tc>
        <w:tc>
          <w:tcPr>
            <w:tcW w:w="1440" w:type="dxa"/>
            <w:gridSpan w:val="2"/>
            <w:shd w:val="clear" w:color="auto" w:fill="D9D9D9" w:themeFill="background1" w:themeFillShade="D9"/>
            <w:tcMar>
              <w:top w:w="0" w:type="dxa"/>
              <w:left w:w="108" w:type="dxa"/>
              <w:bottom w:w="0" w:type="dxa"/>
              <w:right w:w="108" w:type="dxa"/>
            </w:tcMar>
            <w:vAlign w:val="center"/>
          </w:tcPr>
          <w:p w14:paraId="7008F5BE"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Partial 2021</w:t>
            </w:r>
          </w:p>
        </w:tc>
      </w:tr>
      <w:tr w:rsidR="007E31E3" w:rsidRPr="00524435" w14:paraId="1B396FFD" w14:textId="77777777" w:rsidTr="00820229">
        <w:tc>
          <w:tcPr>
            <w:tcW w:w="562" w:type="dxa"/>
            <w:shd w:val="clear" w:color="auto" w:fill="auto"/>
            <w:tcMar>
              <w:top w:w="0" w:type="dxa"/>
              <w:left w:w="108" w:type="dxa"/>
              <w:bottom w:w="0" w:type="dxa"/>
              <w:right w:w="108" w:type="dxa"/>
            </w:tcMar>
            <w:vAlign w:val="center"/>
          </w:tcPr>
          <w:p w14:paraId="7D625321"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val="restart"/>
            <w:shd w:val="clear" w:color="auto" w:fill="auto"/>
            <w:vAlign w:val="center"/>
          </w:tcPr>
          <w:p w14:paraId="401C221B"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Case 11.562,</w:t>
            </w:r>
          </w:p>
          <w:p w14:paraId="12554F3C" w14:textId="77777777" w:rsidR="007E31E3" w:rsidRPr="00E42B49" w:rsidRDefault="007E31E3" w:rsidP="00820229">
            <w:pPr>
              <w:jc w:val="center"/>
              <w:rPr>
                <w:rFonts w:ascii="Cambria" w:hAnsi="Cambria"/>
                <w:sz w:val="18"/>
                <w:szCs w:val="18"/>
                <w:lang w:val="es-US"/>
              </w:rPr>
            </w:pPr>
            <w:proofErr w:type="spellStart"/>
            <w:r w:rsidRPr="00E42B49">
              <w:rPr>
                <w:rFonts w:ascii="Cambria" w:hAnsi="Cambria"/>
                <w:b/>
                <w:sz w:val="18"/>
                <w:szCs w:val="18"/>
                <w:lang w:val="es-US"/>
              </w:rPr>
              <w:t>Report</w:t>
            </w:r>
            <w:proofErr w:type="spellEnd"/>
            <w:r w:rsidRPr="00E42B49">
              <w:rPr>
                <w:rFonts w:ascii="Cambria" w:hAnsi="Cambria"/>
                <w:b/>
                <w:sz w:val="18"/>
                <w:szCs w:val="18"/>
                <w:lang w:val="es-US"/>
              </w:rPr>
              <w:t xml:space="preserve"> No.40/21, Dixie Miguel Urbina Rosales (Honduras)</w:t>
            </w:r>
          </w:p>
          <w:p w14:paraId="6DCD7A13" w14:textId="77777777" w:rsidR="007E31E3" w:rsidRPr="00E42B49" w:rsidRDefault="007E31E3" w:rsidP="00820229">
            <w:pPr>
              <w:rPr>
                <w:rFonts w:ascii="Cambria" w:hAnsi="Cambria"/>
                <w:b/>
                <w:sz w:val="18"/>
                <w:szCs w:val="18"/>
                <w:lang w:val="es-US"/>
              </w:rPr>
            </w:pPr>
            <w:r w:rsidRPr="00E42B49">
              <w:rPr>
                <w:rFonts w:ascii="Cambria" w:hAnsi="Cambria"/>
                <w:b/>
                <w:sz w:val="18"/>
                <w:szCs w:val="18"/>
                <w:lang w:val="es-US"/>
              </w:rPr>
              <w:lastRenderedPageBreak/>
              <w:t xml:space="preserve"> </w:t>
            </w:r>
          </w:p>
        </w:tc>
        <w:tc>
          <w:tcPr>
            <w:tcW w:w="1081" w:type="dxa"/>
            <w:shd w:val="clear" w:color="auto" w:fill="auto"/>
            <w:tcMar>
              <w:top w:w="0" w:type="dxa"/>
              <w:left w:w="108" w:type="dxa"/>
              <w:bottom w:w="0" w:type="dxa"/>
              <w:right w:w="108" w:type="dxa"/>
            </w:tcMar>
            <w:vAlign w:val="center"/>
          </w:tcPr>
          <w:p w14:paraId="7ED11D77" w14:textId="77777777" w:rsidR="007E31E3" w:rsidRPr="00524435" w:rsidRDefault="007E31E3" w:rsidP="00820229">
            <w:pPr>
              <w:jc w:val="center"/>
              <w:rPr>
                <w:rFonts w:ascii="Cambria" w:hAnsi="Cambria"/>
                <w:sz w:val="18"/>
                <w:szCs w:val="18"/>
              </w:rPr>
            </w:pPr>
            <w:r w:rsidRPr="00524435">
              <w:rPr>
                <w:rFonts w:ascii="Cambria" w:hAnsi="Cambria"/>
                <w:sz w:val="18"/>
                <w:szCs w:val="18"/>
              </w:rPr>
              <w:lastRenderedPageBreak/>
              <w:t>Individual</w:t>
            </w:r>
          </w:p>
        </w:tc>
        <w:tc>
          <w:tcPr>
            <w:tcW w:w="5304" w:type="dxa"/>
            <w:gridSpan w:val="2"/>
            <w:shd w:val="clear" w:color="auto" w:fill="auto"/>
            <w:tcMar>
              <w:top w:w="0" w:type="dxa"/>
              <w:left w:w="108" w:type="dxa"/>
              <w:bottom w:w="0" w:type="dxa"/>
              <w:right w:w="108" w:type="dxa"/>
            </w:tcMar>
            <w:vAlign w:val="center"/>
          </w:tcPr>
          <w:p w14:paraId="37645418" w14:textId="77777777" w:rsidR="007E31E3" w:rsidRPr="00524435" w:rsidRDefault="007E31E3" w:rsidP="00820229">
            <w:pPr>
              <w:contextualSpacing/>
              <w:jc w:val="both"/>
              <w:rPr>
                <w:rFonts w:ascii="Cambria" w:hAnsi="Cambria"/>
                <w:bCs/>
                <w:sz w:val="18"/>
                <w:szCs w:val="18"/>
              </w:rPr>
            </w:pPr>
            <w:r w:rsidRPr="00524435">
              <w:rPr>
                <w:rFonts w:ascii="Cambria" w:hAnsi="Cambria"/>
                <w:b/>
                <w:sz w:val="18"/>
                <w:szCs w:val="18"/>
              </w:rPr>
              <w:t xml:space="preserve">Clause 5. 1. Investigation of the facts: </w:t>
            </w:r>
            <w:r w:rsidRPr="00524435">
              <w:rPr>
                <w:rFonts w:ascii="Cambria" w:hAnsi="Cambria"/>
                <w:bCs/>
                <w:sz w:val="18"/>
                <w:szCs w:val="18"/>
              </w:rPr>
              <w:t xml:space="preserve">The State of Honduras compromises to continue with the investigation of the forced disappearance of Mr. Dixie Miguel Urbina Rosales, including the location of his remains. The respective investigation will be carried out under the responsibility of the Security Office of the Secretary of State, through the Investigative Unit of the corresponding Police Directorate responsible for cases related to Human Rights, and the Public Ministry in its character of public officer that exercises this </w:t>
            </w:r>
            <w:r w:rsidRPr="00524435">
              <w:rPr>
                <w:rFonts w:ascii="Cambria" w:hAnsi="Cambria"/>
                <w:bCs/>
                <w:sz w:val="18"/>
                <w:szCs w:val="18"/>
              </w:rPr>
              <w:lastRenderedPageBreak/>
              <w:t xml:space="preserve">criminal persecution actions, as well as the technical and legal direction of the investigation of any illegal acts. </w:t>
            </w:r>
          </w:p>
        </w:tc>
        <w:tc>
          <w:tcPr>
            <w:tcW w:w="1440" w:type="dxa"/>
            <w:gridSpan w:val="2"/>
            <w:shd w:val="clear" w:color="auto" w:fill="auto"/>
            <w:tcMar>
              <w:top w:w="0" w:type="dxa"/>
              <w:left w:w="108" w:type="dxa"/>
              <w:bottom w:w="0" w:type="dxa"/>
              <w:right w:w="108" w:type="dxa"/>
            </w:tcMar>
            <w:vAlign w:val="center"/>
          </w:tcPr>
          <w:p w14:paraId="1EFAEBEC"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lastRenderedPageBreak/>
              <w:t xml:space="preserve">Partial 2021 </w:t>
            </w:r>
          </w:p>
        </w:tc>
      </w:tr>
      <w:tr w:rsidR="007E31E3" w:rsidRPr="00524435" w14:paraId="626A9D0E" w14:textId="77777777" w:rsidTr="00820229">
        <w:tc>
          <w:tcPr>
            <w:tcW w:w="562" w:type="dxa"/>
            <w:shd w:val="clear" w:color="auto" w:fill="auto"/>
            <w:tcMar>
              <w:top w:w="0" w:type="dxa"/>
              <w:left w:w="108" w:type="dxa"/>
              <w:bottom w:w="0" w:type="dxa"/>
              <w:right w:w="108" w:type="dxa"/>
            </w:tcMar>
            <w:vAlign w:val="center"/>
          </w:tcPr>
          <w:p w14:paraId="0589F9AE"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vAlign w:val="center"/>
          </w:tcPr>
          <w:p w14:paraId="193C479A" w14:textId="77777777" w:rsidR="007E31E3" w:rsidRPr="00524435" w:rsidRDefault="007E31E3" w:rsidP="00820229">
            <w:pPr>
              <w:rPr>
                <w:rFonts w:ascii="Cambria" w:hAnsi="Cambria"/>
                <w:b/>
                <w:sz w:val="18"/>
                <w:szCs w:val="18"/>
              </w:rPr>
            </w:pPr>
          </w:p>
        </w:tc>
        <w:tc>
          <w:tcPr>
            <w:tcW w:w="1081" w:type="dxa"/>
            <w:shd w:val="clear" w:color="auto" w:fill="auto"/>
            <w:tcMar>
              <w:top w:w="0" w:type="dxa"/>
              <w:left w:w="108" w:type="dxa"/>
              <w:bottom w:w="0" w:type="dxa"/>
              <w:right w:w="108" w:type="dxa"/>
            </w:tcMar>
            <w:vAlign w:val="center"/>
          </w:tcPr>
          <w:p w14:paraId="3893AC0C"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auto"/>
            <w:tcMar>
              <w:top w:w="0" w:type="dxa"/>
              <w:left w:w="108" w:type="dxa"/>
              <w:bottom w:w="0" w:type="dxa"/>
              <w:right w:w="108" w:type="dxa"/>
            </w:tcMar>
            <w:vAlign w:val="center"/>
          </w:tcPr>
          <w:p w14:paraId="143C1EAE" w14:textId="77777777" w:rsidR="007E31E3" w:rsidRPr="00524435" w:rsidRDefault="007E31E3" w:rsidP="00820229">
            <w:pPr>
              <w:jc w:val="both"/>
              <w:rPr>
                <w:rFonts w:ascii="Cambria" w:hAnsi="Cambria"/>
                <w:strike/>
                <w:color w:val="FF0000"/>
                <w:sz w:val="18"/>
                <w:szCs w:val="18"/>
              </w:rPr>
            </w:pPr>
            <w:r w:rsidRPr="00524435">
              <w:rPr>
                <w:rFonts w:ascii="Cambria" w:hAnsi="Cambria"/>
                <w:b/>
                <w:sz w:val="18"/>
                <w:szCs w:val="18"/>
              </w:rPr>
              <w:t xml:space="preserve">Clause 5.3. Dissemination of public acknowledgment of responsibility: </w:t>
            </w:r>
            <w:r w:rsidRPr="00524435">
              <w:rPr>
                <w:rFonts w:ascii="Cambria" w:hAnsi="Cambria"/>
                <w:bCs/>
                <w:sz w:val="18"/>
                <w:szCs w:val="18"/>
              </w:rPr>
              <w:t xml:space="preserve">The State of Honduras undertakes to publish for one time only a summary of the Human Rights violation acts committed to the detriment of Dixie Miguel Urbina Rosales, along with the text of the public acknowledgment of responsibility made on November 4, 2004, by the then President of the Republic of Honduras, Mr. Ricardo Maduro, in the Official Gazette La </w:t>
            </w:r>
            <w:proofErr w:type="spellStart"/>
            <w:r w:rsidRPr="00524435">
              <w:rPr>
                <w:rFonts w:ascii="Cambria" w:hAnsi="Cambria"/>
                <w:bCs/>
                <w:sz w:val="18"/>
                <w:szCs w:val="18"/>
              </w:rPr>
              <w:t>Gaceta</w:t>
            </w:r>
            <w:proofErr w:type="spellEnd"/>
            <w:r w:rsidRPr="00524435">
              <w:rPr>
                <w:rFonts w:ascii="Cambria" w:hAnsi="Cambria"/>
                <w:bCs/>
                <w:sz w:val="18"/>
                <w:szCs w:val="18"/>
              </w:rPr>
              <w:t xml:space="preserve">, and in the newspaper La </w:t>
            </w:r>
            <w:proofErr w:type="spellStart"/>
            <w:r w:rsidRPr="00524435">
              <w:rPr>
                <w:rFonts w:ascii="Cambria" w:hAnsi="Cambria"/>
                <w:bCs/>
                <w:sz w:val="18"/>
                <w:szCs w:val="18"/>
              </w:rPr>
              <w:t>Tribuna</w:t>
            </w:r>
            <w:proofErr w:type="spellEnd"/>
            <w:r w:rsidRPr="00524435">
              <w:rPr>
                <w:rFonts w:ascii="Cambria" w:hAnsi="Cambria"/>
                <w:bCs/>
                <w:sz w:val="18"/>
                <w:szCs w:val="18"/>
              </w:rPr>
              <w:t xml:space="preserve"> published in Tegucigalpa.</w:t>
            </w:r>
          </w:p>
        </w:tc>
        <w:tc>
          <w:tcPr>
            <w:tcW w:w="1440" w:type="dxa"/>
            <w:gridSpan w:val="2"/>
            <w:shd w:val="clear" w:color="auto" w:fill="auto"/>
            <w:tcMar>
              <w:top w:w="0" w:type="dxa"/>
              <w:left w:w="108" w:type="dxa"/>
              <w:bottom w:w="0" w:type="dxa"/>
              <w:right w:w="108" w:type="dxa"/>
            </w:tcMar>
            <w:vAlign w:val="center"/>
          </w:tcPr>
          <w:p w14:paraId="6171B647"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7C641DFF" w14:textId="77777777" w:rsidTr="00820229">
        <w:tc>
          <w:tcPr>
            <w:tcW w:w="562" w:type="dxa"/>
            <w:shd w:val="clear" w:color="auto" w:fill="auto"/>
            <w:tcMar>
              <w:top w:w="0" w:type="dxa"/>
              <w:left w:w="108" w:type="dxa"/>
              <w:bottom w:w="0" w:type="dxa"/>
              <w:right w:w="108" w:type="dxa"/>
            </w:tcMar>
            <w:vAlign w:val="center"/>
          </w:tcPr>
          <w:p w14:paraId="2F180511"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vAlign w:val="center"/>
          </w:tcPr>
          <w:p w14:paraId="478734FE" w14:textId="77777777" w:rsidR="007E31E3" w:rsidRPr="00524435" w:rsidRDefault="007E31E3" w:rsidP="00820229">
            <w:pPr>
              <w:rPr>
                <w:rFonts w:ascii="Cambria" w:hAnsi="Cambria"/>
                <w:b/>
                <w:sz w:val="18"/>
                <w:szCs w:val="18"/>
              </w:rPr>
            </w:pPr>
          </w:p>
        </w:tc>
        <w:tc>
          <w:tcPr>
            <w:tcW w:w="1081" w:type="dxa"/>
            <w:shd w:val="clear" w:color="auto" w:fill="auto"/>
            <w:tcMar>
              <w:top w:w="0" w:type="dxa"/>
              <w:left w:w="108" w:type="dxa"/>
              <w:bottom w:w="0" w:type="dxa"/>
              <w:right w:w="108" w:type="dxa"/>
            </w:tcMar>
            <w:vAlign w:val="center"/>
          </w:tcPr>
          <w:p w14:paraId="2908C99E"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auto"/>
            <w:tcMar>
              <w:top w:w="0" w:type="dxa"/>
              <w:left w:w="108" w:type="dxa"/>
              <w:bottom w:w="0" w:type="dxa"/>
              <w:right w:w="108" w:type="dxa"/>
            </w:tcMar>
            <w:vAlign w:val="center"/>
          </w:tcPr>
          <w:p w14:paraId="512B87F7" w14:textId="77777777" w:rsidR="007E31E3" w:rsidRPr="00524435" w:rsidRDefault="007E31E3" w:rsidP="00820229">
            <w:pPr>
              <w:jc w:val="both"/>
              <w:rPr>
                <w:rFonts w:ascii="Cambria" w:hAnsi="Cambria"/>
                <w:sz w:val="18"/>
                <w:szCs w:val="18"/>
              </w:rPr>
            </w:pPr>
            <w:r w:rsidRPr="00524435">
              <w:rPr>
                <w:rFonts w:ascii="Cambria" w:hAnsi="Cambria"/>
                <w:b/>
                <w:sz w:val="18"/>
                <w:szCs w:val="18"/>
              </w:rPr>
              <w:t>Clause 5.4. Contribution of the State to the Memorial Building: Home Against Forgetfulness”.</w:t>
            </w:r>
            <w:r w:rsidRPr="00524435">
              <w:rPr>
                <w:rFonts w:ascii="Cambria" w:hAnsi="Cambria"/>
                <w:sz w:val="18"/>
                <w:szCs w:val="18"/>
              </w:rPr>
              <w:t xml:space="preserve"> The State of Honduras provided documentation for the verification of the transfer dated November 24, 2017 of an amount of forty thousand dollars of the United States of America ($40,000USD), through check No. 5023, made out to Mrs. Bertha Oliva de </w:t>
            </w:r>
            <w:proofErr w:type="spellStart"/>
            <w:r w:rsidRPr="00524435">
              <w:rPr>
                <w:rFonts w:ascii="Cambria" w:hAnsi="Cambria"/>
                <w:sz w:val="18"/>
                <w:szCs w:val="18"/>
              </w:rPr>
              <w:t>Nativi</w:t>
            </w:r>
            <w:proofErr w:type="spellEnd"/>
            <w:r w:rsidRPr="00524435">
              <w:rPr>
                <w:rFonts w:ascii="Cambria" w:hAnsi="Cambria"/>
                <w:sz w:val="18"/>
                <w:szCs w:val="18"/>
              </w:rPr>
              <w:t>, as a contribution for the construction of a module for reflection, training and analysis, in the Historical Memory Center Property of COFADEH called "</w:t>
            </w:r>
            <w:r w:rsidRPr="00524435">
              <w:rPr>
                <w:rFonts w:ascii="Cambria" w:hAnsi="Cambria"/>
                <w:i/>
                <w:iCs/>
                <w:sz w:val="18"/>
                <w:szCs w:val="18"/>
              </w:rPr>
              <w:t xml:space="preserve">Hogar contra el </w:t>
            </w:r>
            <w:proofErr w:type="spellStart"/>
            <w:r w:rsidRPr="00524435">
              <w:rPr>
                <w:rFonts w:ascii="Cambria" w:hAnsi="Cambria"/>
                <w:i/>
                <w:iCs/>
                <w:sz w:val="18"/>
                <w:szCs w:val="18"/>
              </w:rPr>
              <w:t>Olvido</w:t>
            </w:r>
            <w:proofErr w:type="spellEnd"/>
            <w:r w:rsidRPr="00524435">
              <w:rPr>
                <w:rFonts w:ascii="Cambria" w:hAnsi="Cambria"/>
                <w:sz w:val="18"/>
                <w:szCs w:val="18"/>
              </w:rPr>
              <w:t>" which was built and is located in Aldea la Joya Municipality of Santa Ana Francisco Morazán.</w:t>
            </w:r>
          </w:p>
        </w:tc>
        <w:tc>
          <w:tcPr>
            <w:tcW w:w="1440" w:type="dxa"/>
            <w:gridSpan w:val="2"/>
            <w:shd w:val="clear" w:color="auto" w:fill="auto"/>
            <w:tcMar>
              <w:top w:w="0" w:type="dxa"/>
              <w:left w:w="108" w:type="dxa"/>
              <w:bottom w:w="0" w:type="dxa"/>
              <w:right w:w="108" w:type="dxa"/>
            </w:tcMar>
            <w:vAlign w:val="center"/>
          </w:tcPr>
          <w:p w14:paraId="0E0BF935"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417AC245" w14:textId="77777777" w:rsidTr="00820229">
        <w:tc>
          <w:tcPr>
            <w:tcW w:w="562" w:type="dxa"/>
            <w:shd w:val="clear" w:color="auto" w:fill="auto"/>
            <w:tcMar>
              <w:top w:w="0" w:type="dxa"/>
              <w:left w:w="108" w:type="dxa"/>
              <w:bottom w:w="0" w:type="dxa"/>
              <w:right w:w="108" w:type="dxa"/>
            </w:tcMar>
            <w:vAlign w:val="center"/>
          </w:tcPr>
          <w:p w14:paraId="27DFC53C"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vAlign w:val="center"/>
          </w:tcPr>
          <w:p w14:paraId="4E9E638A" w14:textId="77777777" w:rsidR="007E31E3" w:rsidRPr="00524435" w:rsidRDefault="007E31E3" w:rsidP="00820229">
            <w:pPr>
              <w:rPr>
                <w:rFonts w:ascii="Cambria" w:hAnsi="Cambria"/>
                <w:b/>
                <w:sz w:val="18"/>
                <w:szCs w:val="18"/>
              </w:rPr>
            </w:pPr>
          </w:p>
        </w:tc>
        <w:tc>
          <w:tcPr>
            <w:tcW w:w="1081" w:type="dxa"/>
            <w:shd w:val="clear" w:color="auto" w:fill="auto"/>
            <w:tcMar>
              <w:top w:w="0" w:type="dxa"/>
              <w:left w:w="108" w:type="dxa"/>
              <w:bottom w:w="0" w:type="dxa"/>
              <w:right w:w="108" w:type="dxa"/>
            </w:tcMar>
            <w:vAlign w:val="center"/>
          </w:tcPr>
          <w:p w14:paraId="2D5D8FAF"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795DEB49" w14:textId="77777777" w:rsidR="007E31E3" w:rsidRPr="00524435" w:rsidRDefault="007E31E3" w:rsidP="00820229">
            <w:pPr>
              <w:jc w:val="both"/>
              <w:rPr>
                <w:rFonts w:ascii="Cambria" w:eastAsia="Times New Roman" w:hAnsi="Cambria"/>
                <w:sz w:val="18"/>
                <w:szCs w:val="18"/>
              </w:rPr>
            </w:pPr>
            <w:r w:rsidRPr="00524435">
              <w:rPr>
                <w:rFonts w:ascii="Cambria" w:hAnsi="Cambria"/>
                <w:b/>
                <w:sz w:val="18"/>
                <w:szCs w:val="18"/>
              </w:rPr>
              <w:t xml:space="preserve">Clause 5.5 Physical and psychological rehabilitation measures: </w:t>
            </w:r>
            <w:r w:rsidRPr="00524435">
              <w:rPr>
                <w:rFonts w:ascii="Cambria" w:eastAsia="Times New Roman" w:hAnsi="Cambria"/>
                <w:sz w:val="18"/>
                <w:szCs w:val="18"/>
              </w:rPr>
              <w:t xml:space="preserve">The State of Honduras undertakes to provide comprehensive medical, psychiatric, and psychological care to the families of the victims, free of charge and through its public health institutions when the victims deem it necessary. </w:t>
            </w:r>
          </w:p>
          <w:p w14:paraId="231850FF" w14:textId="77777777" w:rsidR="007E31E3" w:rsidRPr="00524435" w:rsidRDefault="007E31E3" w:rsidP="00820229">
            <w:pPr>
              <w:jc w:val="both"/>
              <w:rPr>
                <w:rFonts w:ascii="Cambria" w:hAnsi="Cambria"/>
                <w:b/>
                <w:sz w:val="18"/>
                <w:szCs w:val="18"/>
              </w:rPr>
            </w:pPr>
            <w:r w:rsidRPr="00524435">
              <w:rPr>
                <w:rFonts w:ascii="Cambria" w:eastAsia="Times New Roman" w:hAnsi="Cambria"/>
                <w:sz w:val="18"/>
                <w:szCs w:val="18"/>
              </w:rPr>
              <w:t xml:space="preserve">To this end, the Honduran State undertakes to provide, free of charge and through public health officials, the adequate treatment required by said persons, after a medical evaluation and issuance of the consent of the victim's family members for this purpose. </w:t>
            </w:r>
          </w:p>
        </w:tc>
        <w:tc>
          <w:tcPr>
            <w:tcW w:w="1440" w:type="dxa"/>
            <w:gridSpan w:val="2"/>
            <w:shd w:val="clear" w:color="auto" w:fill="auto"/>
            <w:tcMar>
              <w:top w:w="0" w:type="dxa"/>
              <w:left w:w="108" w:type="dxa"/>
              <w:bottom w:w="0" w:type="dxa"/>
              <w:right w:w="108" w:type="dxa"/>
            </w:tcMar>
            <w:vAlign w:val="center"/>
          </w:tcPr>
          <w:p w14:paraId="76E81BAD"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Partial 2021</w:t>
            </w:r>
          </w:p>
        </w:tc>
      </w:tr>
      <w:tr w:rsidR="007E31E3" w:rsidRPr="00524435" w14:paraId="50E1C826" w14:textId="77777777" w:rsidTr="00820229">
        <w:tc>
          <w:tcPr>
            <w:tcW w:w="562" w:type="dxa"/>
            <w:shd w:val="clear" w:color="auto" w:fill="auto"/>
            <w:tcMar>
              <w:top w:w="0" w:type="dxa"/>
              <w:left w:w="108" w:type="dxa"/>
              <w:bottom w:w="0" w:type="dxa"/>
              <w:right w:w="108" w:type="dxa"/>
            </w:tcMar>
            <w:vAlign w:val="center"/>
          </w:tcPr>
          <w:p w14:paraId="1D7BA5D0"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vAlign w:val="center"/>
          </w:tcPr>
          <w:p w14:paraId="2B94E0C0" w14:textId="77777777" w:rsidR="007E31E3" w:rsidRPr="00524435" w:rsidRDefault="007E31E3" w:rsidP="00820229">
            <w:pPr>
              <w:rPr>
                <w:rFonts w:ascii="Cambria" w:hAnsi="Cambria"/>
                <w:b/>
                <w:sz w:val="18"/>
                <w:szCs w:val="18"/>
              </w:rPr>
            </w:pPr>
          </w:p>
        </w:tc>
        <w:tc>
          <w:tcPr>
            <w:tcW w:w="1081" w:type="dxa"/>
            <w:shd w:val="clear" w:color="auto" w:fill="auto"/>
            <w:tcMar>
              <w:top w:w="0" w:type="dxa"/>
              <w:left w:w="108" w:type="dxa"/>
              <w:bottom w:w="0" w:type="dxa"/>
              <w:right w:w="108" w:type="dxa"/>
            </w:tcMar>
            <w:vAlign w:val="center"/>
          </w:tcPr>
          <w:p w14:paraId="097EE478"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640F8457" w14:textId="77777777" w:rsidR="007E31E3" w:rsidRPr="00524435" w:rsidRDefault="007E31E3" w:rsidP="00820229">
            <w:pPr>
              <w:contextualSpacing/>
              <w:jc w:val="both"/>
              <w:rPr>
                <w:rFonts w:ascii="Cambria" w:hAnsi="Cambria"/>
                <w:b/>
                <w:sz w:val="18"/>
                <w:szCs w:val="18"/>
              </w:rPr>
            </w:pPr>
            <w:r w:rsidRPr="00524435">
              <w:rPr>
                <w:rFonts w:ascii="Cambria" w:hAnsi="Cambria"/>
                <w:b/>
                <w:sz w:val="18"/>
                <w:szCs w:val="18"/>
              </w:rPr>
              <w:t xml:space="preserve">Clause 6.1 Pecuniary repair measures (amounts): </w:t>
            </w:r>
            <w:r w:rsidRPr="00524435">
              <w:rPr>
                <w:rFonts w:ascii="Cambria" w:hAnsi="Cambria"/>
                <w:bCs/>
                <w:sz w:val="18"/>
                <w:szCs w:val="18"/>
              </w:rPr>
              <w:t xml:space="preserve">The State of Honduras recognizes the right of the relatives of Mr. Dixie Miguel Urbina Rosales to receive financial compensation for the violations suffered </w:t>
            </w:r>
            <w:proofErr w:type="gramStart"/>
            <w:r w:rsidRPr="00524435">
              <w:rPr>
                <w:rFonts w:ascii="Cambria" w:hAnsi="Cambria"/>
                <w:bCs/>
                <w:sz w:val="18"/>
                <w:szCs w:val="18"/>
              </w:rPr>
              <w:t>on the occasion of</w:t>
            </w:r>
            <w:proofErr w:type="gramEnd"/>
            <w:r w:rsidRPr="00524435">
              <w:rPr>
                <w:rFonts w:ascii="Cambria" w:hAnsi="Cambria"/>
                <w:bCs/>
                <w:sz w:val="18"/>
                <w:szCs w:val="18"/>
              </w:rPr>
              <w:t xml:space="preserve"> his forced disappearance. For the definition of the corresponding amounts, the standards developed in the matter by the organs of the Inter-American Human Rights System have been considered.</w:t>
            </w:r>
          </w:p>
        </w:tc>
        <w:tc>
          <w:tcPr>
            <w:tcW w:w="1440" w:type="dxa"/>
            <w:gridSpan w:val="2"/>
            <w:shd w:val="clear" w:color="auto" w:fill="auto"/>
            <w:tcMar>
              <w:top w:w="0" w:type="dxa"/>
              <w:left w:w="108" w:type="dxa"/>
              <w:bottom w:w="0" w:type="dxa"/>
              <w:right w:w="108" w:type="dxa"/>
            </w:tcMar>
            <w:vAlign w:val="center"/>
          </w:tcPr>
          <w:p w14:paraId="4254F903"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15817ABB" w14:textId="77777777" w:rsidTr="00820229">
        <w:tc>
          <w:tcPr>
            <w:tcW w:w="562" w:type="dxa"/>
            <w:shd w:val="clear" w:color="auto" w:fill="D9D9D9" w:themeFill="background1" w:themeFillShade="D9"/>
            <w:tcMar>
              <w:top w:w="0" w:type="dxa"/>
              <w:left w:w="108" w:type="dxa"/>
              <w:bottom w:w="0" w:type="dxa"/>
              <w:right w:w="108" w:type="dxa"/>
            </w:tcMar>
            <w:vAlign w:val="center"/>
          </w:tcPr>
          <w:p w14:paraId="00C82E67"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val="restart"/>
            <w:shd w:val="clear" w:color="auto" w:fill="D9D9D9" w:themeFill="background1" w:themeFillShade="D9"/>
            <w:vAlign w:val="center"/>
          </w:tcPr>
          <w:p w14:paraId="1AA8DBAB"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Case 12.961E,</w:t>
            </w:r>
          </w:p>
          <w:p w14:paraId="5AFFF614" w14:textId="77777777" w:rsidR="007E31E3" w:rsidRPr="00E42B49" w:rsidRDefault="007E31E3" w:rsidP="00820229">
            <w:pPr>
              <w:jc w:val="center"/>
              <w:rPr>
                <w:rFonts w:ascii="Cambria" w:hAnsi="Cambria"/>
                <w:b/>
                <w:sz w:val="18"/>
                <w:szCs w:val="18"/>
                <w:lang w:val="es-US"/>
              </w:rPr>
            </w:pPr>
            <w:proofErr w:type="spellStart"/>
            <w:r w:rsidRPr="00E42B49">
              <w:rPr>
                <w:rFonts w:ascii="Cambria" w:hAnsi="Cambria"/>
                <w:b/>
                <w:sz w:val="18"/>
                <w:szCs w:val="18"/>
                <w:lang w:val="es-US"/>
              </w:rPr>
              <w:t>Report</w:t>
            </w:r>
            <w:proofErr w:type="spellEnd"/>
            <w:r w:rsidRPr="00E42B49">
              <w:rPr>
                <w:rFonts w:ascii="Cambria" w:hAnsi="Cambria"/>
                <w:b/>
                <w:sz w:val="18"/>
                <w:szCs w:val="18"/>
                <w:lang w:val="es-US"/>
              </w:rPr>
              <w:t xml:space="preserve"> No.42/21, </w:t>
            </w:r>
            <w:proofErr w:type="spellStart"/>
            <w:r w:rsidRPr="00E42B49">
              <w:rPr>
                <w:rFonts w:ascii="Cambria" w:hAnsi="Cambria"/>
                <w:b/>
                <w:sz w:val="18"/>
                <w:szCs w:val="18"/>
                <w:lang w:val="es-US"/>
              </w:rPr>
              <w:t>Ecar</w:t>
            </w:r>
            <w:proofErr w:type="spellEnd"/>
            <w:r w:rsidRPr="00E42B49">
              <w:rPr>
                <w:rFonts w:ascii="Cambria" w:hAnsi="Cambria"/>
                <w:b/>
                <w:sz w:val="18"/>
                <w:szCs w:val="18"/>
                <w:lang w:val="es-US"/>
              </w:rPr>
              <w:t xml:space="preserve"> Fernando Zavala Valladares et al (Honduras)</w:t>
            </w:r>
          </w:p>
        </w:tc>
        <w:tc>
          <w:tcPr>
            <w:tcW w:w="1081" w:type="dxa"/>
            <w:shd w:val="clear" w:color="auto" w:fill="D9D9D9" w:themeFill="background1" w:themeFillShade="D9"/>
            <w:tcMar>
              <w:top w:w="0" w:type="dxa"/>
              <w:left w:w="108" w:type="dxa"/>
              <w:bottom w:w="0" w:type="dxa"/>
              <w:right w:w="108" w:type="dxa"/>
            </w:tcMar>
            <w:vAlign w:val="center"/>
          </w:tcPr>
          <w:p w14:paraId="28904322"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416C33B0" w14:textId="77777777" w:rsidR="007E31E3" w:rsidRPr="00524435" w:rsidRDefault="007E31E3" w:rsidP="00820229">
            <w:pPr>
              <w:contextualSpacing/>
              <w:jc w:val="both"/>
              <w:rPr>
                <w:rFonts w:ascii="Cambria" w:hAnsi="Cambria"/>
                <w:bCs/>
                <w:color w:val="333333"/>
                <w:sz w:val="18"/>
                <w:szCs w:val="18"/>
              </w:rPr>
            </w:pPr>
            <w:r w:rsidRPr="00524435">
              <w:rPr>
                <w:rFonts w:ascii="Cambria" w:hAnsi="Cambria"/>
                <w:b/>
                <w:color w:val="333333"/>
                <w:sz w:val="18"/>
                <w:szCs w:val="18"/>
              </w:rPr>
              <w:t xml:space="preserve">Clause 6. Satisfaction of petitioners through pecuniary reparation: </w:t>
            </w:r>
            <w:r w:rsidRPr="00524435">
              <w:rPr>
                <w:rFonts w:ascii="Cambria" w:hAnsi="Cambria"/>
                <w:bCs/>
                <w:color w:val="333333"/>
                <w:sz w:val="18"/>
                <w:szCs w:val="18"/>
              </w:rPr>
              <w:t>The Petitioner considers that compliance with the economic commitments undertaken through this friendly settlement agreement implies satisfaction of its claims in the case of Juan González et al (IACHR Case No. 12.961).</w:t>
            </w:r>
          </w:p>
        </w:tc>
        <w:tc>
          <w:tcPr>
            <w:tcW w:w="1440" w:type="dxa"/>
            <w:gridSpan w:val="2"/>
            <w:shd w:val="clear" w:color="auto" w:fill="D9D9D9" w:themeFill="background1" w:themeFillShade="D9"/>
            <w:tcMar>
              <w:top w:w="0" w:type="dxa"/>
              <w:left w:w="108" w:type="dxa"/>
              <w:bottom w:w="0" w:type="dxa"/>
              <w:right w:w="108" w:type="dxa"/>
            </w:tcMar>
            <w:vAlign w:val="center"/>
          </w:tcPr>
          <w:p w14:paraId="6F07B396"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12960A14" w14:textId="77777777" w:rsidTr="00820229">
        <w:tc>
          <w:tcPr>
            <w:tcW w:w="562" w:type="dxa"/>
            <w:shd w:val="clear" w:color="auto" w:fill="D9D9D9" w:themeFill="background1" w:themeFillShade="D9"/>
            <w:tcMar>
              <w:top w:w="0" w:type="dxa"/>
              <w:left w:w="108" w:type="dxa"/>
              <w:bottom w:w="0" w:type="dxa"/>
              <w:right w:w="108" w:type="dxa"/>
            </w:tcMar>
            <w:vAlign w:val="center"/>
          </w:tcPr>
          <w:p w14:paraId="234E0784"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0383138C"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56918500"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27A8321C" w14:textId="77777777" w:rsidR="007E31E3" w:rsidRPr="00524435" w:rsidRDefault="007E31E3" w:rsidP="00820229">
            <w:pPr>
              <w:contextualSpacing/>
              <w:jc w:val="both"/>
              <w:rPr>
                <w:rFonts w:ascii="Cambria" w:hAnsi="Cambria"/>
                <w:b/>
                <w:strike/>
                <w:color w:val="FF0000"/>
                <w:sz w:val="18"/>
                <w:szCs w:val="18"/>
              </w:rPr>
            </w:pPr>
            <w:r w:rsidRPr="00524435">
              <w:rPr>
                <w:rFonts w:ascii="Cambria" w:hAnsi="Cambria"/>
                <w:b/>
                <w:sz w:val="18"/>
                <w:szCs w:val="18"/>
              </w:rPr>
              <w:t xml:space="preserve">Clause 7. Method of payment of pecuniary repair: </w:t>
            </w:r>
            <w:r w:rsidRPr="00524435">
              <w:rPr>
                <w:rFonts w:ascii="Cambria" w:hAnsi="Cambria"/>
                <w:bCs/>
                <w:sz w:val="18"/>
                <w:szCs w:val="18"/>
              </w:rPr>
              <w:t>Following the petitioner’s request that the amount offered to be paid in a single payment, the State undertakes to pay the aforementioned amount through the Secretariat of State in the Office of Security in a single payment no later than August 30, 2021, which includes the amount of the financial compensation agreed upon and, therefore, with the payment thereof, the State of Honduras is completely released from any compensation for the alleged facts and any subsequent claim […]</w:t>
            </w:r>
          </w:p>
        </w:tc>
        <w:tc>
          <w:tcPr>
            <w:tcW w:w="1440" w:type="dxa"/>
            <w:gridSpan w:val="2"/>
            <w:shd w:val="clear" w:color="auto" w:fill="D9D9D9" w:themeFill="background1" w:themeFillShade="D9"/>
            <w:tcMar>
              <w:top w:w="0" w:type="dxa"/>
              <w:left w:w="108" w:type="dxa"/>
              <w:bottom w:w="0" w:type="dxa"/>
              <w:right w:w="108" w:type="dxa"/>
            </w:tcMar>
            <w:vAlign w:val="center"/>
          </w:tcPr>
          <w:p w14:paraId="7A971F3B"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489CC1F3" w14:textId="77777777" w:rsidTr="00820229">
        <w:tc>
          <w:tcPr>
            <w:tcW w:w="562" w:type="dxa"/>
            <w:shd w:val="clear" w:color="auto" w:fill="auto"/>
            <w:tcMar>
              <w:top w:w="0" w:type="dxa"/>
              <w:left w:w="108" w:type="dxa"/>
              <w:bottom w:w="0" w:type="dxa"/>
              <w:right w:w="108" w:type="dxa"/>
            </w:tcMar>
            <w:vAlign w:val="center"/>
          </w:tcPr>
          <w:p w14:paraId="210D6D9F"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val="restart"/>
            <w:shd w:val="clear" w:color="auto" w:fill="auto"/>
            <w:vAlign w:val="center"/>
          </w:tcPr>
          <w:p w14:paraId="1B3323C3"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Case 11.545,</w:t>
            </w:r>
          </w:p>
          <w:p w14:paraId="13EFAFC2" w14:textId="77777777" w:rsidR="007E31E3" w:rsidRPr="00E42B49" w:rsidRDefault="007E31E3" w:rsidP="00820229">
            <w:pPr>
              <w:jc w:val="center"/>
              <w:rPr>
                <w:rFonts w:ascii="Cambria" w:hAnsi="Cambria"/>
                <w:b/>
                <w:sz w:val="18"/>
                <w:szCs w:val="18"/>
                <w:lang w:val="es-US"/>
              </w:rPr>
            </w:pPr>
            <w:proofErr w:type="spellStart"/>
            <w:r w:rsidRPr="00E42B49">
              <w:rPr>
                <w:rFonts w:ascii="Cambria" w:hAnsi="Cambria"/>
                <w:b/>
                <w:sz w:val="18"/>
                <w:szCs w:val="18"/>
                <w:lang w:val="es-US"/>
              </w:rPr>
              <w:lastRenderedPageBreak/>
              <w:t>Report</w:t>
            </w:r>
            <w:proofErr w:type="spellEnd"/>
            <w:r w:rsidRPr="00E42B49">
              <w:rPr>
                <w:rFonts w:ascii="Cambria" w:hAnsi="Cambria"/>
                <w:b/>
                <w:sz w:val="18"/>
                <w:szCs w:val="18"/>
                <w:lang w:val="es-US"/>
              </w:rPr>
              <w:t xml:space="preserve"> No.204/21, Martha María </w:t>
            </w:r>
            <w:proofErr w:type="spellStart"/>
            <w:r w:rsidRPr="00E42B49">
              <w:rPr>
                <w:rFonts w:ascii="Cambria" w:hAnsi="Cambria"/>
                <w:b/>
                <w:sz w:val="18"/>
                <w:szCs w:val="18"/>
                <w:lang w:val="es-US"/>
              </w:rPr>
              <w:t>Saire</w:t>
            </w:r>
            <w:proofErr w:type="spellEnd"/>
            <w:r w:rsidRPr="00E42B49">
              <w:rPr>
                <w:rFonts w:ascii="Cambria" w:hAnsi="Cambria"/>
                <w:b/>
                <w:sz w:val="18"/>
                <w:szCs w:val="18"/>
                <w:lang w:val="es-US"/>
              </w:rPr>
              <w:t xml:space="preserve"> (Honduras)</w:t>
            </w:r>
          </w:p>
        </w:tc>
        <w:tc>
          <w:tcPr>
            <w:tcW w:w="1081" w:type="dxa"/>
            <w:shd w:val="clear" w:color="auto" w:fill="auto"/>
            <w:tcMar>
              <w:top w:w="0" w:type="dxa"/>
              <w:left w:w="108" w:type="dxa"/>
              <w:bottom w:w="0" w:type="dxa"/>
              <w:right w:w="108" w:type="dxa"/>
            </w:tcMar>
            <w:vAlign w:val="center"/>
          </w:tcPr>
          <w:p w14:paraId="6D3656A1" w14:textId="77777777" w:rsidR="007E31E3" w:rsidRPr="00524435" w:rsidRDefault="007E31E3" w:rsidP="00820229">
            <w:pPr>
              <w:jc w:val="center"/>
              <w:rPr>
                <w:rFonts w:ascii="Cambria" w:hAnsi="Cambria"/>
                <w:sz w:val="18"/>
                <w:szCs w:val="18"/>
              </w:rPr>
            </w:pPr>
            <w:r w:rsidRPr="00524435">
              <w:rPr>
                <w:rFonts w:ascii="Cambria" w:hAnsi="Cambria"/>
                <w:sz w:val="18"/>
                <w:szCs w:val="18"/>
              </w:rPr>
              <w:lastRenderedPageBreak/>
              <w:t>Individual</w:t>
            </w:r>
          </w:p>
        </w:tc>
        <w:tc>
          <w:tcPr>
            <w:tcW w:w="5304" w:type="dxa"/>
            <w:gridSpan w:val="2"/>
            <w:shd w:val="clear" w:color="auto" w:fill="auto"/>
            <w:tcMar>
              <w:top w:w="0" w:type="dxa"/>
              <w:left w:w="108" w:type="dxa"/>
              <w:bottom w:w="0" w:type="dxa"/>
              <w:right w:w="108" w:type="dxa"/>
            </w:tcMar>
            <w:vAlign w:val="center"/>
          </w:tcPr>
          <w:p w14:paraId="58A63E52" w14:textId="77777777" w:rsidR="007E31E3" w:rsidRPr="00524435" w:rsidRDefault="007E31E3" w:rsidP="00820229">
            <w:pPr>
              <w:contextualSpacing/>
              <w:jc w:val="both"/>
              <w:rPr>
                <w:rFonts w:ascii="Cambria" w:hAnsi="Cambria"/>
                <w:b/>
                <w:sz w:val="18"/>
                <w:szCs w:val="18"/>
              </w:rPr>
            </w:pPr>
            <w:r w:rsidRPr="00524435">
              <w:rPr>
                <w:rFonts w:ascii="Cambria" w:eastAsia="MS Mincho" w:hAnsi="Cambria" w:cs="Arial"/>
                <w:b/>
                <w:sz w:val="18"/>
                <w:szCs w:val="18"/>
                <w:lang w:eastAsia="es-ES_tradnl"/>
              </w:rPr>
              <w:t xml:space="preserve">Fourth Clause. Letter a. Health rehabilitation. </w:t>
            </w:r>
            <w:r w:rsidRPr="00524435">
              <w:rPr>
                <w:rFonts w:ascii="Cambria" w:hAnsi="Cambria"/>
                <w:sz w:val="18"/>
                <w:szCs w:val="18"/>
              </w:rPr>
              <w:t xml:space="preserve">Maintain the necessary Personnel assigned to the Child and Adolescent Unit of </w:t>
            </w:r>
            <w:r w:rsidRPr="00524435">
              <w:rPr>
                <w:rFonts w:ascii="Cambria" w:hAnsi="Cambria"/>
                <w:sz w:val="18"/>
                <w:szCs w:val="18"/>
              </w:rPr>
              <w:lastRenderedPageBreak/>
              <w:t>the Santa Rosita Psychiatric Hospital where MARTHA MARIA ZAIRE and other similar cases are located, following an occupational, pharmacological, psychological, and progressive social reintegration treatment.</w:t>
            </w:r>
          </w:p>
        </w:tc>
        <w:tc>
          <w:tcPr>
            <w:tcW w:w="1440" w:type="dxa"/>
            <w:gridSpan w:val="2"/>
            <w:shd w:val="clear" w:color="auto" w:fill="auto"/>
            <w:tcMar>
              <w:top w:w="0" w:type="dxa"/>
              <w:left w:w="108" w:type="dxa"/>
              <w:bottom w:w="0" w:type="dxa"/>
              <w:right w:w="108" w:type="dxa"/>
            </w:tcMar>
            <w:vAlign w:val="center"/>
          </w:tcPr>
          <w:p w14:paraId="7CB1B5EA"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lastRenderedPageBreak/>
              <w:t>Total 2021</w:t>
            </w:r>
          </w:p>
        </w:tc>
      </w:tr>
      <w:tr w:rsidR="007E31E3" w:rsidRPr="00524435" w14:paraId="283313D1" w14:textId="77777777" w:rsidTr="00820229">
        <w:tc>
          <w:tcPr>
            <w:tcW w:w="562" w:type="dxa"/>
            <w:shd w:val="clear" w:color="auto" w:fill="auto"/>
            <w:tcMar>
              <w:top w:w="0" w:type="dxa"/>
              <w:left w:w="108" w:type="dxa"/>
              <w:bottom w:w="0" w:type="dxa"/>
              <w:right w:w="108" w:type="dxa"/>
            </w:tcMar>
            <w:vAlign w:val="center"/>
          </w:tcPr>
          <w:p w14:paraId="40C96F81"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vAlign w:val="center"/>
          </w:tcPr>
          <w:p w14:paraId="0AC774BE" w14:textId="77777777" w:rsidR="007E31E3" w:rsidRPr="00524435" w:rsidRDefault="007E31E3" w:rsidP="00820229">
            <w:pPr>
              <w:jc w:val="center"/>
              <w:rPr>
                <w:rFonts w:ascii="Cambria" w:hAnsi="Cambria"/>
                <w:b/>
                <w:sz w:val="18"/>
                <w:szCs w:val="18"/>
              </w:rPr>
            </w:pPr>
          </w:p>
        </w:tc>
        <w:tc>
          <w:tcPr>
            <w:tcW w:w="1081" w:type="dxa"/>
            <w:shd w:val="clear" w:color="auto" w:fill="auto"/>
            <w:tcMar>
              <w:top w:w="0" w:type="dxa"/>
              <w:left w:w="108" w:type="dxa"/>
              <w:bottom w:w="0" w:type="dxa"/>
              <w:right w:w="108" w:type="dxa"/>
            </w:tcMar>
            <w:vAlign w:val="center"/>
          </w:tcPr>
          <w:p w14:paraId="20D65E70"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5AF1B81E" w14:textId="77777777" w:rsidR="007E31E3" w:rsidRPr="00524435" w:rsidRDefault="007E31E3" w:rsidP="00820229">
            <w:pPr>
              <w:contextualSpacing/>
              <w:jc w:val="both"/>
              <w:rPr>
                <w:rFonts w:ascii="Cambria" w:eastAsia="MS Mincho" w:hAnsi="Cambria" w:cs="Arial"/>
                <w:b/>
                <w:sz w:val="18"/>
                <w:szCs w:val="18"/>
                <w:lang w:eastAsia="es-ES_tradnl"/>
              </w:rPr>
            </w:pPr>
            <w:r w:rsidRPr="00524435">
              <w:rPr>
                <w:rFonts w:ascii="Cambria" w:eastAsia="MS Mincho" w:hAnsi="Cambria" w:cs="Arial"/>
                <w:b/>
                <w:sz w:val="18"/>
                <w:szCs w:val="18"/>
                <w:lang w:eastAsia="es-ES_tradnl"/>
              </w:rPr>
              <w:t xml:space="preserve">Fourth Clause. Letter b. Keep the IACHR informed. </w:t>
            </w:r>
            <w:r w:rsidRPr="00524435">
              <w:rPr>
                <w:rFonts w:ascii="Cambria" w:hAnsi="Cambria"/>
                <w:sz w:val="18"/>
                <w:szCs w:val="18"/>
              </w:rPr>
              <w:t>Maintain a periodicity in the monitoring of the case and that the reports thereof are sent annually to the Petitioners and the Commission.</w:t>
            </w:r>
          </w:p>
        </w:tc>
        <w:tc>
          <w:tcPr>
            <w:tcW w:w="1440" w:type="dxa"/>
            <w:gridSpan w:val="2"/>
            <w:shd w:val="clear" w:color="auto" w:fill="auto"/>
            <w:tcMar>
              <w:top w:w="0" w:type="dxa"/>
              <w:left w:w="108" w:type="dxa"/>
              <w:bottom w:w="0" w:type="dxa"/>
              <w:right w:w="108" w:type="dxa"/>
            </w:tcMar>
            <w:vAlign w:val="center"/>
          </w:tcPr>
          <w:p w14:paraId="0631310B"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48089DA4" w14:textId="77777777" w:rsidTr="00820229">
        <w:tc>
          <w:tcPr>
            <w:tcW w:w="562" w:type="dxa"/>
            <w:shd w:val="clear" w:color="auto" w:fill="auto"/>
            <w:tcMar>
              <w:top w:w="0" w:type="dxa"/>
              <w:left w:w="108" w:type="dxa"/>
              <w:bottom w:w="0" w:type="dxa"/>
              <w:right w:w="108" w:type="dxa"/>
            </w:tcMar>
            <w:vAlign w:val="center"/>
          </w:tcPr>
          <w:p w14:paraId="4A8C01D5"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vAlign w:val="center"/>
          </w:tcPr>
          <w:p w14:paraId="782F1819" w14:textId="77777777" w:rsidR="007E31E3" w:rsidRPr="00524435" w:rsidRDefault="007E31E3" w:rsidP="00820229">
            <w:pPr>
              <w:jc w:val="center"/>
              <w:rPr>
                <w:rFonts w:ascii="Cambria" w:hAnsi="Cambria"/>
                <w:b/>
                <w:sz w:val="18"/>
                <w:szCs w:val="18"/>
              </w:rPr>
            </w:pPr>
          </w:p>
        </w:tc>
        <w:tc>
          <w:tcPr>
            <w:tcW w:w="1081" w:type="dxa"/>
            <w:shd w:val="clear" w:color="auto" w:fill="auto"/>
            <w:tcMar>
              <w:top w:w="0" w:type="dxa"/>
              <w:left w:w="108" w:type="dxa"/>
              <w:bottom w:w="0" w:type="dxa"/>
              <w:right w:w="108" w:type="dxa"/>
            </w:tcMar>
            <w:vAlign w:val="center"/>
          </w:tcPr>
          <w:p w14:paraId="41BC817A"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77BFEBAD" w14:textId="77777777" w:rsidR="007E31E3" w:rsidRPr="00524435" w:rsidRDefault="007E31E3" w:rsidP="00820229">
            <w:pPr>
              <w:contextualSpacing/>
              <w:jc w:val="both"/>
              <w:rPr>
                <w:rFonts w:ascii="Cambria" w:eastAsia="MS Mincho" w:hAnsi="Cambria" w:cs="Arial"/>
                <w:b/>
                <w:sz w:val="18"/>
                <w:szCs w:val="18"/>
                <w:lang w:eastAsia="es-ES_tradnl"/>
              </w:rPr>
            </w:pPr>
            <w:r w:rsidRPr="00524435">
              <w:rPr>
                <w:rFonts w:ascii="Cambria" w:eastAsia="MS Mincho" w:hAnsi="Cambria" w:cs="Arial"/>
                <w:b/>
                <w:sz w:val="18"/>
                <w:szCs w:val="18"/>
                <w:lang w:eastAsia="es-ES_tradnl"/>
              </w:rPr>
              <w:t xml:space="preserve">Second clause of the Memorandum of Understanding of the Friendly Settlement Agreement of March 26, 2021. </w:t>
            </w:r>
            <w:r w:rsidRPr="00524435">
              <w:rPr>
                <w:rFonts w:ascii="Cambria" w:hAnsi="Cambria"/>
                <w:sz w:val="18"/>
                <w:szCs w:val="18"/>
              </w:rPr>
              <w:t xml:space="preserve">Due to the above, the first point of the friendly settlement agreement signed on June 30, 2003, has become abstract. Instead, the parties agree that the State of Honduras will continue to provide care for Martha </w:t>
            </w:r>
            <w:proofErr w:type="spellStart"/>
            <w:r w:rsidRPr="00524435">
              <w:rPr>
                <w:rFonts w:ascii="Cambria" w:hAnsi="Cambria"/>
                <w:sz w:val="18"/>
                <w:szCs w:val="18"/>
              </w:rPr>
              <w:t>Saire</w:t>
            </w:r>
            <w:proofErr w:type="spellEnd"/>
            <w:r w:rsidRPr="00524435">
              <w:rPr>
                <w:rFonts w:ascii="Cambria" w:hAnsi="Cambria"/>
                <w:sz w:val="18"/>
                <w:szCs w:val="18"/>
              </w:rPr>
              <w:t xml:space="preserve"> and guard her with a comprehensive approach, in relation to the standards of the rights of women living with disabilities, self-determination and social integration in the place of care “</w:t>
            </w:r>
            <w:r w:rsidRPr="00524435">
              <w:rPr>
                <w:rFonts w:ascii="Cambria" w:hAnsi="Cambria"/>
                <w:i/>
                <w:iCs/>
                <w:sz w:val="18"/>
                <w:szCs w:val="18"/>
              </w:rPr>
              <w:t xml:space="preserve">Fundación Hogar Los </w:t>
            </w:r>
            <w:proofErr w:type="spellStart"/>
            <w:r w:rsidRPr="00524435">
              <w:rPr>
                <w:rFonts w:ascii="Cambria" w:hAnsi="Cambria"/>
                <w:i/>
                <w:iCs/>
                <w:sz w:val="18"/>
                <w:szCs w:val="18"/>
              </w:rPr>
              <w:t>Ángeles</w:t>
            </w:r>
            <w:proofErr w:type="spellEnd"/>
            <w:r w:rsidRPr="00524435">
              <w:rPr>
                <w:rFonts w:ascii="Cambria" w:hAnsi="Cambria"/>
                <w:sz w:val="18"/>
                <w:szCs w:val="18"/>
              </w:rPr>
              <w:t xml:space="preserve">”, where she has resided since August 16, 2017. Likewise, the State undertakes to maintain the necessary personnel assigned to the care of Martha María </w:t>
            </w:r>
            <w:proofErr w:type="spellStart"/>
            <w:r w:rsidRPr="00524435">
              <w:rPr>
                <w:rFonts w:ascii="Cambria" w:hAnsi="Cambria"/>
                <w:sz w:val="18"/>
                <w:szCs w:val="18"/>
              </w:rPr>
              <w:t>Saire</w:t>
            </w:r>
            <w:proofErr w:type="spellEnd"/>
            <w:r w:rsidRPr="00524435">
              <w:rPr>
                <w:rFonts w:ascii="Cambria" w:hAnsi="Cambria"/>
                <w:sz w:val="18"/>
                <w:szCs w:val="18"/>
              </w:rPr>
              <w:t xml:space="preserve"> at the </w:t>
            </w:r>
            <w:r w:rsidRPr="00524435">
              <w:rPr>
                <w:rFonts w:ascii="Cambria" w:hAnsi="Cambria"/>
                <w:i/>
                <w:iCs/>
                <w:sz w:val="18"/>
                <w:szCs w:val="18"/>
              </w:rPr>
              <w:t xml:space="preserve">Fundación Hogar Los </w:t>
            </w:r>
            <w:proofErr w:type="spellStart"/>
            <w:r w:rsidRPr="00524435">
              <w:rPr>
                <w:rFonts w:ascii="Cambria" w:hAnsi="Cambria"/>
                <w:i/>
                <w:iCs/>
                <w:sz w:val="18"/>
                <w:szCs w:val="18"/>
              </w:rPr>
              <w:t>Ángeles</w:t>
            </w:r>
            <w:proofErr w:type="spellEnd"/>
            <w:r w:rsidRPr="00524435">
              <w:rPr>
                <w:rFonts w:ascii="Cambria" w:hAnsi="Cambria"/>
                <w:sz w:val="18"/>
                <w:szCs w:val="18"/>
              </w:rPr>
              <w:t>.</w:t>
            </w:r>
          </w:p>
        </w:tc>
        <w:tc>
          <w:tcPr>
            <w:tcW w:w="1440" w:type="dxa"/>
            <w:gridSpan w:val="2"/>
            <w:shd w:val="clear" w:color="auto" w:fill="auto"/>
            <w:tcMar>
              <w:top w:w="0" w:type="dxa"/>
              <w:left w:w="108" w:type="dxa"/>
              <w:bottom w:w="0" w:type="dxa"/>
              <w:right w:w="108" w:type="dxa"/>
            </w:tcMar>
            <w:vAlign w:val="center"/>
          </w:tcPr>
          <w:p w14:paraId="18C13B32"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Partial 2021</w:t>
            </w:r>
          </w:p>
        </w:tc>
      </w:tr>
      <w:tr w:rsidR="007E31E3" w:rsidRPr="00524435" w14:paraId="06CFC188" w14:textId="77777777" w:rsidTr="00820229">
        <w:tc>
          <w:tcPr>
            <w:tcW w:w="562" w:type="dxa"/>
            <w:shd w:val="clear" w:color="auto" w:fill="D9D9D9" w:themeFill="background1" w:themeFillShade="D9"/>
            <w:tcMar>
              <w:top w:w="0" w:type="dxa"/>
              <w:left w:w="108" w:type="dxa"/>
              <w:bottom w:w="0" w:type="dxa"/>
              <w:right w:w="108" w:type="dxa"/>
            </w:tcMar>
            <w:vAlign w:val="center"/>
          </w:tcPr>
          <w:p w14:paraId="0D948A6D"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val="restart"/>
            <w:shd w:val="clear" w:color="auto" w:fill="D9D9D9" w:themeFill="background1" w:themeFillShade="D9"/>
            <w:vAlign w:val="center"/>
          </w:tcPr>
          <w:p w14:paraId="168F3604"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Case 12.961J,</w:t>
            </w:r>
          </w:p>
          <w:p w14:paraId="0F17F6B2" w14:textId="77777777" w:rsidR="007E31E3" w:rsidRPr="00E42B49" w:rsidRDefault="007E31E3" w:rsidP="00820229">
            <w:pPr>
              <w:jc w:val="center"/>
              <w:rPr>
                <w:rFonts w:ascii="Cambria" w:hAnsi="Cambria"/>
                <w:b/>
                <w:sz w:val="18"/>
                <w:szCs w:val="18"/>
                <w:lang w:val="es-US"/>
              </w:rPr>
            </w:pPr>
            <w:proofErr w:type="spellStart"/>
            <w:r w:rsidRPr="00E42B49">
              <w:rPr>
                <w:rFonts w:ascii="Cambria" w:hAnsi="Cambria"/>
                <w:b/>
                <w:sz w:val="18"/>
                <w:szCs w:val="18"/>
                <w:lang w:val="es-US"/>
              </w:rPr>
              <w:t>Report</w:t>
            </w:r>
            <w:proofErr w:type="spellEnd"/>
            <w:r w:rsidRPr="00E42B49">
              <w:rPr>
                <w:rFonts w:ascii="Cambria" w:hAnsi="Cambria"/>
                <w:b/>
                <w:sz w:val="18"/>
                <w:szCs w:val="18"/>
                <w:lang w:val="es-US"/>
              </w:rPr>
              <w:t xml:space="preserve"> No.205/21, Faustino García Cárdenas (Honduras)</w:t>
            </w:r>
          </w:p>
        </w:tc>
        <w:tc>
          <w:tcPr>
            <w:tcW w:w="1081" w:type="dxa"/>
            <w:shd w:val="clear" w:color="auto" w:fill="D9D9D9" w:themeFill="background1" w:themeFillShade="D9"/>
            <w:tcMar>
              <w:top w:w="0" w:type="dxa"/>
              <w:left w:w="108" w:type="dxa"/>
              <w:bottom w:w="0" w:type="dxa"/>
              <w:right w:w="108" w:type="dxa"/>
            </w:tcMar>
            <w:vAlign w:val="center"/>
          </w:tcPr>
          <w:p w14:paraId="255FC9D5"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66CEA893" w14:textId="77777777" w:rsidR="007E31E3" w:rsidRPr="00524435" w:rsidRDefault="007E31E3" w:rsidP="00820229">
            <w:pPr>
              <w:widowControl w:val="0"/>
              <w:tabs>
                <w:tab w:val="left" w:pos="2694"/>
              </w:tabs>
              <w:jc w:val="both"/>
              <w:rPr>
                <w:rFonts w:ascii="Cambria" w:eastAsia="Times New Roman" w:hAnsi="Cambria"/>
                <w:sz w:val="18"/>
                <w:szCs w:val="18"/>
              </w:rPr>
            </w:pPr>
            <w:r w:rsidRPr="00524435">
              <w:rPr>
                <w:rFonts w:ascii="Cambria" w:eastAsia="Times New Roman" w:hAnsi="Cambria"/>
                <w:b/>
                <w:sz w:val="18"/>
                <w:szCs w:val="18"/>
              </w:rPr>
              <w:t>Sixth</w:t>
            </w:r>
            <w:r w:rsidRPr="00524435">
              <w:rPr>
                <w:rFonts w:ascii="Cambria" w:eastAsia="MS Mincho" w:hAnsi="Cambria" w:cs="Arial"/>
                <w:b/>
                <w:sz w:val="18"/>
                <w:szCs w:val="18"/>
                <w:lang w:eastAsia="es-ES_tradnl"/>
              </w:rPr>
              <w:t xml:space="preserve"> Clause.</w:t>
            </w:r>
            <w:r w:rsidRPr="00524435">
              <w:rPr>
                <w:rFonts w:ascii="Cambria" w:eastAsia="Times New Roman" w:hAnsi="Cambria"/>
                <w:b/>
                <w:sz w:val="18"/>
                <w:szCs w:val="18"/>
              </w:rPr>
              <w:t xml:space="preserve"> Satisfaction of the petitioners. </w:t>
            </w:r>
            <w:r w:rsidRPr="00524435">
              <w:rPr>
                <w:rFonts w:ascii="Cambria" w:eastAsia="Times New Roman" w:hAnsi="Cambria"/>
                <w:sz w:val="18"/>
                <w:szCs w:val="18"/>
              </w:rPr>
              <w:t>The Petitioner considers that compliance with the economic commitments undertaken through this friendly settlement agreement implies satisfaction of its claims in the case of Juan González et al (IACHR Case No. 12.961).</w:t>
            </w:r>
          </w:p>
          <w:p w14:paraId="2125F216" w14:textId="77777777" w:rsidR="007E31E3" w:rsidRPr="00524435" w:rsidRDefault="007E31E3" w:rsidP="00820229">
            <w:pPr>
              <w:widowControl w:val="0"/>
              <w:tabs>
                <w:tab w:val="left" w:pos="2694"/>
              </w:tabs>
              <w:jc w:val="both"/>
              <w:rPr>
                <w:rFonts w:ascii="Cambria" w:eastAsia="Times New Roman" w:hAnsi="Cambria"/>
                <w:sz w:val="18"/>
                <w:szCs w:val="18"/>
              </w:rPr>
            </w:pPr>
            <w:r w:rsidRPr="00524435">
              <w:rPr>
                <w:rFonts w:ascii="Cambria" w:eastAsia="Times New Roman" w:hAnsi="Cambria"/>
                <w:sz w:val="18"/>
                <w:szCs w:val="18"/>
              </w:rPr>
              <w:t xml:space="preserve">The State of Honduras and the petitioners, through their legal representatives, taking as a reference the scale to which the dismissed personnel belonged at the time Decree 58- 2001 was issued, recognize, and accept as the amount to be compensated the individual sum detailed below, in favor of the petitioners: </w:t>
            </w:r>
          </w:p>
          <w:p w14:paraId="47C4F1EF" w14:textId="77777777" w:rsidR="007E31E3" w:rsidRPr="00524435" w:rsidRDefault="007E31E3" w:rsidP="00820229">
            <w:pPr>
              <w:widowControl w:val="0"/>
              <w:tabs>
                <w:tab w:val="left" w:pos="2694"/>
              </w:tabs>
              <w:ind w:left="720"/>
              <w:jc w:val="both"/>
              <w:rPr>
                <w:rFonts w:ascii="Cambria" w:eastAsia="Times New Roman" w:hAnsi="Cambria"/>
                <w:sz w:val="18"/>
                <w:szCs w:val="18"/>
              </w:rPr>
            </w:pPr>
            <w:r w:rsidRPr="00524435">
              <w:rPr>
                <w:rFonts w:ascii="Cambria" w:eastAsia="Times New Roman" w:hAnsi="Cambria"/>
                <w:sz w:val="18"/>
                <w:szCs w:val="18"/>
              </w:rPr>
              <w:t xml:space="preserve">Police and Administrative: L. 320,000.00 </w:t>
            </w:r>
          </w:p>
          <w:p w14:paraId="698243A6" w14:textId="77777777" w:rsidR="007E31E3" w:rsidRPr="00524435" w:rsidRDefault="007E31E3" w:rsidP="00820229">
            <w:pPr>
              <w:widowControl w:val="0"/>
              <w:tabs>
                <w:tab w:val="left" w:pos="2694"/>
              </w:tabs>
              <w:ind w:left="720"/>
              <w:jc w:val="both"/>
              <w:rPr>
                <w:rFonts w:ascii="Cambria" w:eastAsia="Times New Roman" w:hAnsi="Cambria"/>
                <w:sz w:val="18"/>
                <w:szCs w:val="18"/>
              </w:rPr>
            </w:pPr>
            <w:r w:rsidRPr="00524435">
              <w:rPr>
                <w:rFonts w:ascii="Cambria" w:eastAsia="Times New Roman" w:hAnsi="Cambria"/>
                <w:sz w:val="18"/>
                <w:szCs w:val="18"/>
              </w:rPr>
              <w:t xml:space="preserve">Classes: L. 400,000.00 </w:t>
            </w:r>
          </w:p>
          <w:p w14:paraId="456A31BD" w14:textId="77777777" w:rsidR="007E31E3" w:rsidRPr="00524435" w:rsidRDefault="007E31E3" w:rsidP="00820229">
            <w:pPr>
              <w:widowControl w:val="0"/>
              <w:tabs>
                <w:tab w:val="left" w:pos="2694"/>
              </w:tabs>
              <w:ind w:left="720"/>
              <w:jc w:val="both"/>
              <w:rPr>
                <w:rFonts w:ascii="Cambria" w:eastAsia="Times New Roman" w:hAnsi="Cambria"/>
                <w:sz w:val="18"/>
                <w:szCs w:val="18"/>
              </w:rPr>
            </w:pPr>
            <w:r w:rsidRPr="00524435">
              <w:rPr>
                <w:rFonts w:ascii="Cambria" w:eastAsia="Times New Roman" w:hAnsi="Cambria"/>
                <w:sz w:val="18"/>
                <w:szCs w:val="18"/>
              </w:rPr>
              <w:t xml:space="preserve">Officers: L. 700.000.00 </w:t>
            </w:r>
          </w:p>
          <w:p w14:paraId="1602F1DC" w14:textId="77777777" w:rsidR="007E31E3" w:rsidRPr="00524435" w:rsidRDefault="007E31E3" w:rsidP="00820229">
            <w:pPr>
              <w:contextualSpacing/>
              <w:jc w:val="both"/>
              <w:rPr>
                <w:rFonts w:ascii="Cambria" w:hAnsi="Cambria"/>
                <w:b/>
                <w:sz w:val="18"/>
                <w:szCs w:val="18"/>
              </w:rPr>
            </w:pPr>
            <w:r w:rsidRPr="00524435">
              <w:rPr>
                <w:rFonts w:ascii="Cambria" w:eastAsia="Times New Roman" w:hAnsi="Cambria"/>
                <w:sz w:val="18"/>
                <w:szCs w:val="18"/>
              </w:rPr>
              <w:t>The amount set forth above shall be made in a single payment to the petitioners who have elected to avail themselves of this agreement. As for the percentage of professional fees, these shall be borne by the petitioners based on the agreement they have reached with their attorney.</w:t>
            </w:r>
          </w:p>
        </w:tc>
        <w:tc>
          <w:tcPr>
            <w:tcW w:w="1440" w:type="dxa"/>
            <w:gridSpan w:val="2"/>
            <w:shd w:val="clear" w:color="auto" w:fill="D9D9D9" w:themeFill="background1" w:themeFillShade="D9"/>
            <w:tcMar>
              <w:top w:w="0" w:type="dxa"/>
              <w:left w:w="108" w:type="dxa"/>
              <w:bottom w:w="0" w:type="dxa"/>
              <w:right w:w="108" w:type="dxa"/>
            </w:tcMar>
            <w:vAlign w:val="center"/>
          </w:tcPr>
          <w:p w14:paraId="0A05425E"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54366EBF" w14:textId="77777777" w:rsidTr="00820229">
        <w:tc>
          <w:tcPr>
            <w:tcW w:w="562" w:type="dxa"/>
            <w:shd w:val="clear" w:color="auto" w:fill="D9D9D9" w:themeFill="background1" w:themeFillShade="D9"/>
            <w:tcMar>
              <w:top w:w="0" w:type="dxa"/>
              <w:left w:w="108" w:type="dxa"/>
              <w:bottom w:w="0" w:type="dxa"/>
              <w:right w:w="108" w:type="dxa"/>
            </w:tcMar>
            <w:vAlign w:val="center"/>
          </w:tcPr>
          <w:p w14:paraId="6B40266A"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170EB090"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29984820"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5213B5DC" w14:textId="77777777" w:rsidR="007E31E3" w:rsidRPr="00524435" w:rsidRDefault="007E31E3" w:rsidP="00820229">
            <w:pPr>
              <w:contextualSpacing/>
              <w:jc w:val="both"/>
              <w:rPr>
                <w:rFonts w:ascii="Cambria" w:hAnsi="Cambria"/>
                <w:b/>
                <w:sz w:val="18"/>
                <w:szCs w:val="18"/>
              </w:rPr>
            </w:pPr>
            <w:r w:rsidRPr="00524435">
              <w:rPr>
                <w:rFonts w:ascii="Cambria" w:eastAsia="MS Mincho" w:hAnsi="Cambria" w:cs="Arial"/>
                <w:b/>
                <w:sz w:val="18"/>
                <w:szCs w:val="18"/>
                <w:lang w:eastAsia="es-ES_tradnl"/>
              </w:rPr>
              <w:t xml:space="preserve">Seventh Clause. Method of payment of economic reparation: </w:t>
            </w:r>
            <w:r w:rsidRPr="00524435">
              <w:rPr>
                <w:rFonts w:ascii="Cambria" w:eastAsia="Times New Roman" w:hAnsi="Cambria"/>
                <w:sz w:val="18"/>
                <w:szCs w:val="18"/>
              </w:rPr>
              <w:t xml:space="preserve">Following the petitioner’s request that the amount offered to be paid in a single payment, the State undertakes to pay the aforementioned amount through the Secretariat of State in the Office of Security in a single payment no later than August 30, 2021, which includes the amount of the financial compensation agreed upon and, therefore, with the payment thereof, the State of Honduras is completely released from any compensation for the alleged facts and any subsequent claim […] </w:t>
            </w:r>
          </w:p>
        </w:tc>
        <w:tc>
          <w:tcPr>
            <w:tcW w:w="1440" w:type="dxa"/>
            <w:gridSpan w:val="2"/>
            <w:shd w:val="clear" w:color="auto" w:fill="D9D9D9" w:themeFill="background1" w:themeFillShade="D9"/>
            <w:tcMar>
              <w:top w:w="0" w:type="dxa"/>
              <w:left w:w="108" w:type="dxa"/>
              <w:bottom w:w="0" w:type="dxa"/>
              <w:right w:w="108" w:type="dxa"/>
            </w:tcMar>
            <w:vAlign w:val="center"/>
          </w:tcPr>
          <w:p w14:paraId="5934A8A4"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1EEBA1F3" w14:textId="77777777" w:rsidTr="00820229">
        <w:tc>
          <w:tcPr>
            <w:tcW w:w="562" w:type="dxa"/>
            <w:shd w:val="clear" w:color="auto" w:fill="auto"/>
            <w:tcMar>
              <w:top w:w="0" w:type="dxa"/>
              <w:left w:w="108" w:type="dxa"/>
              <w:bottom w:w="0" w:type="dxa"/>
              <w:right w:w="108" w:type="dxa"/>
            </w:tcMar>
            <w:vAlign w:val="center"/>
          </w:tcPr>
          <w:p w14:paraId="4743870E"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shd w:val="clear" w:color="auto" w:fill="auto"/>
            <w:vAlign w:val="center"/>
          </w:tcPr>
          <w:p w14:paraId="04A0EC9F" w14:textId="77777777" w:rsidR="007E31E3" w:rsidRPr="00524435" w:rsidRDefault="007E31E3" w:rsidP="00820229">
            <w:pPr>
              <w:jc w:val="center"/>
              <w:rPr>
                <w:rFonts w:ascii="Cambria" w:hAnsi="Cambria"/>
                <w:b/>
                <w:bCs/>
                <w:sz w:val="18"/>
                <w:szCs w:val="18"/>
              </w:rPr>
            </w:pPr>
            <w:r w:rsidRPr="00524435">
              <w:rPr>
                <w:rFonts w:ascii="Cambria" w:eastAsia="MS Mincho" w:hAnsi="Cambria" w:cs="Arial"/>
                <w:b/>
                <w:bCs/>
                <w:sz w:val="18"/>
                <w:szCs w:val="18"/>
                <w:lang w:eastAsia="es-ES_tradnl"/>
              </w:rPr>
              <w:t xml:space="preserve">Case 12.960, Report No.269/21, </w:t>
            </w:r>
            <w:r w:rsidRPr="00524435">
              <w:rPr>
                <w:rFonts w:ascii="Cambria" w:hAnsi="Cambria"/>
                <w:b/>
                <w:bCs/>
                <w:color w:val="000000"/>
                <w:sz w:val="18"/>
                <w:szCs w:val="18"/>
              </w:rPr>
              <w:t xml:space="preserve">Ronald Jared </w:t>
            </w:r>
            <w:r w:rsidRPr="00524435">
              <w:rPr>
                <w:rFonts w:ascii="Cambria" w:hAnsi="Cambria"/>
                <w:b/>
                <w:bCs/>
                <w:color w:val="000000"/>
                <w:sz w:val="18"/>
                <w:szCs w:val="18"/>
              </w:rPr>
              <w:lastRenderedPageBreak/>
              <w:t>Martínez</w:t>
            </w:r>
            <w:r w:rsidRPr="00524435">
              <w:rPr>
                <w:rFonts w:ascii="Cambria" w:eastAsia="MS Mincho" w:hAnsi="Cambria" w:cs="Arial"/>
                <w:b/>
                <w:bCs/>
                <w:sz w:val="18"/>
                <w:szCs w:val="18"/>
                <w:lang w:eastAsia="es-ES_tradnl"/>
              </w:rPr>
              <w:t xml:space="preserve"> (Honduras)</w:t>
            </w:r>
          </w:p>
        </w:tc>
        <w:tc>
          <w:tcPr>
            <w:tcW w:w="1081" w:type="dxa"/>
            <w:shd w:val="clear" w:color="auto" w:fill="auto"/>
            <w:tcMar>
              <w:top w:w="0" w:type="dxa"/>
              <w:left w:w="108" w:type="dxa"/>
              <w:bottom w:w="0" w:type="dxa"/>
              <w:right w:w="108" w:type="dxa"/>
            </w:tcMar>
            <w:vAlign w:val="center"/>
          </w:tcPr>
          <w:p w14:paraId="2CA23CA5" w14:textId="77777777" w:rsidR="007E31E3" w:rsidRPr="00524435" w:rsidRDefault="007E31E3" w:rsidP="00820229">
            <w:pPr>
              <w:jc w:val="center"/>
              <w:rPr>
                <w:rFonts w:ascii="Cambria" w:hAnsi="Cambria"/>
                <w:sz w:val="18"/>
                <w:szCs w:val="18"/>
              </w:rPr>
            </w:pPr>
            <w:r w:rsidRPr="00524435">
              <w:rPr>
                <w:rFonts w:ascii="Cambria" w:hAnsi="Cambria"/>
                <w:sz w:val="18"/>
                <w:szCs w:val="18"/>
              </w:rPr>
              <w:lastRenderedPageBreak/>
              <w:t>Individual</w:t>
            </w:r>
          </w:p>
        </w:tc>
        <w:tc>
          <w:tcPr>
            <w:tcW w:w="5304" w:type="dxa"/>
            <w:gridSpan w:val="2"/>
            <w:shd w:val="clear" w:color="auto" w:fill="auto"/>
            <w:tcMar>
              <w:top w:w="0" w:type="dxa"/>
              <w:left w:w="108" w:type="dxa"/>
              <w:bottom w:w="0" w:type="dxa"/>
              <w:right w:w="108" w:type="dxa"/>
            </w:tcMar>
            <w:vAlign w:val="center"/>
          </w:tcPr>
          <w:p w14:paraId="66FD5836" w14:textId="77777777" w:rsidR="007E31E3" w:rsidRPr="00524435" w:rsidRDefault="007E31E3" w:rsidP="00820229">
            <w:pPr>
              <w:contextualSpacing/>
              <w:jc w:val="both"/>
              <w:rPr>
                <w:rFonts w:ascii="Cambria" w:eastAsia="MS Mincho" w:hAnsi="Cambria" w:cs="Arial"/>
                <w:b/>
                <w:sz w:val="18"/>
                <w:szCs w:val="18"/>
                <w:lang w:eastAsia="es-ES_tradnl"/>
              </w:rPr>
            </w:pPr>
            <w:r w:rsidRPr="00524435">
              <w:rPr>
                <w:rFonts w:ascii="Cambria" w:eastAsia="Arial Unicode MS" w:hAnsi="Cambria"/>
                <w:b/>
                <w:sz w:val="18"/>
                <w:szCs w:val="18"/>
                <w:bdr w:val="nil"/>
              </w:rPr>
              <w:t>Sixth</w:t>
            </w:r>
            <w:r w:rsidRPr="00524435">
              <w:rPr>
                <w:rFonts w:ascii="Cambria" w:eastAsia="MS Mincho" w:hAnsi="Cambria" w:cs="Arial"/>
                <w:b/>
                <w:sz w:val="18"/>
                <w:szCs w:val="18"/>
                <w:lang w:eastAsia="es-ES_tradnl"/>
              </w:rPr>
              <w:t xml:space="preserve"> Clause.</w:t>
            </w:r>
            <w:r w:rsidRPr="00524435">
              <w:rPr>
                <w:rFonts w:ascii="Cambria" w:eastAsia="Arial Unicode MS" w:hAnsi="Cambria"/>
                <w:b/>
                <w:sz w:val="18"/>
                <w:szCs w:val="18"/>
                <w:bdr w:val="nil"/>
              </w:rPr>
              <w:t xml:space="preserve"> Satisfaction of the petitioners. </w:t>
            </w:r>
            <w:r w:rsidRPr="00524435">
              <w:rPr>
                <w:rFonts w:ascii="Cambria" w:eastAsia="Arial Unicode MS" w:hAnsi="Cambria"/>
                <w:sz w:val="18"/>
                <w:szCs w:val="18"/>
                <w:bdr w:val="nil"/>
              </w:rPr>
              <w:t xml:space="preserve">The petitioner considers that compliance with the financial commitments undertaken through this friendly settlement agreement implies satisfaction of its claims in the case of Ronald Jared Martínez and his family, and Marlon Fabricio Hernández </w:t>
            </w:r>
            <w:proofErr w:type="spellStart"/>
            <w:r w:rsidRPr="00524435">
              <w:rPr>
                <w:rFonts w:ascii="Cambria" w:eastAsia="Arial Unicode MS" w:hAnsi="Cambria"/>
                <w:sz w:val="18"/>
                <w:szCs w:val="18"/>
                <w:bdr w:val="nil"/>
              </w:rPr>
              <w:t>Fúnez</w:t>
            </w:r>
            <w:proofErr w:type="spellEnd"/>
            <w:r w:rsidRPr="00524435">
              <w:rPr>
                <w:rFonts w:ascii="Cambria" w:eastAsia="Arial Unicode MS" w:hAnsi="Cambria"/>
                <w:sz w:val="18"/>
                <w:szCs w:val="18"/>
                <w:bdr w:val="nil"/>
              </w:rPr>
              <w:t xml:space="preserve"> (IACHR Case No. </w:t>
            </w:r>
            <w:r w:rsidRPr="00524435">
              <w:rPr>
                <w:rFonts w:ascii="Cambria" w:eastAsia="Arial Unicode MS" w:hAnsi="Cambria"/>
                <w:sz w:val="18"/>
                <w:szCs w:val="18"/>
                <w:bdr w:val="nil"/>
              </w:rPr>
              <w:lastRenderedPageBreak/>
              <w:t>12.960). The State of Honduras and the petitioners acknowledge and accept as the amount to be compensated the sum of [XXX]</w:t>
            </w:r>
            <w:r w:rsidRPr="00524435">
              <w:rPr>
                <w:rStyle w:val="FootnoteReference"/>
                <w:rFonts w:ascii="Cambria" w:eastAsia="Arial Unicode MS" w:hAnsi="Cambria"/>
                <w:sz w:val="18"/>
                <w:szCs w:val="18"/>
                <w:bdr w:val="nil"/>
              </w:rPr>
              <w:footnoteReference w:id="13"/>
            </w:r>
            <w:r w:rsidRPr="00524435">
              <w:rPr>
                <w:rFonts w:ascii="Cambria" w:eastAsia="Arial Unicode MS" w:hAnsi="Cambria"/>
                <w:sz w:val="18"/>
                <w:szCs w:val="18"/>
                <w:bdr w:val="nil"/>
              </w:rPr>
              <w:t xml:space="preserve"> […].</w:t>
            </w:r>
          </w:p>
        </w:tc>
        <w:tc>
          <w:tcPr>
            <w:tcW w:w="1440" w:type="dxa"/>
            <w:gridSpan w:val="2"/>
            <w:shd w:val="clear" w:color="auto" w:fill="auto"/>
            <w:tcMar>
              <w:top w:w="0" w:type="dxa"/>
              <w:left w:w="108" w:type="dxa"/>
              <w:bottom w:w="0" w:type="dxa"/>
              <w:right w:w="108" w:type="dxa"/>
            </w:tcMar>
            <w:vAlign w:val="center"/>
          </w:tcPr>
          <w:p w14:paraId="202DFA64" w14:textId="77777777" w:rsidR="007E31E3" w:rsidRPr="00524435" w:rsidRDefault="007E31E3" w:rsidP="00820229">
            <w:pPr>
              <w:jc w:val="center"/>
              <w:rPr>
                <w:rFonts w:ascii="Cambria" w:hAnsi="Cambria"/>
                <w:b/>
                <w:sz w:val="18"/>
                <w:szCs w:val="18"/>
              </w:rPr>
            </w:pPr>
            <w:r w:rsidRPr="00524435">
              <w:rPr>
                <w:rFonts w:ascii="Cambria" w:hAnsi="Cambria"/>
                <w:b/>
                <w:color w:val="000000"/>
                <w:sz w:val="18"/>
                <w:szCs w:val="18"/>
              </w:rPr>
              <w:lastRenderedPageBreak/>
              <w:t>Total 2021</w:t>
            </w:r>
          </w:p>
        </w:tc>
      </w:tr>
      <w:tr w:rsidR="007E31E3" w:rsidRPr="00524435" w14:paraId="4C188794" w14:textId="77777777" w:rsidTr="00820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5"/>
        </w:trPr>
        <w:tc>
          <w:tcPr>
            <w:tcW w:w="9805" w:type="dxa"/>
            <w:gridSpan w:val="7"/>
            <w:tcBorders>
              <w:top w:val="single" w:sz="4"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50B0B607" w14:textId="77777777" w:rsidR="007E31E3" w:rsidRPr="00524435" w:rsidRDefault="007E31E3" w:rsidP="008B0732">
            <w:pPr>
              <w:spacing w:after="0" w:line="240" w:lineRule="auto"/>
              <w:jc w:val="center"/>
              <w:rPr>
                <w:rFonts w:ascii="Cambria" w:hAnsi="Cambria"/>
                <w:b/>
                <w:sz w:val="18"/>
                <w:szCs w:val="18"/>
              </w:rPr>
            </w:pPr>
            <w:r w:rsidRPr="00524435">
              <w:rPr>
                <w:rFonts w:ascii="Cambria" w:hAnsi="Cambria"/>
                <w:b/>
                <w:sz w:val="18"/>
                <w:szCs w:val="18"/>
              </w:rPr>
              <w:t>Number of measures where progress was achieved: 14 (12 individual and 2 structural)</w:t>
            </w:r>
          </w:p>
          <w:p w14:paraId="264400B6" w14:textId="77777777" w:rsidR="007E31E3" w:rsidRPr="00524435" w:rsidRDefault="007E31E3" w:rsidP="008B0732">
            <w:pPr>
              <w:spacing w:after="0" w:line="240" w:lineRule="auto"/>
              <w:jc w:val="center"/>
              <w:rPr>
                <w:rFonts w:ascii="Cambria" w:hAnsi="Cambria"/>
                <w:b/>
                <w:sz w:val="18"/>
                <w:szCs w:val="18"/>
              </w:rPr>
            </w:pPr>
            <w:r w:rsidRPr="00524435">
              <w:rPr>
                <w:rFonts w:ascii="Cambria" w:hAnsi="Cambria"/>
                <w:b/>
                <w:sz w:val="18"/>
                <w:szCs w:val="18"/>
              </w:rPr>
              <w:t>Total compliance: 10</w:t>
            </w:r>
          </w:p>
          <w:p w14:paraId="19DC1B9D" w14:textId="77777777" w:rsidR="007E31E3" w:rsidRPr="00524435" w:rsidRDefault="007E31E3" w:rsidP="008B0732">
            <w:pPr>
              <w:spacing w:after="0" w:line="240" w:lineRule="auto"/>
              <w:jc w:val="center"/>
              <w:rPr>
                <w:rFonts w:ascii="Cambria" w:hAnsi="Cambria"/>
                <w:b/>
                <w:sz w:val="18"/>
                <w:szCs w:val="18"/>
              </w:rPr>
            </w:pPr>
            <w:r w:rsidRPr="00524435">
              <w:rPr>
                <w:rFonts w:ascii="Cambria" w:hAnsi="Cambria"/>
                <w:b/>
                <w:sz w:val="18"/>
                <w:szCs w:val="18"/>
              </w:rPr>
              <w:t>Partial substantial: n/a</w:t>
            </w:r>
          </w:p>
          <w:p w14:paraId="2C1C132E" w14:textId="77777777" w:rsidR="007E31E3" w:rsidRPr="00524435" w:rsidRDefault="007E31E3" w:rsidP="008B0732">
            <w:pPr>
              <w:spacing w:after="0" w:line="240" w:lineRule="auto"/>
              <w:jc w:val="center"/>
              <w:rPr>
                <w:rFonts w:ascii="Cambria" w:hAnsi="Cambria"/>
                <w:b/>
                <w:strike/>
                <w:color w:val="FF0000"/>
                <w:sz w:val="18"/>
                <w:szCs w:val="18"/>
              </w:rPr>
            </w:pPr>
            <w:r w:rsidRPr="00524435">
              <w:rPr>
                <w:rFonts w:ascii="Cambria" w:hAnsi="Cambria"/>
                <w:b/>
                <w:sz w:val="18"/>
                <w:szCs w:val="18"/>
              </w:rPr>
              <w:t>Partial compliance:  4</w:t>
            </w:r>
          </w:p>
        </w:tc>
      </w:tr>
      <w:tr w:rsidR="007E31E3" w:rsidRPr="00524435" w14:paraId="3E952D51" w14:textId="77777777" w:rsidTr="00820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trPr>
        <w:tc>
          <w:tcPr>
            <w:tcW w:w="9805" w:type="dxa"/>
            <w:gridSpan w:val="7"/>
            <w:tcBorders>
              <w:top w:val="single" w:sz="4"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6416179F"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MEXICO</w:t>
            </w:r>
          </w:p>
        </w:tc>
      </w:tr>
      <w:tr w:rsidR="007E31E3" w:rsidRPr="00524435" w14:paraId="26BF8BEF" w14:textId="77777777" w:rsidTr="00820229">
        <w:tc>
          <w:tcPr>
            <w:tcW w:w="562" w:type="dxa"/>
            <w:shd w:val="clear" w:color="auto" w:fill="D9D9D9" w:themeFill="background1" w:themeFillShade="D9"/>
            <w:tcMar>
              <w:top w:w="0" w:type="dxa"/>
              <w:left w:w="108" w:type="dxa"/>
              <w:bottom w:w="0" w:type="dxa"/>
              <w:right w:w="108" w:type="dxa"/>
            </w:tcMar>
            <w:vAlign w:val="center"/>
          </w:tcPr>
          <w:p w14:paraId="7BF84E3F"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shd w:val="clear" w:color="auto" w:fill="D9D9D9" w:themeFill="background1" w:themeFillShade="D9"/>
            <w:vAlign w:val="center"/>
          </w:tcPr>
          <w:p w14:paraId="7FDEAE36"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Case 11.822,</w:t>
            </w:r>
          </w:p>
          <w:p w14:paraId="1CCE3A0A" w14:textId="77777777" w:rsidR="007E31E3" w:rsidRPr="00E42B49" w:rsidRDefault="007E31E3" w:rsidP="00820229">
            <w:pPr>
              <w:jc w:val="center"/>
              <w:rPr>
                <w:rFonts w:ascii="Cambria" w:hAnsi="Cambria"/>
                <w:b/>
                <w:sz w:val="18"/>
                <w:szCs w:val="18"/>
                <w:lang w:val="es-US"/>
              </w:rPr>
            </w:pPr>
            <w:proofErr w:type="spellStart"/>
            <w:r w:rsidRPr="00E42B49">
              <w:rPr>
                <w:rFonts w:ascii="Cambria" w:hAnsi="Cambria"/>
                <w:b/>
                <w:sz w:val="18"/>
                <w:szCs w:val="18"/>
                <w:lang w:val="es-US"/>
              </w:rPr>
              <w:t>Report</w:t>
            </w:r>
            <w:proofErr w:type="spellEnd"/>
            <w:r w:rsidRPr="00E42B49">
              <w:rPr>
                <w:rFonts w:ascii="Cambria" w:hAnsi="Cambria"/>
                <w:b/>
                <w:sz w:val="18"/>
                <w:szCs w:val="18"/>
                <w:lang w:val="es-US"/>
              </w:rPr>
              <w:t xml:space="preserve"> No.24/09, Reyes Penagos Martínez et al (</w:t>
            </w:r>
            <w:proofErr w:type="spellStart"/>
            <w:r w:rsidRPr="00E42B49">
              <w:rPr>
                <w:rFonts w:ascii="Cambria" w:hAnsi="Cambria"/>
                <w:b/>
                <w:sz w:val="18"/>
                <w:szCs w:val="18"/>
                <w:lang w:val="es-US"/>
              </w:rPr>
              <w:t>Mexico</w:t>
            </w:r>
            <w:proofErr w:type="spellEnd"/>
            <w:r w:rsidRPr="00E42B49">
              <w:rPr>
                <w:rFonts w:ascii="Cambria" w:hAnsi="Cambria"/>
                <w:b/>
                <w:sz w:val="18"/>
                <w:szCs w:val="18"/>
                <w:lang w:val="es-US"/>
              </w:rPr>
              <w:t>)</w:t>
            </w:r>
          </w:p>
        </w:tc>
        <w:tc>
          <w:tcPr>
            <w:tcW w:w="1081" w:type="dxa"/>
            <w:shd w:val="clear" w:color="auto" w:fill="D9D9D9" w:themeFill="background1" w:themeFillShade="D9"/>
            <w:tcMar>
              <w:top w:w="0" w:type="dxa"/>
              <w:left w:w="108" w:type="dxa"/>
              <w:bottom w:w="0" w:type="dxa"/>
              <w:right w:w="108" w:type="dxa"/>
            </w:tcMar>
            <w:vAlign w:val="center"/>
          </w:tcPr>
          <w:p w14:paraId="2E95652E"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34575D7E" w14:textId="77777777" w:rsidR="007E31E3" w:rsidRPr="00524435" w:rsidRDefault="007E31E3" w:rsidP="00820229">
            <w:pPr>
              <w:ind w:right="72"/>
              <w:jc w:val="both"/>
              <w:rPr>
                <w:rFonts w:ascii="Cambria" w:eastAsia="Arial Unicode MS" w:hAnsi="Cambria"/>
                <w:b/>
                <w:sz w:val="18"/>
                <w:szCs w:val="18"/>
                <w:bdr w:val="nil"/>
              </w:rPr>
            </w:pPr>
            <w:r w:rsidRPr="00524435">
              <w:rPr>
                <w:rFonts w:ascii="Cambria" w:eastAsia="Arial Unicode MS" w:hAnsi="Cambria"/>
                <w:b/>
                <w:sz w:val="18"/>
                <w:szCs w:val="18"/>
                <w:bdr w:val="nil"/>
              </w:rPr>
              <w:t xml:space="preserve">Clause 3.b. </w:t>
            </w:r>
            <w:r w:rsidRPr="00524435">
              <w:rPr>
                <w:rFonts w:ascii="Cambria" w:hAnsi="Cambria"/>
                <w:b/>
                <w:bCs/>
                <w:kern w:val="36"/>
                <w:sz w:val="18"/>
                <w:szCs w:val="18"/>
              </w:rPr>
              <w:t xml:space="preserve">Investigation and punishment of the persons responsible: </w:t>
            </w:r>
            <w:r w:rsidRPr="00524435">
              <w:rPr>
                <w:rFonts w:ascii="Cambria" w:hAnsi="Cambria"/>
                <w:bCs/>
                <w:kern w:val="36"/>
                <w:sz w:val="18"/>
                <w:szCs w:val="18"/>
              </w:rPr>
              <w:t xml:space="preserve"> In addition, the State undertakes to continue the investigations until attaining the sanction of the persons responsible for those crimes, through a serious and impartial investigation according to the international human rights standards, for the purpose of avoiding their re-victimization due to lack of access to justice.</w:t>
            </w:r>
          </w:p>
        </w:tc>
        <w:tc>
          <w:tcPr>
            <w:tcW w:w="1440" w:type="dxa"/>
            <w:gridSpan w:val="2"/>
            <w:shd w:val="clear" w:color="auto" w:fill="D9D9D9" w:themeFill="background1" w:themeFillShade="D9"/>
            <w:tcMar>
              <w:top w:w="0" w:type="dxa"/>
              <w:left w:w="108" w:type="dxa"/>
              <w:bottom w:w="0" w:type="dxa"/>
              <w:right w:w="108" w:type="dxa"/>
            </w:tcMar>
            <w:vAlign w:val="center"/>
          </w:tcPr>
          <w:p w14:paraId="16AA8511"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Partial substantial 2021</w:t>
            </w:r>
          </w:p>
        </w:tc>
      </w:tr>
      <w:tr w:rsidR="007E31E3" w:rsidRPr="00524435" w14:paraId="3EEF05F3" w14:textId="77777777" w:rsidTr="00820229">
        <w:tc>
          <w:tcPr>
            <w:tcW w:w="562" w:type="dxa"/>
            <w:shd w:val="clear" w:color="auto" w:fill="auto"/>
            <w:tcMar>
              <w:top w:w="0" w:type="dxa"/>
              <w:left w:w="108" w:type="dxa"/>
              <w:bottom w:w="0" w:type="dxa"/>
              <w:right w:w="108" w:type="dxa"/>
            </w:tcMar>
            <w:vAlign w:val="center"/>
          </w:tcPr>
          <w:p w14:paraId="1D68107D"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shd w:val="clear" w:color="auto" w:fill="auto"/>
            <w:vAlign w:val="center"/>
          </w:tcPr>
          <w:p w14:paraId="3C4D5BE2"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Petition N.1117/09,</w:t>
            </w:r>
          </w:p>
          <w:p w14:paraId="7ECACA16"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 xml:space="preserve">Report No.15/16, Ananias </w:t>
            </w:r>
            <w:proofErr w:type="spellStart"/>
            <w:proofErr w:type="gramStart"/>
            <w:r w:rsidRPr="00524435">
              <w:rPr>
                <w:rFonts w:ascii="Cambria" w:hAnsi="Cambria"/>
                <w:b/>
                <w:sz w:val="18"/>
                <w:szCs w:val="18"/>
              </w:rPr>
              <w:t>Laparra</w:t>
            </w:r>
            <w:proofErr w:type="spellEnd"/>
            <w:proofErr w:type="gramEnd"/>
            <w:r w:rsidRPr="00524435">
              <w:rPr>
                <w:rFonts w:ascii="Cambria" w:hAnsi="Cambria"/>
                <w:b/>
                <w:sz w:val="18"/>
                <w:szCs w:val="18"/>
              </w:rPr>
              <w:t xml:space="preserve"> and Family (Mexico)</w:t>
            </w:r>
          </w:p>
        </w:tc>
        <w:tc>
          <w:tcPr>
            <w:tcW w:w="1081" w:type="dxa"/>
            <w:shd w:val="clear" w:color="auto" w:fill="auto"/>
            <w:tcMar>
              <w:top w:w="0" w:type="dxa"/>
              <w:left w:w="108" w:type="dxa"/>
              <w:bottom w:w="0" w:type="dxa"/>
              <w:right w:w="108" w:type="dxa"/>
            </w:tcMar>
            <w:vAlign w:val="center"/>
          </w:tcPr>
          <w:p w14:paraId="44B797CA"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Structural</w:t>
            </w:r>
          </w:p>
        </w:tc>
        <w:tc>
          <w:tcPr>
            <w:tcW w:w="5304" w:type="dxa"/>
            <w:gridSpan w:val="2"/>
            <w:shd w:val="clear" w:color="auto" w:fill="auto"/>
            <w:tcMar>
              <w:top w:w="0" w:type="dxa"/>
              <w:left w:w="108" w:type="dxa"/>
              <w:bottom w:w="0" w:type="dxa"/>
              <w:right w:w="108" w:type="dxa"/>
            </w:tcMar>
            <w:vAlign w:val="center"/>
          </w:tcPr>
          <w:p w14:paraId="52470C81" w14:textId="77777777" w:rsidR="007E31E3" w:rsidRPr="00524435" w:rsidRDefault="007E31E3" w:rsidP="00820229">
            <w:pPr>
              <w:ind w:right="50"/>
              <w:jc w:val="both"/>
              <w:rPr>
                <w:rFonts w:ascii="Cambria" w:eastAsia="MS Mincho" w:hAnsi="Cambria" w:cs="Arial"/>
                <w:color w:val="000000"/>
                <w:sz w:val="18"/>
                <w:szCs w:val="18"/>
                <w:lang w:eastAsia="es-ES_tradnl"/>
              </w:rPr>
            </w:pPr>
            <w:r w:rsidRPr="00524435">
              <w:rPr>
                <w:rFonts w:ascii="Cambria" w:eastAsia="Arial Unicode MS" w:hAnsi="Cambria"/>
                <w:b/>
                <w:sz w:val="18"/>
                <w:szCs w:val="18"/>
                <w:bdr w:val="nil"/>
              </w:rPr>
              <w:t>Clause VIII.2.7. Publication of the IACHR Report:</w:t>
            </w:r>
            <w:r w:rsidRPr="00524435">
              <w:rPr>
                <w:rFonts w:ascii="Cambria" w:hAnsi="Cambria"/>
                <w:sz w:val="18"/>
                <w:szCs w:val="18"/>
              </w:rPr>
              <w:t xml:space="preserve"> </w:t>
            </w:r>
            <w:r w:rsidRPr="00524435">
              <w:rPr>
                <w:rFonts w:ascii="Cambria" w:eastAsia="MS Mincho" w:hAnsi="Cambria" w:cs="Arial"/>
                <w:bCs/>
                <w:sz w:val="18"/>
                <w:szCs w:val="18"/>
                <w:lang w:eastAsia="es-ES_tradnl"/>
              </w:rPr>
              <w:t>T</w:t>
            </w:r>
            <w:r w:rsidRPr="00524435">
              <w:rPr>
                <w:rFonts w:ascii="Cambria" w:hAnsi="Cambria"/>
                <w:bCs/>
                <w:kern w:val="36"/>
                <w:sz w:val="18"/>
                <w:szCs w:val="18"/>
              </w:rPr>
              <w:t>he Mexican State agrees to publish one time only in the Official Gazette of the Federation, the Official Gazette of the State of Chiapas, and a broadly distributed national and local newspaper a summary of the facts in the case recognized by the Mexican State and the human rights violations recognized and established in the report of the IACHR, as agreed upon in advance with the victims and their representatives.</w:t>
            </w:r>
          </w:p>
        </w:tc>
        <w:tc>
          <w:tcPr>
            <w:tcW w:w="1440" w:type="dxa"/>
            <w:gridSpan w:val="2"/>
            <w:shd w:val="clear" w:color="auto" w:fill="auto"/>
            <w:tcMar>
              <w:top w:w="0" w:type="dxa"/>
              <w:left w:w="108" w:type="dxa"/>
              <w:bottom w:w="0" w:type="dxa"/>
              <w:right w:w="108" w:type="dxa"/>
            </w:tcMar>
            <w:vAlign w:val="center"/>
          </w:tcPr>
          <w:p w14:paraId="0AB78ED4"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 xml:space="preserve">Partial 2021 </w:t>
            </w:r>
          </w:p>
        </w:tc>
      </w:tr>
      <w:tr w:rsidR="007E31E3" w:rsidRPr="00524435" w14:paraId="4FAB15E0" w14:textId="77777777" w:rsidTr="00820229">
        <w:tc>
          <w:tcPr>
            <w:tcW w:w="562" w:type="dxa"/>
            <w:shd w:val="clear" w:color="auto" w:fill="D9D9D9" w:themeFill="background1" w:themeFillShade="D9"/>
            <w:tcMar>
              <w:top w:w="0" w:type="dxa"/>
              <w:left w:w="108" w:type="dxa"/>
              <w:bottom w:w="0" w:type="dxa"/>
              <w:right w:w="108" w:type="dxa"/>
            </w:tcMar>
            <w:vAlign w:val="center"/>
          </w:tcPr>
          <w:p w14:paraId="72C41830"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shd w:val="clear" w:color="auto" w:fill="D9D9D9" w:themeFill="background1" w:themeFillShade="D9"/>
            <w:vAlign w:val="center"/>
          </w:tcPr>
          <w:p w14:paraId="67E0CC44"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Case 12.847,</w:t>
            </w:r>
          </w:p>
          <w:p w14:paraId="36093D06" w14:textId="77777777" w:rsidR="007E31E3" w:rsidRPr="00E42B49" w:rsidRDefault="007E31E3" w:rsidP="00820229">
            <w:pPr>
              <w:jc w:val="center"/>
              <w:rPr>
                <w:rFonts w:ascii="Cambria" w:hAnsi="Cambria"/>
                <w:b/>
                <w:sz w:val="18"/>
                <w:szCs w:val="18"/>
                <w:lang w:val="es-US"/>
              </w:rPr>
            </w:pPr>
            <w:proofErr w:type="spellStart"/>
            <w:r w:rsidRPr="00E42B49">
              <w:rPr>
                <w:rFonts w:ascii="Cambria" w:hAnsi="Cambria"/>
                <w:b/>
                <w:sz w:val="18"/>
                <w:szCs w:val="18"/>
                <w:lang w:val="es-US"/>
              </w:rPr>
              <w:t>Report</w:t>
            </w:r>
            <w:proofErr w:type="spellEnd"/>
            <w:r w:rsidRPr="00E42B49">
              <w:rPr>
                <w:rFonts w:ascii="Cambria" w:hAnsi="Cambria"/>
                <w:b/>
                <w:sz w:val="18"/>
                <w:szCs w:val="18"/>
                <w:lang w:val="es-US"/>
              </w:rPr>
              <w:t xml:space="preserve"> No.16/16, Vicenta Sánchez Valdivieso (</w:t>
            </w:r>
            <w:proofErr w:type="spellStart"/>
            <w:r w:rsidRPr="00E42B49">
              <w:rPr>
                <w:rFonts w:ascii="Cambria" w:hAnsi="Cambria"/>
                <w:b/>
                <w:sz w:val="18"/>
                <w:szCs w:val="18"/>
                <w:lang w:val="es-US"/>
              </w:rPr>
              <w:t>Mexico</w:t>
            </w:r>
            <w:proofErr w:type="spellEnd"/>
            <w:r w:rsidRPr="00E42B49">
              <w:rPr>
                <w:rFonts w:ascii="Cambria" w:hAnsi="Cambria"/>
                <w:b/>
                <w:sz w:val="18"/>
                <w:szCs w:val="18"/>
                <w:lang w:val="es-US"/>
              </w:rPr>
              <w:t>)</w:t>
            </w:r>
          </w:p>
        </w:tc>
        <w:tc>
          <w:tcPr>
            <w:tcW w:w="1081" w:type="dxa"/>
            <w:shd w:val="clear" w:color="auto" w:fill="D9D9D9" w:themeFill="background1" w:themeFillShade="D9"/>
            <w:tcMar>
              <w:top w:w="0" w:type="dxa"/>
              <w:left w:w="108" w:type="dxa"/>
              <w:bottom w:w="0" w:type="dxa"/>
              <w:right w:w="108" w:type="dxa"/>
            </w:tcMar>
            <w:vAlign w:val="center"/>
          </w:tcPr>
          <w:p w14:paraId="1B76CD5F"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37B18636" w14:textId="77777777" w:rsidR="007E31E3" w:rsidRPr="00524435" w:rsidRDefault="007E31E3" w:rsidP="00820229">
            <w:pPr>
              <w:contextualSpacing/>
              <w:jc w:val="both"/>
              <w:rPr>
                <w:rFonts w:ascii="Cambria" w:hAnsi="Cambria"/>
                <w:b/>
                <w:strike/>
                <w:color w:val="FF0000"/>
                <w:sz w:val="18"/>
                <w:szCs w:val="18"/>
              </w:rPr>
            </w:pPr>
            <w:r w:rsidRPr="00524435">
              <w:rPr>
                <w:rFonts w:ascii="Cambria" w:eastAsia="Arial Unicode MS" w:hAnsi="Cambria"/>
                <w:b/>
                <w:sz w:val="18"/>
                <w:szCs w:val="18"/>
                <w:bdr w:val="nil"/>
              </w:rPr>
              <w:t>Clause 3.4. Inclusion in Oaxaca government programs</w:t>
            </w:r>
            <w:r w:rsidRPr="00524435">
              <w:rPr>
                <w:rFonts w:ascii="Cambria" w:hAnsi="Cambria"/>
                <w:sz w:val="18"/>
                <w:szCs w:val="18"/>
              </w:rPr>
              <w:t>:</w:t>
            </w:r>
            <w:r w:rsidRPr="00524435">
              <w:rPr>
                <w:rFonts w:ascii="Cambria" w:hAnsi="Cambria"/>
                <w:b/>
                <w:strike/>
                <w:color w:val="FF0000"/>
                <w:sz w:val="18"/>
                <w:szCs w:val="18"/>
              </w:rPr>
              <w:t xml:space="preserve"> </w:t>
            </w:r>
            <w:r w:rsidRPr="00524435">
              <w:rPr>
                <w:rFonts w:ascii="Cambria" w:eastAsia="MS Mincho" w:hAnsi="Cambria"/>
                <w:sz w:val="18"/>
                <w:szCs w:val="18"/>
              </w:rPr>
              <w:t>Housing improvement support.</w:t>
            </w:r>
          </w:p>
        </w:tc>
        <w:tc>
          <w:tcPr>
            <w:tcW w:w="1440" w:type="dxa"/>
            <w:gridSpan w:val="2"/>
            <w:shd w:val="clear" w:color="auto" w:fill="D9D9D9" w:themeFill="background1" w:themeFillShade="D9"/>
            <w:tcMar>
              <w:top w:w="0" w:type="dxa"/>
              <w:left w:w="108" w:type="dxa"/>
              <w:bottom w:w="0" w:type="dxa"/>
              <w:right w:w="108" w:type="dxa"/>
            </w:tcMar>
            <w:vAlign w:val="center"/>
          </w:tcPr>
          <w:p w14:paraId="30769125"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732E2923" w14:textId="77777777" w:rsidTr="00820229">
        <w:tc>
          <w:tcPr>
            <w:tcW w:w="562" w:type="dxa"/>
            <w:shd w:val="clear" w:color="auto" w:fill="auto"/>
            <w:tcMar>
              <w:top w:w="0" w:type="dxa"/>
              <w:left w:w="108" w:type="dxa"/>
              <w:bottom w:w="0" w:type="dxa"/>
              <w:right w:w="108" w:type="dxa"/>
            </w:tcMar>
            <w:vAlign w:val="center"/>
          </w:tcPr>
          <w:p w14:paraId="71731F9E"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shd w:val="clear" w:color="auto" w:fill="auto"/>
            <w:vAlign w:val="center"/>
          </w:tcPr>
          <w:p w14:paraId="6890EA28"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Case 12.627,</w:t>
            </w:r>
          </w:p>
          <w:p w14:paraId="1A73E0D1" w14:textId="77777777" w:rsidR="007E31E3" w:rsidRPr="00E42B49" w:rsidRDefault="007E31E3" w:rsidP="00820229">
            <w:pPr>
              <w:jc w:val="center"/>
              <w:rPr>
                <w:rFonts w:ascii="Cambria" w:hAnsi="Cambria"/>
                <w:b/>
                <w:sz w:val="18"/>
                <w:szCs w:val="18"/>
                <w:lang w:val="es-US"/>
              </w:rPr>
            </w:pPr>
            <w:proofErr w:type="spellStart"/>
            <w:r w:rsidRPr="00E42B49">
              <w:rPr>
                <w:rFonts w:ascii="Cambria" w:hAnsi="Cambria"/>
                <w:b/>
                <w:sz w:val="18"/>
                <w:szCs w:val="18"/>
                <w:lang w:val="es-US"/>
              </w:rPr>
              <w:t>Report</w:t>
            </w:r>
            <w:proofErr w:type="spellEnd"/>
            <w:r w:rsidRPr="00E42B49">
              <w:rPr>
                <w:rFonts w:ascii="Cambria" w:hAnsi="Cambria"/>
                <w:b/>
                <w:sz w:val="18"/>
                <w:szCs w:val="18"/>
                <w:lang w:val="es-US"/>
              </w:rPr>
              <w:t xml:space="preserve"> No.92/17, María Nicolasa García Reynoso (</w:t>
            </w:r>
            <w:proofErr w:type="spellStart"/>
            <w:r w:rsidRPr="00E42B49">
              <w:rPr>
                <w:rFonts w:ascii="Cambria" w:hAnsi="Cambria"/>
                <w:b/>
                <w:sz w:val="18"/>
                <w:szCs w:val="18"/>
                <w:lang w:val="es-US"/>
              </w:rPr>
              <w:t>Mexico</w:t>
            </w:r>
            <w:proofErr w:type="spellEnd"/>
            <w:r w:rsidRPr="00E42B49">
              <w:rPr>
                <w:rFonts w:ascii="Cambria" w:hAnsi="Cambria"/>
                <w:b/>
                <w:sz w:val="18"/>
                <w:szCs w:val="18"/>
                <w:lang w:val="es-US"/>
              </w:rPr>
              <w:t>)</w:t>
            </w:r>
          </w:p>
        </w:tc>
        <w:tc>
          <w:tcPr>
            <w:tcW w:w="1081" w:type="dxa"/>
            <w:shd w:val="clear" w:color="auto" w:fill="auto"/>
            <w:tcMar>
              <w:top w:w="0" w:type="dxa"/>
              <w:left w:w="108" w:type="dxa"/>
              <w:bottom w:w="0" w:type="dxa"/>
              <w:right w:w="108" w:type="dxa"/>
            </w:tcMar>
            <w:vAlign w:val="center"/>
          </w:tcPr>
          <w:p w14:paraId="6A84750F"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768BB70F" w14:textId="77777777" w:rsidR="007E31E3" w:rsidRPr="00524435" w:rsidRDefault="007E31E3" w:rsidP="00820229">
            <w:pPr>
              <w:contextualSpacing/>
              <w:jc w:val="both"/>
              <w:rPr>
                <w:rFonts w:ascii="Cambria" w:eastAsia="Arial Unicode MS" w:hAnsi="Cambria"/>
                <w:b/>
                <w:sz w:val="18"/>
                <w:szCs w:val="18"/>
                <w:bdr w:val="nil"/>
              </w:rPr>
            </w:pPr>
            <w:r w:rsidRPr="00524435">
              <w:rPr>
                <w:rFonts w:ascii="Cambria" w:eastAsia="Arial Unicode MS" w:hAnsi="Cambria"/>
                <w:b/>
                <w:sz w:val="18"/>
                <w:szCs w:val="18"/>
                <w:bdr w:val="nil"/>
              </w:rPr>
              <w:t xml:space="preserve">Clause VIII.2.1 </w:t>
            </w:r>
            <w:r w:rsidRPr="00524435">
              <w:rPr>
                <w:rFonts w:ascii="Cambria" w:eastAsia="MS Mincho" w:hAnsi="Cambria"/>
                <w:b/>
                <w:sz w:val="18"/>
                <w:szCs w:val="18"/>
                <w:lang w:eastAsia="es-ES_tradnl"/>
              </w:rPr>
              <w:t>Investigation of the facts of the case and punishment of those responsible</w:t>
            </w:r>
            <w:r w:rsidRPr="00524435">
              <w:rPr>
                <w:rFonts w:ascii="Cambria" w:eastAsia="MS Mincho" w:hAnsi="Cambria"/>
                <w:sz w:val="18"/>
                <w:szCs w:val="18"/>
                <w:lang w:eastAsia="es-ES_tradnl"/>
              </w:rPr>
              <w:t xml:space="preserve">: </w:t>
            </w:r>
            <w:r w:rsidRPr="00524435">
              <w:rPr>
                <w:rFonts w:ascii="Cambria" w:hAnsi="Cambria"/>
                <w:sz w:val="18"/>
                <w:szCs w:val="18"/>
              </w:rPr>
              <w:t xml:space="preserve">The Office of the Attorney General of the Republic, through the Unit Specializing in Terrorism and the Stockpiling of, and Trafficking in, Firearms, commits to keeping the investigation open in the AC/PGR/SIEDO/UEITA/131/20D7, and to continue pursuing any lines that result from it, on account of the possible commission of federal offenses: an investigation that it has conducted diligently and that it will continue in a prompt and expeditious manner, till the matter is resolved in accordance with law. </w:t>
            </w:r>
          </w:p>
        </w:tc>
        <w:tc>
          <w:tcPr>
            <w:tcW w:w="1440" w:type="dxa"/>
            <w:gridSpan w:val="2"/>
            <w:shd w:val="clear" w:color="auto" w:fill="auto"/>
            <w:tcMar>
              <w:top w:w="0" w:type="dxa"/>
              <w:left w:w="108" w:type="dxa"/>
              <w:bottom w:w="0" w:type="dxa"/>
              <w:right w:w="108" w:type="dxa"/>
            </w:tcMar>
            <w:vAlign w:val="center"/>
          </w:tcPr>
          <w:p w14:paraId="68FAA8E4"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75329F99" w14:textId="77777777" w:rsidTr="00820229">
        <w:tc>
          <w:tcPr>
            <w:tcW w:w="562" w:type="dxa"/>
            <w:shd w:val="clear" w:color="auto" w:fill="D9D9D9" w:themeFill="background1" w:themeFillShade="D9"/>
            <w:tcMar>
              <w:top w:w="0" w:type="dxa"/>
              <w:left w:w="108" w:type="dxa"/>
              <w:bottom w:w="0" w:type="dxa"/>
              <w:right w:w="108" w:type="dxa"/>
            </w:tcMar>
            <w:vAlign w:val="center"/>
          </w:tcPr>
          <w:p w14:paraId="4CED1CA6"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val="restart"/>
            <w:shd w:val="clear" w:color="auto" w:fill="D9D9D9" w:themeFill="background1" w:themeFillShade="D9"/>
            <w:vAlign w:val="center"/>
          </w:tcPr>
          <w:p w14:paraId="3F70ECBD"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Petition N.1014/06,</w:t>
            </w:r>
          </w:p>
          <w:p w14:paraId="6A36DFBB" w14:textId="77777777" w:rsidR="007E31E3" w:rsidRPr="00E42B49" w:rsidRDefault="007E31E3" w:rsidP="00820229">
            <w:pPr>
              <w:jc w:val="center"/>
              <w:rPr>
                <w:rFonts w:ascii="Cambria" w:hAnsi="Cambria"/>
                <w:b/>
                <w:sz w:val="18"/>
                <w:szCs w:val="18"/>
                <w:lang w:val="es-US"/>
              </w:rPr>
            </w:pPr>
            <w:proofErr w:type="spellStart"/>
            <w:r w:rsidRPr="00E42B49">
              <w:rPr>
                <w:rFonts w:ascii="Cambria" w:hAnsi="Cambria"/>
                <w:b/>
                <w:sz w:val="18"/>
                <w:szCs w:val="18"/>
                <w:lang w:val="es-US"/>
              </w:rPr>
              <w:t>Report</w:t>
            </w:r>
            <w:proofErr w:type="spellEnd"/>
            <w:r w:rsidRPr="00E42B49">
              <w:rPr>
                <w:rFonts w:ascii="Cambria" w:hAnsi="Cambria"/>
                <w:b/>
                <w:sz w:val="18"/>
                <w:szCs w:val="18"/>
                <w:lang w:val="es-US"/>
              </w:rPr>
              <w:t xml:space="preserve"> No.35/19, Antonio Jacinto Lopez (</w:t>
            </w:r>
            <w:proofErr w:type="spellStart"/>
            <w:r w:rsidRPr="00E42B49">
              <w:rPr>
                <w:rFonts w:ascii="Cambria" w:hAnsi="Cambria"/>
                <w:b/>
                <w:sz w:val="18"/>
                <w:szCs w:val="18"/>
                <w:lang w:val="es-US"/>
              </w:rPr>
              <w:t>Mexico</w:t>
            </w:r>
            <w:proofErr w:type="spellEnd"/>
            <w:r w:rsidRPr="00E42B49">
              <w:rPr>
                <w:rFonts w:ascii="Cambria" w:hAnsi="Cambria"/>
                <w:b/>
                <w:sz w:val="18"/>
                <w:szCs w:val="18"/>
                <w:lang w:val="es-US"/>
              </w:rPr>
              <w:t>)</w:t>
            </w:r>
          </w:p>
        </w:tc>
        <w:tc>
          <w:tcPr>
            <w:tcW w:w="1081" w:type="dxa"/>
            <w:shd w:val="clear" w:color="auto" w:fill="D9D9D9" w:themeFill="background1" w:themeFillShade="D9"/>
            <w:tcMar>
              <w:top w:w="0" w:type="dxa"/>
              <w:left w:w="108" w:type="dxa"/>
              <w:bottom w:w="0" w:type="dxa"/>
              <w:right w:w="108" w:type="dxa"/>
            </w:tcMar>
            <w:vAlign w:val="center"/>
          </w:tcPr>
          <w:p w14:paraId="5631F74D"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Structural</w:t>
            </w:r>
          </w:p>
        </w:tc>
        <w:tc>
          <w:tcPr>
            <w:tcW w:w="5304" w:type="dxa"/>
            <w:gridSpan w:val="2"/>
            <w:shd w:val="clear" w:color="auto" w:fill="D9D9D9" w:themeFill="background1" w:themeFillShade="D9"/>
            <w:tcMar>
              <w:top w:w="0" w:type="dxa"/>
              <w:left w:w="108" w:type="dxa"/>
              <w:bottom w:w="0" w:type="dxa"/>
              <w:right w:w="108" w:type="dxa"/>
            </w:tcMar>
            <w:vAlign w:val="center"/>
          </w:tcPr>
          <w:p w14:paraId="55E9342A" w14:textId="77777777" w:rsidR="007E31E3" w:rsidRPr="00524435" w:rsidRDefault="007E31E3" w:rsidP="00820229">
            <w:pPr>
              <w:ind w:right="72"/>
              <w:jc w:val="both"/>
              <w:rPr>
                <w:rFonts w:ascii="Cambria" w:hAnsi="Cambria"/>
                <w:sz w:val="18"/>
                <w:szCs w:val="18"/>
              </w:rPr>
            </w:pPr>
            <w:r w:rsidRPr="00524435">
              <w:rPr>
                <w:rFonts w:ascii="Cambria" w:eastAsia="Arial Unicode MS" w:hAnsi="Cambria"/>
                <w:b/>
                <w:sz w:val="18"/>
                <w:szCs w:val="18"/>
                <w:bdr w:val="nil"/>
              </w:rPr>
              <w:t xml:space="preserve">Clause III. C. 3.9 </w:t>
            </w:r>
            <w:r w:rsidRPr="00524435">
              <w:rPr>
                <w:rFonts w:ascii="Cambria" w:hAnsi="Cambria"/>
                <w:b/>
                <w:bCs/>
                <w:sz w:val="18"/>
                <w:szCs w:val="18"/>
              </w:rPr>
              <w:t>Dissemination of the public ceremony for recognition of responsibility</w:t>
            </w:r>
            <w:r w:rsidRPr="00524435">
              <w:rPr>
                <w:rFonts w:ascii="Cambria" w:hAnsi="Cambria"/>
                <w:sz w:val="18"/>
                <w:szCs w:val="18"/>
              </w:rPr>
              <w:t xml:space="preserve">. The ceremony will be disseminated just one time in two media outlets, the newspapers La Jornada and </w:t>
            </w:r>
            <w:proofErr w:type="spellStart"/>
            <w:r w:rsidRPr="00524435">
              <w:rPr>
                <w:rFonts w:ascii="Cambria" w:hAnsi="Cambria"/>
                <w:sz w:val="18"/>
                <w:szCs w:val="18"/>
              </w:rPr>
              <w:t>Contralínea</w:t>
            </w:r>
            <w:proofErr w:type="spellEnd"/>
            <w:r w:rsidRPr="00524435">
              <w:rPr>
                <w:rFonts w:ascii="Cambria" w:hAnsi="Cambria"/>
                <w:sz w:val="18"/>
                <w:szCs w:val="18"/>
              </w:rPr>
              <w:t>. The communique will be produced with the consent of the victim and his representative. The parties shall issue a release to the press generally to attend the ceremony.</w:t>
            </w:r>
          </w:p>
          <w:p w14:paraId="6E831E60" w14:textId="77777777" w:rsidR="007E31E3" w:rsidRPr="00524435" w:rsidRDefault="007E31E3" w:rsidP="00820229">
            <w:pPr>
              <w:contextualSpacing/>
              <w:jc w:val="both"/>
              <w:rPr>
                <w:rFonts w:ascii="Cambria" w:hAnsi="Cambria"/>
                <w:b/>
                <w:strike/>
                <w:color w:val="FF0000"/>
                <w:sz w:val="18"/>
                <w:szCs w:val="18"/>
              </w:rPr>
            </w:pPr>
            <w:r w:rsidRPr="00524435">
              <w:rPr>
                <w:rFonts w:ascii="Cambria" w:hAnsi="Cambria"/>
                <w:sz w:val="18"/>
                <w:szCs w:val="18"/>
              </w:rPr>
              <w:t xml:space="preserve">At the same time, a stenographic version of the ceremony of recognition of responsibility will be published at the websites of </w:t>
            </w:r>
            <w:r w:rsidRPr="00524435">
              <w:rPr>
                <w:rFonts w:ascii="Cambria" w:hAnsi="Cambria"/>
                <w:sz w:val="18"/>
                <w:szCs w:val="18"/>
              </w:rPr>
              <w:lastRenderedPageBreak/>
              <w:t xml:space="preserve">the Ministry of Foreign Affairs and the Government of the state of Oaxaca, in both Spanish and the </w:t>
            </w:r>
            <w:proofErr w:type="spellStart"/>
            <w:r w:rsidRPr="00524435">
              <w:rPr>
                <w:rFonts w:ascii="Cambria" w:hAnsi="Cambria"/>
                <w:sz w:val="18"/>
                <w:szCs w:val="18"/>
              </w:rPr>
              <w:t>Triqui</w:t>
            </w:r>
            <w:proofErr w:type="spellEnd"/>
            <w:r w:rsidRPr="00524435">
              <w:rPr>
                <w:rFonts w:ascii="Cambria" w:hAnsi="Cambria"/>
                <w:sz w:val="18"/>
                <w:szCs w:val="18"/>
              </w:rPr>
              <w:t xml:space="preserve"> language. </w:t>
            </w:r>
          </w:p>
        </w:tc>
        <w:tc>
          <w:tcPr>
            <w:tcW w:w="1440" w:type="dxa"/>
            <w:gridSpan w:val="2"/>
            <w:shd w:val="clear" w:color="auto" w:fill="D9D9D9" w:themeFill="background1" w:themeFillShade="D9"/>
            <w:tcMar>
              <w:top w:w="0" w:type="dxa"/>
              <w:left w:w="108" w:type="dxa"/>
              <w:bottom w:w="0" w:type="dxa"/>
              <w:right w:w="108" w:type="dxa"/>
            </w:tcMar>
            <w:vAlign w:val="center"/>
          </w:tcPr>
          <w:p w14:paraId="37313107"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lastRenderedPageBreak/>
              <w:t>Total 2021</w:t>
            </w:r>
          </w:p>
        </w:tc>
      </w:tr>
      <w:tr w:rsidR="007E31E3" w:rsidRPr="00524435" w14:paraId="394BB2C7" w14:textId="77777777" w:rsidTr="00820229">
        <w:tc>
          <w:tcPr>
            <w:tcW w:w="562" w:type="dxa"/>
            <w:shd w:val="clear" w:color="auto" w:fill="D9D9D9" w:themeFill="background1" w:themeFillShade="D9"/>
            <w:tcMar>
              <w:top w:w="0" w:type="dxa"/>
              <w:left w:w="108" w:type="dxa"/>
              <w:bottom w:w="0" w:type="dxa"/>
              <w:right w:w="108" w:type="dxa"/>
            </w:tcMar>
            <w:vAlign w:val="center"/>
          </w:tcPr>
          <w:p w14:paraId="3221AA6B"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50938BD5"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476856BA"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Structural</w:t>
            </w:r>
          </w:p>
        </w:tc>
        <w:tc>
          <w:tcPr>
            <w:tcW w:w="5304" w:type="dxa"/>
            <w:gridSpan w:val="2"/>
            <w:shd w:val="clear" w:color="auto" w:fill="D9D9D9" w:themeFill="background1" w:themeFillShade="D9"/>
            <w:tcMar>
              <w:top w:w="0" w:type="dxa"/>
              <w:left w:w="108" w:type="dxa"/>
              <w:bottom w:w="0" w:type="dxa"/>
              <w:right w:w="108" w:type="dxa"/>
            </w:tcMar>
            <w:vAlign w:val="center"/>
          </w:tcPr>
          <w:p w14:paraId="08D3EA13" w14:textId="77777777" w:rsidR="007E31E3" w:rsidRPr="00524435" w:rsidRDefault="007E31E3" w:rsidP="00820229">
            <w:pPr>
              <w:contextualSpacing/>
              <w:jc w:val="both"/>
              <w:rPr>
                <w:rFonts w:ascii="Cambria" w:hAnsi="Cambria"/>
                <w:b/>
                <w:strike/>
                <w:color w:val="FF0000"/>
                <w:sz w:val="18"/>
                <w:szCs w:val="18"/>
              </w:rPr>
            </w:pPr>
            <w:r w:rsidRPr="00524435">
              <w:rPr>
                <w:rFonts w:ascii="Cambria" w:eastAsia="Arial Unicode MS" w:hAnsi="Cambria"/>
                <w:b/>
                <w:sz w:val="18"/>
                <w:szCs w:val="18"/>
                <w:bdr w:val="nil"/>
              </w:rPr>
              <w:t>Clause III. D. 3.15. Bill of law:</w:t>
            </w:r>
            <w:r w:rsidRPr="00524435">
              <w:rPr>
                <w:rFonts w:ascii="Cambria" w:eastAsia="Times New Roman" w:hAnsi="Cambria"/>
                <w:bCs/>
                <w:color w:val="000000"/>
                <w:kern w:val="36"/>
                <w:sz w:val="18"/>
                <w:szCs w:val="18"/>
              </w:rPr>
              <w:t xml:space="preserve"> </w:t>
            </w:r>
            <w:r w:rsidRPr="00524435">
              <w:rPr>
                <w:rFonts w:ascii="Cambria" w:hAnsi="Cambria"/>
                <w:bCs/>
                <w:kern w:val="36"/>
                <w:sz w:val="18"/>
                <w:szCs w:val="18"/>
              </w:rPr>
              <w:t xml:space="preserve">The Government of the state of Oaxaca undertakes to submit to the state legislature a bill, with the participation of the representative in the instant case, for the purpose of establishing a procedure for implementing precautionary measures issued by national and international bodies, as per international human rights standards, as soon as possible. </w:t>
            </w:r>
          </w:p>
        </w:tc>
        <w:tc>
          <w:tcPr>
            <w:tcW w:w="1440" w:type="dxa"/>
            <w:gridSpan w:val="2"/>
            <w:shd w:val="clear" w:color="auto" w:fill="D9D9D9" w:themeFill="background1" w:themeFillShade="D9"/>
            <w:tcMar>
              <w:top w:w="0" w:type="dxa"/>
              <w:left w:w="108" w:type="dxa"/>
              <w:bottom w:w="0" w:type="dxa"/>
              <w:right w:w="108" w:type="dxa"/>
            </w:tcMar>
            <w:vAlign w:val="center"/>
          </w:tcPr>
          <w:p w14:paraId="44C79FD6"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Partial substantial 2021</w:t>
            </w:r>
          </w:p>
        </w:tc>
      </w:tr>
      <w:tr w:rsidR="007E31E3" w:rsidRPr="00524435" w14:paraId="7AF34E52" w14:textId="77777777" w:rsidTr="00820229">
        <w:tc>
          <w:tcPr>
            <w:tcW w:w="562" w:type="dxa"/>
            <w:shd w:val="clear" w:color="auto" w:fill="auto"/>
            <w:tcMar>
              <w:top w:w="0" w:type="dxa"/>
              <w:left w:w="108" w:type="dxa"/>
              <w:bottom w:w="0" w:type="dxa"/>
              <w:right w:w="108" w:type="dxa"/>
            </w:tcMar>
            <w:vAlign w:val="center"/>
          </w:tcPr>
          <w:p w14:paraId="2816548F"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val="restart"/>
            <w:shd w:val="clear" w:color="auto" w:fill="auto"/>
            <w:vAlign w:val="center"/>
          </w:tcPr>
          <w:p w14:paraId="7BB6CABC"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Case 12.915,</w:t>
            </w:r>
          </w:p>
          <w:p w14:paraId="2E8C97DE" w14:textId="77777777" w:rsidR="007E31E3" w:rsidRPr="00E42B49" w:rsidRDefault="007E31E3" w:rsidP="00820229">
            <w:pPr>
              <w:jc w:val="center"/>
              <w:rPr>
                <w:rFonts w:ascii="Cambria" w:hAnsi="Cambria"/>
                <w:b/>
                <w:sz w:val="18"/>
                <w:szCs w:val="18"/>
                <w:lang w:val="es-US"/>
              </w:rPr>
            </w:pPr>
            <w:proofErr w:type="spellStart"/>
            <w:r w:rsidRPr="00E42B49">
              <w:rPr>
                <w:rFonts w:ascii="Cambria" w:hAnsi="Cambria"/>
                <w:b/>
                <w:sz w:val="18"/>
                <w:szCs w:val="18"/>
                <w:lang w:val="es-US"/>
              </w:rPr>
              <w:t>Report</w:t>
            </w:r>
            <w:proofErr w:type="spellEnd"/>
            <w:r w:rsidRPr="00E42B49">
              <w:rPr>
                <w:rFonts w:ascii="Cambria" w:hAnsi="Cambria"/>
                <w:b/>
                <w:sz w:val="18"/>
                <w:szCs w:val="18"/>
                <w:lang w:val="es-US"/>
              </w:rPr>
              <w:t xml:space="preserve"> No.2/20, Angel Díaz Cruz et al (</w:t>
            </w:r>
            <w:proofErr w:type="spellStart"/>
            <w:r w:rsidRPr="00E42B49">
              <w:rPr>
                <w:rFonts w:ascii="Cambria" w:hAnsi="Cambria"/>
                <w:b/>
                <w:sz w:val="18"/>
                <w:szCs w:val="18"/>
                <w:lang w:val="es-US"/>
              </w:rPr>
              <w:t>Mexico</w:t>
            </w:r>
            <w:proofErr w:type="spellEnd"/>
            <w:r w:rsidRPr="00E42B49">
              <w:rPr>
                <w:rFonts w:ascii="Cambria" w:hAnsi="Cambria"/>
                <w:b/>
                <w:sz w:val="18"/>
                <w:szCs w:val="18"/>
                <w:lang w:val="es-US"/>
              </w:rPr>
              <w:t>)</w:t>
            </w:r>
          </w:p>
        </w:tc>
        <w:tc>
          <w:tcPr>
            <w:tcW w:w="1081" w:type="dxa"/>
            <w:shd w:val="clear" w:color="auto" w:fill="auto"/>
            <w:tcMar>
              <w:top w:w="0" w:type="dxa"/>
              <w:left w:w="108" w:type="dxa"/>
              <w:bottom w:w="0" w:type="dxa"/>
              <w:right w:w="108" w:type="dxa"/>
            </w:tcMar>
            <w:vAlign w:val="center"/>
          </w:tcPr>
          <w:p w14:paraId="62AAE601"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5146A3B5" w14:textId="77777777" w:rsidR="007E31E3" w:rsidRPr="00524435" w:rsidRDefault="007E31E3" w:rsidP="00820229">
            <w:pPr>
              <w:pStyle w:val="NormalWeb"/>
              <w:spacing w:before="0" w:beforeAutospacing="0" w:after="0" w:afterAutospacing="0"/>
              <w:jc w:val="both"/>
              <w:rPr>
                <w:rFonts w:ascii="Cambria" w:hAnsi="Cambria"/>
                <w:b/>
                <w:strike/>
                <w:color w:val="FF0000"/>
                <w:sz w:val="18"/>
                <w:szCs w:val="18"/>
              </w:rPr>
            </w:pPr>
            <w:r w:rsidRPr="00524435">
              <w:rPr>
                <w:rFonts w:ascii="Cambria" w:eastAsia="Arial Unicode MS" w:hAnsi="Cambria"/>
                <w:b/>
                <w:sz w:val="18"/>
                <w:szCs w:val="18"/>
                <w:bdr w:val="nil"/>
              </w:rPr>
              <w:t>Clause II.A.3.2 Obligation to investigate the facts of the case:</w:t>
            </w:r>
            <w:r w:rsidRPr="00524435">
              <w:rPr>
                <w:rFonts w:ascii="Cambria" w:hAnsi="Cambria"/>
                <w:sz w:val="18"/>
                <w:szCs w:val="18"/>
              </w:rPr>
              <w:t xml:space="preserve"> </w:t>
            </w:r>
            <w:r w:rsidRPr="00524435">
              <w:rPr>
                <w:rFonts w:ascii="Cambria" w:hAnsi="Cambria"/>
                <w:b/>
                <w:bCs/>
                <w:sz w:val="18"/>
                <w:szCs w:val="18"/>
              </w:rPr>
              <w:t xml:space="preserve">" "THE PARTIES" </w:t>
            </w:r>
            <w:r w:rsidRPr="00524435">
              <w:rPr>
                <w:rFonts w:ascii="Cambria" w:hAnsi="Cambria"/>
                <w:sz w:val="18"/>
                <w:szCs w:val="18"/>
              </w:rPr>
              <w:t xml:space="preserve">recognize that </w:t>
            </w:r>
            <w:r w:rsidRPr="00524435">
              <w:rPr>
                <w:rFonts w:ascii="Cambria" w:hAnsi="Cambria"/>
                <w:b/>
                <w:bCs/>
                <w:sz w:val="18"/>
                <w:szCs w:val="18"/>
              </w:rPr>
              <w:t xml:space="preserve">"THE MEXICAN STATE" </w:t>
            </w:r>
            <w:r w:rsidRPr="00524435">
              <w:rPr>
                <w:rFonts w:ascii="Cambria" w:hAnsi="Cambria"/>
                <w:sz w:val="18"/>
                <w:szCs w:val="18"/>
              </w:rPr>
              <w:t xml:space="preserve">conducted punitive proceedings against those responsible for the incidents in the instant case under the jurisdiction of the armed forces, pursuant to Mexican law in force at the time of the incidents. </w:t>
            </w:r>
            <w:r w:rsidRPr="00524435">
              <w:rPr>
                <w:rFonts w:ascii="Cambria" w:hAnsi="Cambria"/>
                <w:b/>
                <w:bCs/>
                <w:sz w:val="18"/>
                <w:szCs w:val="18"/>
              </w:rPr>
              <w:t xml:space="preserve">"THE PARTIES" </w:t>
            </w:r>
            <w:r w:rsidRPr="00524435">
              <w:rPr>
                <w:rFonts w:ascii="Cambria" w:hAnsi="Cambria"/>
                <w:sz w:val="18"/>
                <w:szCs w:val="18"/>
              </w:rPr>
              <w:t xml:space="preserve">recognize that, at present, the jurisdiction of the armed forces is not suitable for judging human rights violations. Nevertheless, </w:t>
            </w:r>
            <w:r w:rsidRPr="00524435">
              <w:rPr>
                <w:rFonts w:ascii="Cambria" w:hAnsi="Cambria"/>
                <w:b/>
                <w:bCs/>
                <w:sz w:val="18"/>
                <w:szCs w:val="18"/>
              </w:rPr>
              <w:t xml:space="preserve">"THE PARTIES" </w:t>
            </w:r>
            <w:r w:rsidRPr="00524435">
              <w:rPr>
                <w:rFonts w:ascii="Cambria" w:hAnsi="Cambria"/>
                <w:sz w:val="18"/>
                <w:szCs w:val="18"/>
              </w:rPr>
              <w:t>also recognize the limitations that the principle of double jeopardy (</w:t>
            </w:r>
            <w:r w:rsidRPr="00524435">
              <w:rPr>
                <w:rFonts w:ascii="Cambria" w:hAnsi="Cambria"/>
                <w:i/>
                <w:iCs/>
                <w:sz w:val="18"/>
                <w:szCs w:val="18"/>
              </w:rPr>
              <w:t>no bis in idem</w:t>
            </w:r>
            <w:r w:rsidRPr="00524435">
              <w:rPr>
                <w:rFonts w:ascii="Cambria" w:hAnsi="Cambria"/>
                <w:iCs/>
                <w:sz w:val="18"/>
                <w:szCs w:val="18"/>
              </w:rPr>
              <w:t>)</w:t>
            </w:r>
            <w:r w:rsidRPr="00524435">
              <w:rPr>
                <w:rFonts w:ascii="Cambria" w:hAnsi="Cambria"/>
                <w:i/>
                <w:iCs/>
                <w:sz w:val="18"/>
                <w:szCs w:val="18"/>
              </w:rPr>
              <w:t xml:space="preserve"> </w:t>
            </w:r>
            <w:r w:rsidRPr="00524435">
              <w:rPr>
                <w:rFonts w:ascii="Cambria" w:hAnsi="Cambria"/>
                <w:sz w:val="18"/>
                <w:szCs w:val="18"/>
              </w:rPr>
              <w:t xml:space="preserve">entails for the present case. In accordance with the above, </w:t>
            </w:r>
            <w:r w:rsidRPr="00524435">
              <w:rPr>
                <w:rFonts w:ascii="Cambria" w:hAnsi="Cambria"/>
                <w:b/>
                <w:bCs/>
                <w:sz w:val="18"/>
                <w:szCs w:val="18"/>
              </w:rPr>
              <w:t xml:space="preserve">"THE MEXICAN STATE" </w:t>
            </w:r>
            <w:r w:rsidRPr="00524435">
              <w:rPr>
                <w:rFonts w:ascii="Cambria" w:hAnsi="Cambria"/>
                <w:sz w:val="18"/>
                <w:szCs w:val="18"/>
              </w:rPr>
              <w:t xml:space="preserve">pledges to hold an informative meeting with </w:t>
            </w:r>
            <w:r w:rsidRPr="00524435">
              <w:rPr>
                <w:rFonts w:ascii="Cambria" w:hAnsi="Cambria"/>
                <w:b/>
                <w:bCs/>
                <w:sz w:val="18"/>
                <w:szCs w:val="18"/>
              </w:rPr>
              <w:t xml:space="preserve">"THE VICTIMS" </w:t>
            </w:r>
            <w:r w:rsidRPr="00524435">
              <w:rPr>
                <w:rFonts w:ascii="Cambria" w:hAnsi="Cambria"/>
                <w:sz w:val="18"/>
                <w:szCs w:val="18"/>
              </w:rPr>
              <w:t xml:space="preserve">and </w:t>
            </w:r>
            <w:r w:rsidRPr="00524435">
              <w:rPr>
                <w:rFonts w:ascii="Cambria" w:hAnsi="Cambria"/>
                <w:b/>
                <w:bCs/>
                <w:sz w:val="18"/>
                <w:szCs w:val="18"/>
              </w:rPr>
              <w:t xml:space="preserve">"THE REPRESENTATIVE" </w:t>
            </w:r>
            <w:proofErr w:type="gramStart"/>
            <w:r w:rsidRPr="00524435">
              <w:rPr>
                <w:rFonts w:ascii="Cambria" w:hAnsi="Cambria"/>
                <w:sz w:val="18"/>
                <w:szCs w:val="18"/>
              </w:rPr>
              <w:t>in order to</w:t>
            </w:r>
            <w:proofErr w:type="gramEnd"/>
            <w:r w:rsidRPr="00524435">
              <w:rPr>
                <w:rFonts w:ascii="Cambria" w:hAnsi="Cambria"/>
                <w:sz w:val="18"/>
                <w:szCs w:val="18"/>
              </w:rPr>
              <w:t xml:space="preserve"> inform them of the jurisdictional proceedings conducted in the jurisdiction of the armed forces, the punitive sanctions given to those responsible, and the measures implemented by the State’s security forces to prevent the repetition of a similar action […]</w:t>
            </w:r>
          </w:p>
        </w:tc>
        <w:tc>
          <w:tcPr>
            <w:tcW w:w="1440" w:type="dxa"/>
            <w:gridSpan w:val="2"/>
            <w:shd w:val="clear" w:color="auto" w:fill="auto"/>
            <w:tcMar>
              <w:top w:w="0" w:type="dxa"/>
              <w:left w:w="108" w:type="dxa"/>
              <w:bottom w:w="0" w:type="dxa"/>
              <w:right w:w="108" w:type="dxa"/>
            </w:tcMar>
            <w:vAlign w:val="center"/>
          </w:tcPr>
          <w:p w14:paraId="1E032D73"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26436A59" w14:textId="77777777" w:rsidTr="00820229">
        <w:tc>
          <w:tcPr>
            <w:tcW w:w="562" w:type="dxa"/>
            <w:shd w:val="clear" w:color="auto" w:fill="auto"/>
            <w:tcMar>
              <w:top w:w="0" w:type="dxa"/>
              <w:left w:w="108" w:type="dxa"/>
              <w:bottom w:w="0" w:type="dxa"/>
              <w:right w:w="108" w:type="dxa"/>
            </w:tcMar>
            <w:vAlign w:val="center"/>
          </w:tcPr>
          <w:p w14:paraId="63108CCF"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vAlign w:val="center"/>
          </w:tcPr>
          <w:p w14:paraId="0CF6C622" w14:textId="77777777" w:rsidR="007E31E3" w:rsidRPr="00524435" w:rsidRDefault="007E31E3" w:rsidP="00820229">
            <w:pPr>
              <w:jc w:val="center"/>
              <w:rPr>
                <w:rFonts w:ascii="Cambria" w:hAnsi="Cambria"/>
                <w:b/>
                <w:sz w:val="18"/>
                <w:szCs w:val="18"/>
              </w:rPr>
            </w:pPr>
          </w:p>
        </w:tc>
        <w:tc>
          <w:tcPr>
            <w:tcW w:w="1081" w:type="dxa"/>
            <w:shd w:val="clear" w:color="auto" w:fill="auto"/>
            <w:tcMar>
              <w:top w:w="0" w:type="dxa"/>
              <w:left w:w="108" w:type="dxa"/>
              <w:bottom w:w="0" w:type="dxa"/>
              <w:right w:w="108" w:type="dxa"/>
            </w:tcMar>
            <w:vAlign w:val="center"/>
          </w:tcPr>
          <w:p w14:paraId="721BAD29"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2ACF018C" w14:textId="77777777" w:rsidR="007E31E3" w:rsidRPr="00524435" w:rsidRDefault="007E31E3" w:rsidP="00820229">
            <w:pPr>
              <w:pStyle w:val="NormalWeb"/>
              <w:spacing w:before="0" w:beforeAutospacing="0" w:after="0" w:afterAutospacing="0"/>
              <w:jc w:val="both"/>
              <w:rPr>
                <w:rFonts w:ascii="Cambria" w:hAnsi="Cambria"/>
                <w:sz w:val="18"/>
                <w:szCs w:val="18"/>
              </w:rPr>
            </w:pPr>
            <w:r w:rsidRPr="00524435">
              <w:rPr>
                <w:rFonts w:ascii="Cambria" w:eastAsia="Arial Unicode MS" w:hAnsi="Cambria" w:cstheme="minorBidi"/>
                <w:b/>
                <w:sz w:val="18"/>
                <w:szCs w:val="18"/>
                <w:bdr w:val="nil"/>
                <w:lang w:eastAsia="es-US"/>
              </w:rPr>
              <w:t xml:space="preserve">Clause II.B.3.8 </w:t>
            </w:r>
            <w:r w:rsidRPr="00524435">
              <w:rPr>
                <w:rFonts w:ascii="Cambria" w:hAnsi="Cambria"/>
                <w:b/>
                <w:bCs/>
                <w:sz w:val="18"/>
                <w:szCs w:val="18"/>
              </w:rPr>
              <w:t xml:space="preserve">Employment for the victims. </w:t>
            </w:r>
            <w:r w:rsidRPr="00524435">
              <w:rPr>
                <w:rFonts w:ascii="Cambria" w:hAnsi="Cambria"/>
                <w:sz w:val="18"/>
                <w:szCs w:val="18"/>
              </w:rPr>
              <w:t xml:space="preserve">The </w:t>
            </w:r>
            <w:r w:rsidRPr="00524435">
              <w:rPr>
                <w:rFonts w:ascii="Cambria" w:hAnsi="Cambria"/>
                <w:b/>
                <w:bCs/>
                <w:sz w:val="18"/>
                <w:szCs w:val="18"/>
              </w:rPr>
              <w:t xml:space="preserve">"MEXICAN STATE" </w:t>
            </w:r>
            <w:r w:rsidRPr="00524435">
              <w:rPr>
                <w:rFonts w:ascii="Cambria" w:hAnsi="Cambria"/>
                <w:sz w:val="18"/>
                <w:szCs w:val="18"/>
              </w:rPr>
              <w:t xml:space="preserve">shall take the respective steps to include </w:t>
            </w:r>
            <w:r w:rsidRPr="00524435">
              <w:rPr>
                <w:rFonts w:ascii="Cambria" w:hAnsi="Cambria"/>
                <w:b/>
                <w:bCs/>
                <w:sz w:val="18"/>
                <w:szCs w:val="18"/>
              </w:rPr>
              <w:t xml:space="preserve">José Leonardo López Hernández </w:t>
            </w:r>
            <w:r w:rsidRPr="00524435">
              <w:rPr>
                <w:rFonts w:ascii="Cambria" w:hAnsi="Cambria"/>
                <w:sz w:val="18"/>
                <w:szCs w:val="18"/>
              </w:rPr>
              <w:t xml:space="preserve">and </w:t>
            </w:r>
            <w:r w:rsidRPr="00524435">
              <w:rPr>
                <w:rFonts w:ascii="Cambria" w:hAnsi="Cambria"/>
                <w:b/>
                <w:bCs/>
                <w:sz w:val="18"/>
                <w:szCs w:val="18"/>
              </w:rPr>
              <w:t xml:space="preserve">Ricardo López Hernández </w:t>
            </w:r>
            <w:r w:rsidRPr="00524435">
              <w:rPr>
                <w:rFonts w:ascii="Cambria" w:hAnsi="Cambria"/>
                <w:sz w:val="18"/>
                <w:szCs w:val="18"/>
              </w:rPr>
              <w:t>in the firefighting brigades of the National Forest Commission in San Cristóbal de las Casas beginning in March 2016.</w:t>
            </w:r>
          </w:p>
        </w:tc>
        <w:tc>
          <w:tcPr>
            <w:tcW w:w="1440" w:type="dxa"/>
            <w:gridSpan w:val="2"/>
            <w:shd w:val="clear" w:color="auto" w:fill="auto"/>
            <w:tcMar>
              <w:top w:w="0" w:type="dxa"/>
              <w:left w:w="108" w:type="dxa"/>
              <w:bottom w:w="0" w:type="dxa"/>
              <w:right w:w="108" w:type="dxa"/>
            </w:tcMar>
            <w:vAlign w:val="center"/>
          </w:tcPr>
          <w:p w14:paraId="627B10E1"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696789D7" w14:textId="77777777" w:rsidTr="00820229">
        <w:tc>
          <w:tcPr>
            <w:tcW w:w="562" w:type="dxa"/>
            <w:shd w:val="clear" w:color="auto" w:fill="auto"/>
            <w:tcMar>
              <w:top w:w="0" w:type="dxa"/>
              <w:left w:w="108" w:type="dxa"/>
              <w:bottom w:w="0" w:type="dxa"/>
              <w:right w:w="108" w:type="dxa"/>
            </w:tcMar>
            <w:vAlign w:val="center"/>
          </w:tcPr>
          <w:p w14:paraId="03538D4F"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vAlign w:val="center"/>
          </w:tcPr>
          <w:p w14:paraId="3760D349" w14:textId="77777777" w:rsidR="007E31E3" w:rsidRPr="00524435" w:rsidRDefault="007E31E3" w:rsidP="00820229">
            <w:pPr>
              <w:jc w:val="center"/>
              <w:rPr>
                <w:rFonts w:ascii="Cambria" w:hAnsi="Cambria"/>
                <w:b/>
                <w:sz w:val="18"/>
                <w:szCs w:val="18"/>
              </w:rPr>
            </w:pPr>
          </w:p>
        </w:tc>
        <w:tc>
          <w:tcPr>
            <w:tcW w:w="1081" w:type="dxa"/>
            <w:shd w:val="clear" w:color="auto" w:fill="auto"/>
            <w:tcMar>
              <w:top w:w="0" w:type="dxa"/>
              <w:left w:w="108" w:type="dxa"/>
              <w:bottom w:w="0" w:type="dxa"/>
              <w:right w:w="108" w:type="dxa"/>
            </w:tcMar>
            <w:vAlign w:val="center"/>
          </w:tcPr>
          <w:p w14:paraId="18966B38"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Structural</w:t>
            </w:r>
          </w:p>
        </w:tc>
        <w:tc>
          <w:tcPr>
            <w:tcW w:w="5304" w:type="dxa"/>
            <w:gridSpan w:val="2"/>
            <w:shd w:val="clear" w:color="auto" w:fill="auto"/>
            <w:tcMar>
              <w:top w:w="0" w:type="dxa"/>
              <w:left w:w="108" w:type="dxa"/>
              <w:bottom w:w="0" w:type="dxa"/>
              <w:right w:w="108" w:type="dxa"/>
            </w:tcMar>
            <w:vAlign w:val="center"/>
          </w:tcPr>
          <w:p w14:paraId="5D9C09B3" w14:textId="77777777" w:rsidR="007E31E3" w:rsidRPr="00524435" w:rsidRDefault="007E31E3" w:rsidP="00820229">
            <w:pPr>
              <w:pStyle w:val="NormalWeb"/>
              <w:spacing w:before="0" w:beforeAutospacing="0" w:after="0" w:afterAutospacing="0"/>
              <w:jc w:val="both"/>
              <w:rPr>
                <w:rFonts w:ascii="Cambria" w:hAnsi="Cambria"/>
                <w:sz w:val="18"/>
                <w:szCs w:val="18"/>
              </w:rPr>
            </w:pPr>
            <w:r w:rsidRPr="00524435">
              <w:rPr>
                <w:rFonts w:ascii="Cambria" w:eastAsia="Arial Unicode MS" w:hAnsi="Cambria" w:cstheme="minorBidi"/>
                <w:b/>
                <w:sz w:val="18"/>
                <w:szCs w:val="18"/>
                <w:bdr w:val="nil"/>
                <w:lang w:eastAsia="es-US"/>
              </w:rPr>
              <w:t xml:space="preserve">Clause II. C. 3.11. </w:t>
            </w:r>
            <w:r w:rsidRPr="00524435">
              <w:rPr>
                <w:rFonts w:ascii="Cambria" w:hAnsi="Cambria"/>
                <w:b/>
                <w:bCs/>
                <w:sz w:val="18"/>
                <w:szCs w:val="18"/>
              </w:rPr>
              <w:t xml:space="preserve">Health center and unveiling of a commemorative plaque. </w:t>
            </w:r>
            <w:r w:rsidRPr="00524435">
              <w:rPr>
                <w:rFonts w:ascii="Cambria" w:hAnsi="Cambria"/>
                <w:sz w:val="18"/>
                <w:szCs w:val="18"/>
              </w:rPr>
              <w:t xml:space="preserve">The </w:t>
            </w:r>
            <w:r w:rsidRPr="00524435">
              <w:rPr>
                <w:rFonts w:ascii="Cambria" w:hAnsi="Cambria"/>
                <w:b/>
                <w:bCs/>
                <w:sz w:val="18"/>
                <w:szCs w:val="18"/>
              </w:rPr>
              <w:t xml:space="preserve">"MEXICAN STATE," </w:t>
            </w:r>
            <w:r w:rsidRPr="00524435">
              <w:rPr>
                <w:rFonts w:ascii="Cambria" w:hAnsi="Cambria"/>
                <w:sz w:val="18"/>
                <w:szCs w:val="18"/>
              </w:rPr>
              <w:t xml:space="preserve">through the Health Secretariat of the state of Chiapas, shall name the community clinic of El </w:t>
            </w:r>
            <w:proofErr w:type="spellStart"/>
            <w:r w:rsidRPr="00524435">
              <w:rPr>
                <w:rFonts w:ascii="Cambria" w:hAnsi="Cambria"/>
                <w:sz w:val="18"/>
                <w:szCs w:val="18"/>
              </w:rPr>
              <w:t>Aguaje</w:t>
            </w:r>
            <w:proofErr w:type="spellEnd"/>
            <w:r w:rsidRPr="00524435">
              <w:rPr>
                <w:rFonts w:ascii="Cambria" w:hAnsi="Cambria"/>
                <w:sz w:val="18"/>
                <w:szCs w:val="18"/>
              </w:rPr>
              <w:t>, in the municipality of San Cristóbal de las Casas, Chiapas, "</w:t>
            </w:r>
            <w:proofErr w:type="spellStart"/>
            <w:r w:rsidRPr="00524435">
              <w:rPr>
                <w:rFonts w:ascii="Cambria" w:hAnsi="Cambria"/>
                <w:sz w:val="18"/>
                <w:szCs w:val="18"/>
              </w:rPr>
              <w:t>Ángel</w:t>
            </w:r>
            <w:proofErr w:type="spellEnd"/>
            <w:r w:rsidRPr="00524435">
              <w:rPr>
                <w:rFonts w:ascii="Cambria" w:hAnsi="Cambria"/>
                <w:sz w:val="18"/>
                <w:szCs w:val="18"/>
              </w:rPr>
              <w:t xml:space="preserve"> Díaz Cruz," in tribute to the child who lost his life. In addition, the following actions shall be undertaken: </w:t>
            </w:r>
          </w:p>
          <w:p w14:paraId="462D075F" w14:textId="77777777" w:rsidR="007E31E3" w:rsidRPr="00524435" w:rsidRDefault="007E31E3" w:rsidP="0009324C">
            <w:pPr>
              <w:pStyle w:val="NormalWeb"/>
              <w:numPr>
                <w:ilvl w:val="0"/>
                <w:numId w:val="25"/>
              </w:numPr>
              <w:spacing w:before="0" w:beforeAutospacing="0" w:after="0" w:afterAutospacing="0"/>
              <w:jc w:val="both"/>
              <w:rPr>
                <w:rFonts w:ascii="Cambria" w:hAnsi="Cambria"/>
                <w:sz w:val="18"/>
                <w:szCs w:val="18"/>
              </w:rPr>
            </w:pPr>
            <w:r w:rsidRPr="00524435">
              <w:rPr>
                <w:rFonts w:ascii="Cambria" w:hAnsi="Cambria"/>
                <w:sz w:val="18"/>
                <w:szCs w:val="18"/>
              </w:rPr>
              <w:t xml:space="preserve">A person for the nursing area shall be hired. </w:t>
            </w:r>
          </w:p>
          <w:p w14:paraId="48809E34" w14:textId="77777777" w:rsidR="007E31E3" w:rsidRPr="00524435" w:rsidRDefault="007E31E3" w:rsidP="0009324C">
            <w:pPr>
              <w:pStyle w:val="NormalWeb"/>
              <w:numPr>
                <w:ilvl w:val="0"/>
                <w:numId w:val="25"/>
              </w:numPr>
              <w:spacing w:before="0" w:beforeAutospacing="0" w:after="0" w:afterAutospacing="0"/>
              <w:jc w:val="both"/>
              <w:rPr>
                <w:rFonts w:ascii="Cambria" w:hAnsi="Cambria"/>
                <w:sz w:val="18"/>
                <w:szCs w:val="18"/>
              </w:rPr>
            </w:pPr>
            <w:r w:rsidRPr="00524435">
              <w:rPr>
                <w:rFonts w:ascii="Cambria" w:hAnsi="Cambria"/>
                <w:sz w:val="18"/>
                <w:szCs w:val="18"/>
              </w:rPr>
              <w:t>Change of status of the community health center so that it will become a Mononuclear Clinic.</w:t>
            </w:r>
          </w:p>
          <w:p w14:paraId="094210CD" w14:textId="77777777" w:rsidR="007E31E3" w:rsidRPr="00524435" w:rsidRDefault="007E31E3" w:rsidP="00820229">
            <w:pPr>
              <w:contextualSpacing/>
              <w:jc w:val="both"/>
              <w:rPr>
                <w:rFonts w:ascii="Cambria" w:hAnsi="Cambria"/>
                <w:b/>
                <w:strike/>
                <w:color w:val="FF0000"/>
                <w:sz w:val="18"/>
                <w:szCs w:val="18"/>
              </w:rPr>
            </w:pPr>
            <w:r w:rsidRPr="00524435">
              <w:rPr>
                <w:rFonts w:ascii="Cambria" w:hAnsi="Cambria"/>
                <w:sz w:val="18"/>
                <w:szCs w:val="18"/>
              </w:rPr>
              <w:t xml:space="preserve">In said clinic, the plaque shall be unveiled by the state of Chiapas. </w:t>
            </w:r>
          </w:p>
        </w:tc>
        <w:tc>
          <w:tcPr>
            <w:tcW w:w="1440" w:type="dxa"/>
            <w:gridSpan w:val="2"/>
            <w:shd w:val="clear" w:color="auto" w:fill="auto"/>
            <w:tcMar>
              <w:top w:w="0" w:type="dxa"/>
              <w:left w:w="108" w:type="dxa"/>
              <w:bottom w:w="0" w:type="dxa"/>
              <w:right w:w="108" w:type="dxa"/>
            </w:tcMar>
            <w:vAlign w:val="center"/>
          </w:tcPr>
          <w:p w14:paraId="468B4F21"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0F0901A8" w14:textId="77777777" w:rsidTr="00820229">
        <w:tc>
          <w:tcPr>
            <w:tcW w:w="562" w:type="dxa"/>
            <w:shd w:val="clear" w:color="auto" w:fill="auto"/>
            <w:tcMar>
              <w:top w:w="0" w:type="dxa"/>
              <w:left w:w="108" w:type="dxa"/>
              <w:bottom w:w="0" w:type="dxa"/>
              <w:right w:w="108" w:type="dxa"/>
            </w:tcMar>
            <w:vAlign w:val="center"/>
          </w:tcPr>
          <w:p w14:paraId="441FE9AD"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vAlign w:val="center"/>
          </w:tcPr>
          <w:p w14:paraId="17547342" w14:textId="77777777" w:rsidR="007E31E3" w:rsidRPr="00524435" w:rsidRDefault="007E31E3" w:rsidP="00820229">
            <w:pPr>
              <w:jc w:val="center"/>
              <w:rPr>
                <w:rFonts w:ascii="Cambria" w:hAnsi="Cambria"/>
                <w:b/>
                <w:sz w:val="18"/>
                <w:szCs w:val="18"/>
              </w:rPr>
            </w:pPr>
          </w:p>
        </w:tc>
        <w:tc>
          <w:tcPr>
            <w:tcW w:w="1081" w:type="dxa"/>
            <w:shd w:val="clear" w:color="auto" w:fill="auto"/>
            <w:tcMar>
              <w:top w:w="0" w:type="dxa"/>
              <w:left w:w="108" w:type="dxa"/>
              <w:bottom w:w="0" w:type="dxa"/>
              <w:right w:w="108" w:type="dxa"/>
            </w:tcMar>
            <w:vAlign w:val="center"/>
          </w:tcPr>
          <w:p w14:paraId="1DD6638D"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44B5D105" w14:textId="77777777" w:rsidR="007E31E3" w:rsidRPr="00524435" w:rsidRDefault="007E31E3" w:rsidP="00820229">
            <w:pPr>
              <w:pStyle w:val="NormalWeb"/>
              <w:spacing w:before="0" w:beforeAutospacing="0" w:after="0" w:afterAutospacing="0"/>
              <w:jc w:val="both"/>
              <w:rPr>
                <w:rFonts w:ascii="Cambria" w:hAnsi="Cambria"/>
                <w:sz w:val="18"/>
                <w:szCs w:val="18"/>
              </w:rPr>
            </w:pPr>
            <w:r w:rsidRPr="00524435">
              <w:rPr>
                <w:rFonts w:ascii="Cambria" w:eastAsia="Arial Unicode MS" w:hAnsi="Cambria" w:cstheme="minorBidi"/>
                <w:b/>
                <w:sz w:val="18"/>
                <w:szCs w:val="18"/>
                <w:bdr w:val="nil"/>
                <w:lang w:eastAsia="es-US"/>
              </w:rPr>
              <w:t xml:space="preserve">Clause II. E. 3.15. </w:t>
            </w:r>
            <w:r w:rsidRPr="00524435">
              <w:rPr>
                <w:rFonts w:ascii="Cambria" w:hAnsi="Cambria"/>
                <w:b/>
                <w:bCs/>
                <w:sz w:val="18"/>
                <w:szCs w:val="18"/>
              </w:rPr>
              <w:t xml:space="preserve">Delivery of the Production Project: </w:t>
            </w:r>
            <w:r w:rsidRPr="00524435">
              <w:rPr>
                <w:rFonts w:ascii="Cambria" w:hAnsi="Cambria"/>
                <w:sz w:val="18"/>
                <w:szCs w:val="18"/>
              </w:rPr>
              <w:t xml:space="preserve">As a measure of compensation, the </w:t>
            </w:r>
            <w:r w:rsidRPr="00524435">
              <w:rPr>
                <w:rFonts w:ascii="Cambria" w:hAnsi="Cambria"/>
                <w:b/>
                <w:bCs/>
                <w:sz w:val="18"/>
                <w:szCs w:val="18"/>
              </w:rPr>
              <w:t xml:space="preserve">"MEXICAN STATE,” </w:t>
            </w:r>
            <w:r w:rsidRPr="00524435">
              <w:rPr>
                <w:rFonts w:ascii="Cambria" w:hAnsi="Cambria"/>
                <w:sz w:val="18"/>
                <w:szCs w:val="18"/>
              </w:rPr>
              <w:t xml:space="preserve">through the government of the state of Chiapas, the </w:t>
            </w:r>
            <w:r w:rsidRPr="00524435">
              <w:rPr>
                <w:rFonts w:ascii="Cambria" w:hAnsi="Cambria"/>
                <w:b/>
                <w:bCs/>
                <w:sz w:val="18"/>
                <w:szCs w:val="18"/>
              </w:rPr>
              <w:t xml:space="preserve">"SG OF CHIAPAS" </w:t>
            </w:r>
            <w:r w:rsidRPr="00524435">
              <w:rPr>
                <w:rFonts w:ascii="Cambria" w:hAnsi="Cambria"/>
                <w:sz w:val="18"/>
                <w:szCs w:val="18"/>
              </w:rPr>
              <w:t xml:space="preserve">pledges to implement a production project for each one of </w:t>
            </w:r>
            <w:r w:rsidRPr="00524435">
              <w:rPr>
                <w:rFonts w:ascii="Cambria" w:hAnsi="Cambria"/>
                <w:b/>
                <w:bCs/>
                <w:sz w:val="18"/>
                <w:szCs w:val="18"/>
              </w:rPr>
              <w:t xml:space="preserve">"THE VICTIMS” </w:t>
            </w:r>
            <w:r w:rsidRPr="00524435">
              <w:rPr>
                <w:rFonts w:ascii="Cambria" w:hAnsi="Cambria"/>
                <w:bCs/>
                <w:sz w:val="18"/>
                <w:szCs w:val="18"/>
              </w:rPr>
              <w:t>from among the current programs in various competent state entities in conformity with the applicable law and regulatory framework</w:t>
            </w:r>
            <w:r w:rsidRPr="00524435">
              <w:rPr>
                <w:rFonts w:ascii="Cambria" w:hAnsi="Cambria"/>
                <w:sz w:val="18"/>
                <w:szCs w:val="18"/>
              </w:rPr>
              <w:t>.</w:t>
            </w:r>
          </w:p>
        </w:tc>
        <w:tc>
          <w:tcPr>
            <w:tcW w:w="1440" w:type="dxa"/>
            <w:gridSpan w:val="2"/>
            <w:shd w:val="clear" w:color="auto" w:fill="auto"/>
            <w:tcMar>
              <w:top w:w="0" w:type="dxa"/>
              <w:left w:w="108" w:type="dxa"/>
              <w:bottom w:w="0" w:type="dxa"/>
              <w:right w:w="108" w:type="dxa"/>
            </w:tcMar>
            <w:vAlign w:val="center"/>
          </w:tcPr>
          <w:p w14:paraId="0E207A85"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7FBBC8FB" w14:textId="77777777" w:rsidTr="00820229">
        <w:tc>
          <w:tcPr>
            <w:tcW w:w="562" w:type="dxa"/>
            <w:shd w:val="clear" w:color="auto" w:fill="D9D9D9" w:themeFill="background1" w:themeFillShade="D9"/>
            <w:tcMar>
              <w:top w:w="0" w:type="dxa"/>
              <w:left w:w="108" w:type="dxa"/>
              <w:bottom w:w="0" w:type="dxa"/>
              <w:right w:w="108" w:type="dxa"/>
            </w:tcMar>
            <w:vAlign w:val="center"/>
          </w:tcPr>
          <w:p w14:paraId="67914C7E"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val="restart"/>
            <w:shd w:val="clear" w:color="auto" w:fill="D9D9D9" w:themeFill="background1" w:themeFillShade="D9"/>
            <w:vAlign w:val="center"/>
          </w:tcPr>
          <w:p w14:paraId="4C305C08"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Petition 735/07,</w:t>
            </w:r>
          </w:p>
          <w:p w14:paraId="76478C13" w14:textId="77777777" w:rsidR="007E31E3" w:rsidRPr="00E42B49" w:rsidRDefault="007E31E3" w:rsidP="00820229">
            <w:pPr>
              <w:jc w:val="center"/>
              <w:rPr>
                <w:rFonts w:ascii="Cambria" w:hAnsi="Cambria"/>
                <w:b/>
                <w:sz w:val="18"/>
                <w:szCs w:val="18"/>
                <w:lang w:val="es-US"/>
              </w:rPr>
            </w:pPr>
            <w:proofErr w:type="spellStart"/>
            <w:r w:rsidRPr="00E42B49">
              <w:rPr>
                <w:rFonts w:ascii="Cambria" w:hAnsi="Cambria"/>
                <w:b/>
                <w:sz w:val="18"/>
                <w:szCs w:val="18"/>
                <w:lang w:val="es-US"/>
              </w:rPr>
              <w:t>Report</w:t>
            </w:r>
            <w:proofErr w:type="spellEnd"/>
            <w:r w:rsidRPr="00E42B49">
              <w:rPr>
                <w:rFonts w:ascii="Cambria" w:hAnsi="Cambria"/>
                <w:b/>
                <w:sz w:val="18"/>
                <w:szCs w:val="18"/>
                <w:lang w:val="es-US"/>
              </w:rPr>
              <w:t xml:space="preserve"> No.110/20, Ismael </w:t>
            </w:r>
            <w:proofErr w:type="spellStart"/>
            <w:r w:rsidRPr="00E42B49">
              <w:rPr>
                <w:rFonts w:ascii="Cambria" w:hAnsi="Cambria"/>
                <w:b/>
                <w:sz w:val="18"/>
                <w:szCs w:val="18"/>
                <w:lang w:val="es-US"/>
              </w:rPr>
              <w:t>Mondragon</w:t>
            </w:r>
            <w:proofErr w:type="spellEnd"/>
            <w:r w:rsidRPr="00E42B49">
              <w:rPr>
                <w:rFonts w:ascii="Cambria" w:hAnsi="Cambria"/>
                <w:b/>
                <w:sz w:val="18"/>
                <w:szCs w:val="18"/>
                <w:lang w:val="es-US"/>
              </w:rPr>
              <w:t xml:space="preserve"> Molina</w:t>
            </w:r>
            <w:r w:rsidRPr="00E42B49">
              <w:rPr>
                <w:rFonts w:ascii="Cambria" w:hAnsi="Cambria"/>
                <w:b/>
                <w:sz w:val="18"/>
                <w:szCs w:val="18"/>
                <w:lang w:val="es-US"/>
              </w:rPr>
              <w:br/>
              <w:t xml:space="preserve"> (</w:t>
            </w:r>
            <w:proofErr w:type="spellStart"/>
            <w:r w:rsidRPr="00E42B49">
              <w:rPr>
                <w:rFonts w:ascii="Cambria" w:hAnsi="Cambria"/>
                <w:b/>
                <w:sz w:val="18"/>
                <w:szCs w:val="18"/>
                <w:lang w:val="es-US"/>
              </w:rPr>
              <w:t>Mexico</w:t>
            </w:r>
            <w:proofErr w:type="spellEnd"/>
            <w:r w:rsidRPr="00E42B49">
              <w:rPr>
                <w:rFonts w:ascii="Cambria" w:hAnsi="Cambria"/>
                <w:b/>
                <w:sz w:val="18"/>
                <w:szCs w:val="18"/>
                <w:lang w:val="es-US"/>
              </w:rPr>
              <w:t>)</w:t>
            </w:r>
          </w:p>
        </w:tc>
        <w:tc>
          <w:tcPr>
            <w:tcW w:w="1081" w:type="dxa"/>
            <w:shd w:val="clear" w:color="auto" w:fill="D9D9D9" w:themeFill="background1" w:themeFillShade="D9"/>
            <w:tcMar>
              <w:top w:w="0" w:type="dxa"/>
              <w:left w:w="108" w:type="dxa"/>
              <w:bottom w:w="0" w:type="dxa"/>
              <w:right w:w="108" w:type="dxa"/>
            </w:tcMar>
            <w:vAlign w:val="center"/>
          </w:tcPr>
          <w:p w14:paraId="31D5A7B2"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6C8F15A1" w14:textId="77777777" w:rsidR="007E31E3" w:rsidRPr="00524435" w:rsidRDefault="007E31E3" w:rsidP="00820229">
            <w:pPr>
              <w:pStyle w:val="NormalWeb"/>
              <w:spacing w:before="0" w:beforeAutospacing="0" w:after="0" w:afterAutospacing="0"/>
              <w:jc w:val="both"/>
              <w:rPr>
                <w:rFonts w:ascii="Cambria" w:hAnsi="Cambria"/>
                <w:sz w:val="18"/>
                <w:szCs w:val="18"/>
              </w:rPr>
            </w:pPr>
            <w:r w:rsidRPr="00524435">
              <w:rPr>
                <w:rFonts w:ascii="Cambria" w:eastAsia="Arial Unicode MS" w:hAnsi="Cambria" w:cstheme="minorBidi"/>
                <w:b/>
                <w:sz w:val="18"/>
                <w:szCs w:val="18"/>
                <w:bdr w:val="nil"/>
                <w:lang w:eastAsia="es-US"/>
              </w:rPr>
              <w:t xml:space="preserve">Clause II.A 3.2 Rehabilitation measures regarding health: </w:t>
            </w:r>
            <w:r w:rsidRPr="00524435">
              <w:rPr>
                <w:rFonts w:ascii="Cambria" w:hAnsi="Cambria"/>
                <w:sz w:val="18"/>
                <w:szCs w:val="18"/>
              </w:rPr>
              <w:t>The "</w:t>
            </w:r>
            <w:r w:rsidRPr="00524435">
              <w:rPr>
                <w:rFonts w:ascii="Cambria" w:hAnsi="Cambria"/>
                <w:b/>
                <w:bCs/>
                <w:sz w:val="18"/>
                <w:szCs w:val="18"/>
              </w:rPr>
              <w:t>MEXICAN STATE</w:t>
            </w:r>
            <w:r w:rsidRPr="00524435">
              <w:rPr>
                <w:rFonts w:ascii="Cambria" w:hAnsi="Cambria"/>
                <w:sz w:val="18"/>
                <w:szCs w:val="18"/>
              </w:rPr>
              <w:t>" undertakes to provide each one of "</w:t>
            </w:r>
            <w:r w:rsidRPr="00524435">
              <w:rPr>
                <w:rFonts w:ascii="Cambria" w:hAnsi="Cambria"/>
                <w:b/>
                <w:bCs/>
                <w:sz w:val="18"/>
                <w:szCs w:val="18"/>
              </w:rPr>
              <w:t>THE VICTIMS</w:t>
            </w:r>
            <w:r w:rsidRPr="00524435">
              <w:rPr>
                <w:rFonts w:ascii="Cambria" w:hAnsi="Cambria"/>
                <w:sz w:val="18"/>
                <w:szCs w:val="18"/>
              </w:rPr>
              <w:t xml:space="preserve">" priority, free, and adequate medical and psychological care services, by designing personally tailored health roadmap that takes into consideration the information of each one of the beneficiaries, as well as their place of residence and their accessibility to existing services depending on the distance. </w:t>
            </w:r>
          </w:p>
        </w:tc>
        <w:tc>
          <w:tcPr>
            <w:tcW w:w="1440" w:type="dxa"/>
            <w:gridSpan w:val="2"/>
            <w:shd w:val="clear" w:color="auto" w:fill="D9D9D9" w:themeFill="background1" w:themeFillShade="D9"/>
            <w:tcMar>
              <w:top w:w="0" w:type="dxa"/>
              <w:left w:w="108" w:type="dxa"/>
              <w:bottom w:w="0" w:type="dxa"/>
              <w:right w:w="108" w:type="dxa"/>
            </w:tcMar>
            <w:vAlign w:val="center"/>
          </w:tcPr>
          <w:p w14:paraId="483DA3A5"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3B3FD779" w14:textId="77777777" w:rsidTr="00820229">
        <w:tc>
          <w:tcPr>
            <w:tcW w:w="562" w:type="dxa"/>
            <w:shd w:val="clear" w:color="auto" w:fill="D9D9D9" w:themeFill="background1" w:themeFillShade="D9"/>
            <w:tcMar>
              <w:top w:w="0" w:type="dxa"/>
              <w:left w:w="108" w:type="dxa"/>
              <w:bottom w:w="0" w:type="dxa"/>
              <w:right w:w="108" w:type="dxa"/>
            </w:tcMar>
            <w:vAlign w:val="center"/>
          </w:tcPr>
          <w:p w14:paraId="621A2F6E"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219A7EAE"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3EFAAC62"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31B3F6E8" w14:textId="77777777" w:rsidR="007E31E3" w:rsidRPr="00524435" w:rsidRDefault="007E31E3" w:rsidP="00820229">
            <w:pPr>
              <w:pStyle w:val="NormalWeb"/>
              <w:spacing w:before="0" w:beforeAutospacing="0" w:after="0" w:afterAutospacing="0"/>
              <w:jc w:val="both"/>
              <w:rPr>
                <w:rFonts w:ascii="Cambria" w:hAnsi="Cambria"/>
                <w:sz w:val="18"/>
                <w:szCs w:val="18"/>
              </w:rPr>
            </w:pPr>
            <w:r w:rsidRPr="00524435">
              <w:rPr>
                <w:rFonts w:ascii="Cambria" w:eastAsia="Arial Unicode MS" w:hAnsi="Cambria" w:cstheme="minorBidi"/>
                <w:b/>
                <w:sz w:val="18"/>
                <w:szCs w:val="18"/>
                <w:bdr w:val="nil"/>
                <w:lang w:eastAsia="es-US"/>
              </w:rPr>
              <w:t xml:space="preserve">Clause III.B.3.5 </w:t>
            </w:r>
            <w:r w:rsidRPr="00524435">
              <w:rPr>
                <w:rFonts w:ascii="Cambria" w:hAnsi="Cambria"/>
                <w:b/>
                <w:bCs/>
                <w:sz w:val="18"/>
                <w:szCs w:val="18"/>
              </w:rPr>
              <w:t xml:space="preserve">Unveiling of commemorative plaque and bust in the Children’s Hospital of the State of Sonora. </w:t>
            </w:r>
            <w:proofErr w:type="gramStart"/>
            <w:r w:rsidRPr="00524435">
              <w:rPr>
                <w:rFonts w:ascii="Cambria" w:hAnsi="Cambria"/>
                <w:sz w:val="18"/>
                <w:szCs w:val="18"/>
              </w:rPr>
              <w:t>For the purpose of</w:t>
            </w:r>
            <w:proofErr w:type="gramEnd"/>
            <w:r w:rsidRPr="00524435">
              <w:rPr>
                <w:rFonts w:ascii="Cambria" w:hAnsi="Cambria"/>
                <w:sz w:val="18"/>
                <w:szCs w:val="18"/>
              </w:rPr>
              <w:t xml:space="preserve"> rendering tribute to the memory of Ismael Mondragon Molina, the "</w:t>
            </w:r>
            <w:r w:rsidRPr="00524435">
              <w:rPr>
                <w:rFonts w:ascii="Cambria" w:hAnsi="Cambria"/>
                <w:b/>
                <w:bCs/>
                <w:sz w:val="18"/>
                <w:szCs w:val="18"/>
              </w:rPr>
              <w:t>MEXICAN STATE,</w:t>
            </w:r>
            <w:r w:rsidRPr="00524435">
              <w:rPr>
                <w:rFonts w:ascii="Cambria" w:hAnsi="Cambria"/>
                <w:sz w:val="18"/>
                <w:szCs w:val="18"/>
              </w:rPr>
              <w:t>" in particular the health authorities of "</w:t>
            </w:r>
            <w:r w:rsidRPr="00524435">
              <w:rPr>
                <w:rFonts w:ascii="Cambria" w:hAnsi="Cambria"/>
                <w:b/>
                <w:bCs/>
                <w:sz w:val="18"/>
                <w:szCs w:val="18"/>
              </w:rPr>
              <w:t xml:space="preserve">THE </w:t>
            </w:r>
            <w:r w:rsidRPr="00524435">
              <w:rPr>
                <w:rFonts w:ascii="Cambria" w:hAnsi="Cambria"/>
                <w:b/>
                <w:bCs/>
                <w:sz w:val="18"/>
                <w:szCs w:val="18"/>
              </w:rPr>
              <w:lastRenderedPageBreak/>
              <w:t>ENTITY,”</w:t>
            </w:r>
            <w:r w:rsidRPr="00524435">
              <w:rPr>
                <w:rFonts w:ascii="Cambria" w:hAnsi="Cambria"/>
                <w:sz w:val="18"/>
                <w:szCs w:val="18"/>
              </w:rPr>
              <w:t xml:space="preserve"> shall take steps to install a commemorative plaque and bust at Children’s Hospital of the state of Sonora, which shall include a commemorative text. </w:t>
            </w:r>
          </w:p>
          <w:p w14:paraId="6013EACF" w14:textId="77777777" w:rsidR="007E31E3" w:rsidRPr="00524435" w:rsidRDefault="007E31E3" w:rsidP="00820229">
            <w:pPr>
              <w:pStyle w:val="NormalWeb"/>
              <w:spacing w:before="0" w:beforeAutospacing="0" w:after="0" w:afterAutospacing="0"/>
              <w:jc w:val="both"/>
              <w:rPr>
                <w:rFonts w:ascii="Cambria" w:hAnsi="Cambria"/>
                <w:b/>
                <w:strike/>
                <w:color w:val="FF0000"/>
                <w:sz w:val="18"/>
                <w:szCs w:val="18"/>
              </w:rPr>
            </w:pPr>
            <w:r w:rsidRPr="00524435">
              <w:rPr>
                <w:rFonts w:ascii="Cambria" w:hAnsi="Cambria"/>
                <w:sz w:val="18"/>
                <w:szCs w:val="18"/>
              </w:rPr>
              <w:t>The specific contents of the present clause shall be incorporated into the present agreement in Annex 3 and shall be agreed upon by consensus by "</w:t>
            </w:r>
            <w:r w:rsidRPr="00524435">
              <w:rPr>
                <w:rFonts w:ascii="Cambria" w:hAnsi="Cambria"/>
                <w:b/>
                <w:bCs/>
                <w:sz w:val="18"/>
                <w:szCs w:val="18"/>
              </w:rPr>
              <w:t>THE PARTIES</w:t>
            </w:r>
            <w:r w:rsidRPr="00524435">
              <w:rPr>
                <w:rFonts w:ascii="Cambria" w:hAnsi="Cambria"/>
                <w:sz w:val="18"/>
                <w:szCs w:val="18"/>
              </w:rPr>
              <w:t>" within than six months, at the latest, as of the signing of the present agreement.</w:t>
            </w:r>
          </w:p>
        </w:tc>
        <w:tc>
          <w:tcPr>
            <w:tcW w:w="1440" w:type="dxa"/>
            <w:gridSpan w:val="2"/>
            <w:shd w:val="clear" w:color="auto" w:fill="D9D9D9" w:themeFill="background1" w:themeFillShade="D9"/>
            <w:tcMar>
              <w:top w:w="0" w:type="dxa"/>
              <w:left w:w="108" w:type="dxa"/>
              <w:bottom w:w="0" w:type="dxa"/>
              <w:right w:w="108" w:type="dxa"/>
            </w:tcMar>
            <w:vAlign w:val="center"/>
          </w:tcPr>
          <w:p w14:paraId="772400CE"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lastRenderedPageBreak/>
              <w:t>Partial 2021</w:t>
            </w:r>
          </w:p>
        </w:tc>
      </w:tr>
      <w:tr w:rsidR="007E31E3" w:rsidRPr="00524435" w14:paraId="63FEB62C" w14:textId="77777777" w:rsidTr="00820229">
        <w:tc>
          <w:tcPr>
            <w:tcW w:w="562" w:type="dxa"/>
            <w:shd w:val="clear" w:color="auto" w:fill="D9D9D9" w:themeFill="background1" w:themeFillShade="D9"/>
            <w:tcMar>
              <w:top w:w="0" w:type="dxa"/>
              <w:left w:w="108" w:type="dxa"/>
              <w:bottom w:w="0" w:type="dxa"/>
              <w:right w:w="108" w:type="dxa"/>
            </w:tcMar>
            <w:vAlign w:val="center"/>
          </w:tcPr>
          <w:p w14:paraId="1B3A0185"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1B590683" w14:textId="77777777" w:rsidR="007E31E3" w:rsidRPr="00524435" w:rsidRDefault="007E31E3" w:rsidP="00820229">
            <w:pPr>
              <w:jc w:val="cente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415B9619"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719A13FF" w14:textId="77777777" w:rsidR="007E31E3" w:rsidRPr="00524435" w:rsidRDefault="007E31E3" w:rsidP="00820229">
            <w:pPr>
              <w:pStyle w:val="NormalWeb"/>
              <w:spacing w:before="0" w:beforeAutospacing="0" w:after="0" w:afterAutospacing="0"/>
              <w:jc w:val="both"/>
              <w:rPr>
                <w:rFonts w:ascii="Cambria" w:hAnsi="Cambria"/>
                <w:sz w:val="18"/>
                <w:szCs w:val="18"/>
              </w:rPr>
            </w:pPr>
            <w:r w:rsidRPr="00524435">
              <w:rPr>
                <w:rFonts w:ascii="Cambria" w:eastAsia="Arial Unicode MS" w:hAnsi="Cambria" w:cstheme="minorBidi"/>
                <w:b/>
                <w:sz w:val="18"/>
                <w:szCs w:val="18"/>
                <w:bdr w:val="nil"/>
                <w:lang w:eastAsia="es-US"/>
              </w:rPr>
              <w:t xml:space="preserve">Clause III.D.3.10. </w:t>
            </w:r>
            <w:r w:rsidRPr="00524435">
              <w:rPr>
                <w:rFonts w:ascii="Cambria" w:hAnsi="Cambria"/>
                <w:b/>
                <w:bCs/>
                <w:sz w:val="18"/>
                <w:szCs w:val="18"/>
              </w:rPr>
              <w:t>Delivery of the Productive Project</w:t>
            </w:r>
            <w:r w:rsidRPr="00524435">
              <w:rPr>
                <w:rFonts w:ascii="Cambria" w:hAnsi="Cambria"/>
                <w:sz w:val="18"/>
                <w:szCs w:val="18"/>
              </w:rPr>
              <w:t>. As a measure of compensation, the "</w:t>
            </w:r>
            <w:r w:rsidRPr="00524435">
              <w:rPr>
                <w:rFonts w:ascii="Cambria" w:hAnsi="Cambria"/>
                <w:b/>
                <w:bCs/>
                <w:sz w:val="18"/>
                <w:szCs w:val="18"/>
              </w:rPr>
              <w:t>MEXICAN STATE,</w:t>
            </w:r>
            <w:r w:rsidRPr="00524435">
              <w:rPr>
                <w:rFonts w:ascii="Cambria" w:hAnsi="Cambria"/>
                <w:sz w:val="18"/>
                <w:szCs w:val="18"/>
              </w:rPr>
              <w:t xml:space="preserve">" through the </w:t>
            </w:r>
            <w:r w:rsidRPr="00524435">
              <w:rPr>
                <w:rFonts w:ascii="Cambria" w:hAnsi="Cambria"/>
                <w:b/>
                <w:bCs/>
                <w:sz w:val="18"/>
                <w:szCs w:val="18"/>
              </w:rPr>
              <w:t>SEGOB</w:t>
            </w:r>
            <w:r w:rsidRPr="00524435">
              <w:rPr>
                <w:rFonts w:ascii="Cambria" w:hAnsi="Cambria"/>
                <w:sz w:val="18"/>
                <w:szCs w:val="18"/>
              </w:rPr>
              <w:t>, pledges to take steps to secure access to possible support for “productive projects” for "</w:t>
            </w:r>
            <w:r w:rsidRPr="00524435">
              <w:rPr>
                <w:rFonts w:ascii="Cambria" w:hAnsi="Cambria"/>
                <w:b/>
                <w:bCs/>
                <w:sz w:val="18"/>
                <w:szCs w:val="18"/>
              </w:rPr>
              <w:t>THE VICTIMS.</w:t>
            </w:r>
            <w:r w:rsidRPr="00524435">
              <w:rPr>
                <w:rFonts w:ascii="Cambria" w:hAnsi="Cambria"/>
                <w:sz w:val="18"/>
                <w:szCs w:val="18"/>
              </w:rPr>
              <w:t xml:space="preserve">" Awarding these projects shall be subject to the regulations and provisions which have been established for this purpose by the institutions that can award them in the federative entities in which the victims are residents. </w:t>
            </w:r>
          </w:p>
          <w:p w14:paraId="3EFE1273" w14:textId="77777777" w:rsidR="007E31E3" w:rsidRPr="00524435" w:rsidRDefault="007E31E3" w:rsidP="00820229">
            <w:pPr>
              <w:contextualSpacing/>
              <w:jc w:val="both"/>
              <w:rPr>
                <w:rFonts w:ascii="Cambria" w:hAnsi="Cambria"/>
                <w:b/>
                <w:strike/>
                <w:color w:val="FF0000"/>
                <w:sz w:val="18"/>
                <w:szCs w:val="18"/>
              </w:rPr>
            </w:pPr>
            <w:r w:rsidRPr="00524435">
              <w:rPr>
                <w:rFonts w:ascii="Cambria" w:hAnsi="Cambria"/>
                <w:sz w:val="18"/>
                <w:szCs w:val="18"/>
              </w:rPr>
              <w:t>The number of productive projects to be provided, after previously established requirements have been duly met, can in no way be more than one for each one of the indirect victims.</w:t>
            </w:r>
          </w:p>
        </w:tc>
        <w:tc>
          <w:tcPr>
            <w:tcW w:w="1440" w:type="dxa"/>
            <w:gridSpan w:val="2"/>
            <w:shd w:val="clear" w:color="auto" w:fill="D9D9D9" w:themeFill="background1" w:themeFillShade="D9"/>
            <w:tcMar>
              <w:top w:w="0" w:type="dxa"/>
              <w:left w:w="108" w:type="dxa"/>
              <w:bottom w:w="0" w:type="dxa"/>
              <w:right w:w="108" w:type="dxa"/>
            </w:tcMar>
            <w:vAlign w:val="center"/>
          </w:tcPr>
          <w:p w14:paraId="3416A683"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Total 2021</w:t>
            </w:r>
          </w:p>
        </w:tc>
      </w:tr>
      <w:tr w:rsidR="007E31E3" w:rsidRPr="00524435" w14:paraId="31AF2C4B" w14:textId="77777777" w:rsidTr="00820229">
        <w:tc>
          <w:tcPr>
            <w:tcW w:w="562" w:type="dxa"/>
            <w:shd w:val="clear" w:color="auto" w:fill="auto"/>
            <w:tcMar>
              <w:top w:w="0" w:type="dxa"/>
              <w:left w:w="108" w:type="dxa"/>
              <w:bottom w:w="0" w:type="dxa"/>
              <w:right w:w="108" w:type="dxa"/>
            </w:tcMar>
            <w:vAlign w:val="center"/>
          </w:tcPr>
          <w:p w14:paraId="3D9F93DF"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val="restart"/>
            <w:shd w:val="clear" w:color="auto" w:fill="auto"/>
            <w:vAlign w:val="center"/>
          </w:tcPr>
          <w:p w14:paraId="2DF89C58" w14:textId="77777777" w:rsidR="007E31E3" w:rsidRPr="00E42B49" w:rsidRDefault="007E31E3" w:rsidP="00820229">
            <w:pPr>
              <w:jc w:val="center"/>
              <w:rPr>
                <w:rFonts w:ascii="Cambria" w:hAnsi="Cambria"/>
                <w:b/>
                <w:bCs/>
                <w:sz w:val="18"/>
                <w:szCs w:val="18"/>
                <w:lang w:val="es-US"/>
              </w:rPr>
            </w:pPr>
            <w:r w:rsidRPr="00E42B49">
              <w:rPr>
                <w:rFonts w:ascii="Cambria" w:eastAsia="MS Mincho" w:hAnsi="Cambria" w:cs="Arial"/>
                <w:b/>
                <w:bCs/>
                <w:sz w:val="18"/>
                <w:szCs w:val="18"/>
                <w:lang w:val="es-US" w:eastAsia="es-ES_tradnl"/>
              </w:rPr>
              <w:t xml:space="preserve">Case 12.610, </w:t>
            </w:r>
            <w:proofErr w:type="spellStart"/>
            <w:r w:rsidRPr="00E42B49">
              <w:rPr>
                <w:rFonts w:ascii="Cambria" w:eastAsia="MS Mincho" w:hAnsi="Cambria" w:cs="Arial"/>
                <w:b/>
                <w:bCs/>
                <w:sz w:val="18"/>
                <w:szCs w:val="18"/>
                <w:lang w:val="es-US" w:eastAsia="es-ES_tradnl"/>
              </w:rPr>
              <w:t>Report</w:t>
            </w:r>
            <w:proofErr w:type="spellEnd"/>
            <w:r w:rsidRPr="00E42B49">
              <w:rPr>
                <w:rFonts w:ascii="Cambria" w:eastAsia="MS Mincho" w:hAnsi="Cambria" w:cs="Arial"/>
                <w:b/>
                <w:bCs/>
                <w:sz w:val="18"/>
                <w:szCs w:val="18"/>
                <w:lang w:val="es-US" w:eastAsia="es-ES_tradnl"/>
              </w:rPr>
              <w:t xml:space="preserve"> No.208/21, </w:t>
            </w:r>
            <w:r w:rsidRPr="00E42B49">
              <w:rPr>
                <w:rFonts w:ascii="Cambria" w:hAnsi="Cambria"/>
                <w:b/>
                <w:bCs/>
                <w:color w:val="000000"/>
                <w:sz w:val="18"/>
                <w:szCs w:val="18"/>
                <w:lang w:val="es-US"/>
              </w:rPr>
              <w:t xml:space="preserve">Faustino Jiménez Álvarez </w:t>
            </w:r>
            <w:r w:rsidRPr="00E42B49">
              <w:rPr>
                <w:rFonts w:ascii="Cambria" w:eastAsia="MS Mincho" w:hAnsi="Cambria" w:cs="Arial"/>
                <w:b/>
                <w:bCs/>
                <w:sz w:val="18"/>
                <w:szCs w:val="18"/>
                <w:lang w:val="es-US" w:eastAsia="es-ES_tradnl"/>
              </w:rPr>
              <w:t>(</w:t>
            </w:r>
            <w:proofErr w:type="spellStart"/>
            <w:r w:rsidRPr="00E42B49">
              <w:rPr>
                <w:rFonts w:ascii="Cambria" w:eastAsia="MS Mincho" w:hAnsi="Cambria" w:cs="Arial"/>
                <w:b/>
                <w:bCs/>
                <w:sz w:val="18"/>
                <w:szCs w:val="18"/>
                <w:lang w:val="es-US" w:eastAsia="es-ES_tradnl"/>
              </w:rPr>
              <w:t>Mexico</w:t>
            </w:r>
            <w:proofErr w:type="spellEnd"/>
            <w:r w:rsidRPr="00E42B49">
              <w:rPr>
                <w:rFonts w:ascii="Cambria" w:eastAsia="MS Mincho" w:hAnsi="Cambria" w:cs="Arial"/>
                <w:b/>
                <w:bCs/>
                <w:sz w:val="18"/>
                <w:szCs w:val="18"/>
                <w:lang w:val="es-US" w:eastAsia="es-ES_tradnl"/>
              </w:rPr>
              <w:t>)</w:t>
            </w:r>
          </w:p>
        </w:tc>
        <w:tc>
          <w:tcPr>
            <w:tcW w:w="1081" w:type="dxa"/>
            <w:shd w:val="clear" w:color="auto" w:fill="auto"/>
            <w:tcMar>
              <w:top w:w="0" w:type="dxa"/>
              <w:left w:w="108" w:type="dxa"/>
              <w:bottom w:w="0" w:type="dxa"/>
              <w:right w:w="108" w:type="dxa"/>
            </w:tcMar>
            <w:vAlign w:val="center"/>
          </w:tcPr>
          <w:p w14:paraId="359296A3"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53A9CDAB" w14:textId="77777777" w:rsidR="007E31E3" w:rsidRPr="00524435" w:rsidRDefault="007E31E3" w:rsidP="00820229">
            <w:pPr>
              <w:contextualSpacing/>
              <w:jc w:val="both"/>
              <w:rPr>
                <w:rFonts w:ascii="Cambria" w:hAnsi="Cambria"/>
                <w:b/>
                <w:strike/>
                <w:color w:val="FF0000"/>
                <w:sz w:val="18"/>
                <w:szCs w:val="18"/>
              </w:rPr>
            </w:pPr>
            <w:r w:rsidRPr="00524435">
              <w:rPr>
                <w:rFonts w:ascii="Cambria" w:eastAsia="Times New Roman" w:hAnsi="Cambria"/>
                <w:b/>
                <w:color w:val="000000"/>
                <w:sz w:val="18"/>
                <w:szCs w:val="18"/>
              </w:rPr>
              <w:t xml:space="preserve">Clause VIII. 1. Economic compensation: </w:t>
            </w:r>
            <w:r w:rsidRPr="00524435">
              <w:rPr>
                <w:rFonts w:ascii="Cambria" w:eastAsia="Cambria" w:hAnsi="Cambria" w:cs="Cambria"/>
                <w:sz w:val="18"/>
                <w:szCs w:val="18"/>
              </w:rPr>
              <w:t>The State will hand over the equivalent, in national currency, of compensation in equity for the overall amount of $3,098,400.00 (three million ninety-eight thousand four hundred pesos 00/100 M.N.)</w:t>
            </w:r>
          </w:p>
        </w:tc>
        <w:tc>
          <w:tcPr>
            <w:tcW w:w="1440" w:type="dxa"/>
            <w:gridSpan w:val="2"/>
            <w:shd w:val="clear" w:color="auto" w:fill="auto"/>
            <w:tcMar>
              <w:top w:w="0" w:type="dxa"/>
              <w:left w:w="108" w:type="dxa"/>
              <w:bottom w:w="0" w:type="dxa"/>
              <w:right w:w="108" w:type="dxa"/>
            </w:tcMar>
            <w:vAlign w:val="center"/>
          </w:tcPr>
          <w:p w14:paraId="34440CE3"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6FACD3FB" w14:textId="77777777" w:rsidTr="00820229">
        <w:tc>
          <w:tcPr>
            <w:tcW w:w="562" w:type="dxa"/>
            <w:shd w:val="clear" w:color="auto" w:fill="auto"/>
            <w:tcMar>
              <w:top w:w="0" w:type="dxa"/>
              <w:left w:w="108" w:type="dxa"/>
              <w:bottom w:w="0" w:type="dxa"/>
              <w:right w:w="108" w:type="dxa"/>
            </w:tcMar>
            <w:vAlign w:val="center"/>
          </w:tcPr>
          <w:p w14:paraId="28430C32"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vAlign w:val="center"/>
          </w:tcPr>
          <w:p w14:paraId="2F379090" w14:textId="77777777" w:rsidR="007E31E3" w:rsidRPr="00524435" w:rsidRDefault="007E31E3" w:rsidP="00820229">
            <w:pPr>
              <w:jc w:val="center"/>
              <w:rPr>
                <w:rFonts w:ascii="Cambria" w:eastAsia="MS Mincho" w:hAnsi="Cambria" w:cs="Arial"/>
                <w:b/>
                <w:bCs/>
                <w:sz w:val="18"/>
                <w:szCs w:val="18"/>
                <w:lang w:eastAsia="es-ES_tradnl"/>
              </w:rPr>
            </w:pPr>
          </w:p>
        </w:tc>
        <w:tc>
          <w:tcPr>
            <w:tcW w:w="1081" w:type="dxa"/>
            <w:shd w:val="clear" w:color="auto" w:fill="auto"/>
            <w:tcMar>
              <w:top w:w="0" w:type="dxa"/>
              <w:left w:w="108" w:type="dxa"/>
              <w:bottom w:w="0" w:type="dxa"/>
              <w:right w:w="108" w:type="dxa"/>
            </w:tcMar>
            <w:vAlign w:val="center"/>
          </w:tcPr>
          <w:p w14:paraId="01B1B936"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1A1AF861" w14:textId="77777777" w:rsidR="007E31E3" w:rsidRPr="00524435" w:rsidRDefault="007E31E3" w:rsidP="00820229">
            <w:pPr>
              <w:contextualSpacing/>
              <w:jc w:val="both"/>
              <w:rPr>
                <w:rFonts w:ascii="Cambria" w:hAnsi="Cambria"/>
                <w:b/>
                <w:strike/>
                <w:color w:val="FF0000"/>
                <w:sz w:val="18"/>
                <w:szCs w:val="18"/>
              </w:rPr>
            </w:pPr>
            <w:r w:rsidRPr="00524435">
              <w:rPr>
                <w:rFonts w:ascii="Cambria" w:eastAsia="Times New Roman" w:hAnsi="Cambria"/>
                <w:b/>
                <w:bCs/>
                <w:color w:val="000000"/>
                <w:sz w:val="18"/>
                <w:szCs w:val="18"/>
              </w:rPr>
              <w:t>Clause</w:t>
            </w:r>
            <w:r w:rsidRPr="00524435">
              <w:rPr>
                <w:rFonts w:ascii="Cambria" w:eastAsia="Times New Roman" w:hAnsi="Cambria"/>
                <w:color w:val="000000"/>
                <w:sz w:val="18"/>
                <w:szCs w:val="18"/>
              </w:rPr>
              <w:t xml:space="preserve"> </w:t>
            </w:r>
            <w:r w:rsidRPr="00524435">
              <w:rPr>
                <w:rFonts w:ascii="Cambria" w:eastAsia="Cambria" w:hAnsi="Cambria" w:cs="Cambria"/>
                <w:b/>
                <w:sz w:val="18"/>
                <w:szCs w:val="18"/>
              </w:rPr>
              <w:t xml:space="preserve">VIII.2.2 Public acknowledgement of the crimes. </w:t>
            </w:r>
            <w:r w:rsidRPr="00524435">
              <w:rPr>
                <w:rFonts w:ascii="Cambria" w:eastAsia="Cambria" w:hAnsi="Cambria" w:cs="Cambria"/>
                <w:sz w:val="18"/>
                <w:szCs w:val="18"/>
              </w:rPr>
              <w:t>In keeping with the best practices in cases where international responsibility of the Mexican State has been established by the bodies of the Inter-American human rights system, and for the purpose of making full reparation to the victims, after entering into a free and informed agreement with the victims and the petitioners, the Mexican State undertakes to hold a ceremony of public acknowledgment of responsibility and public apology for the violations of the human rights committed in this case […]</w:t>
            </w:r>
          </w:p>
        </w:tc>
        <w:tc>
          <w:tcPr>
            <w:tcW w:w="1440" w:type="dxa"/>
            <w:gridSpan w:val="2"/>
            <w:shd w:val="clear" w:color="auto" w:fill="auto"/>
            <w:tcMar>
              <w:top w:w="0" w:type="dxa"/>
              <w:left w:w="108" w:type="dxa"/>
              <w:bottom w:w="0" w:type="dxa"/>
              <w:right w:w="108" w:type="dxa"/>
            </w:tcMar>
            <w:vAlign w:val="center"/>
          </w:tcPr>
          <w:p w14:paraId="17B757B7"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5DF40DC2" w14:textId="77777777" w:rsidTr="00820229">
        <w:tc>
          <w:tcPr>
            <w:tcW w:w="562" w:type="dxa"/>
            <w:shd w:val="clear" w:color="auto" w:fill="auto"/>
            <w:tcMar>
              <w:top w:w="0" w:type="dxa"/>
              <w:left w:w="108" w:type="dxa"/>
              <w:bottom w:w="0" w:type="dxa"/>
              <w:right w:w="108" w:type="dxa"/>
            </w:tcMar>
            <w:vAlign w:val="center"/>
          </w:tcPr>
          <w:p w14:paraId="544D2F7B"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vAlign w:val="center"/>
          </w:tcPr>
          <w:p w14:paraId="30235FB8" w14:textId="77777777" w:rsidR="007E31E3" w:rsidRPr="00524435" w:rsidRDefault="007E31E3" w:rsidP="00820229">
            <w:pPr>
              <w:jc w:val="center"/>
              <w:rPr>
                <w:rFonts w:ascii="Cambria" w:eastAsia="MS Mincho" w:hAnsi="Cambria" w:cs="Arial"/>
                <w:b/>
                <w:bCs/>
                <w:sz w:val="18"/>
                <w:szCs w:val="18"/>
                <w:lang w:eastAsia="es-ES_tradnl"/>
              </w:rPr>
            </w:pPr>
          </w:p>
        </w:tc>
        <w:tc>
          <w:tcPr>
            <w:tcW w:w="1081" w:type="dxa"/>
            <w:shd w:val="clear" w:color="auto" w:fill="auto"/>
            <w:tcMar>
              <w:top w:w="0" w:type="dxa"/>
              <w:left w:w="108" w:type="dxa"/>
              <w:bottom w:w="0" w:type="dxa"/>
              <w:right w:w="108" w:type="dxa"/>
            </w:tcMar>
            <w:vAlign w:val="center"/>
          </w:tcPr>
          <w:p w14:paraId="581BEE1C"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428A80F6" w14:textId="77777777" w:rsidR="007E31E3" w:rsidRPr="00524435" w:rsidRDefault="007E31E3" w:rsidP="00820229">
            <w:pPr>
              <w:contextualSpacing/>
              <w:jc w:val="both"/>
              <w:rPr>
                <w:rFonts w:ascii="Cambria" w:hAnsi="Cambria"/>
                <w:b/>
                <w:strike/>
                <w:color w:val="FF0000"/>
                <w:sz w:val="18"/>
                <w:szCs w:val="18"/>
              </w:rPr>
            </w:pPr>
            <w:r w:rsidRPr="00524435">
              <w:rPr>
                <w:rFonts w:ascii="Cambria" w:eastAsia="MS Mincho" w:hAnsi="Cambria" w:cs="Arial"/>
                <w:b/>
                <w:sz w:val="18"/>
                <w:szCs w:val="18"/>
                <w:lang w:eastAsia="es-ES_tradnl"/>
              </w:rPr>
              <w:t xml:space="preserve">Clause </w:t>
            </w:r>
            <w:r w:rsidRPr="00524435">
              <w:rPr>
                <w:rFonts w:ascii="Cambria" w:eastAsia="Cambria" w:hAnsi="Cambria" w:cs="Cambria"/>
                <w:b/>
                <w:sz w:val="18"/>
                <w:szCs w:val="18"/>
              </w:rPr>
              <w:t xml:space="preserve">VIII.2.3 Medical and psychological care for the beneficiaries. </w:t>
            </w:r>
            <w:r w:rsidRPr="00524435">
              <w:rPr>
                <w:rFonts w:ascii="Cambria" w:eastAsia="Cambria" w:hAnsi="Cambria" w:cs="Cambria"/>
                <w:sz w:val="18"/>
                <w:szCs w:val="18"/>
              </w:rPr>
              <w:t>The government of the state of Guerrero undertakes to provide free of charge any medical treatment required by the victims through the specialized state health institutions. The treatment will be provided for as long as it is necessary and will include providing any medications that the victims require, in keeping with their medical conditions […].</w:t>
            </w:r>
          </w:p>
        </w:tc>
        <w:tc>
          <w:tcPr>
            <w:tcW w:w="1440" w:type="dxa"/>
            <w:gridSpan w:val="2"/>
            <w:shd w:val="clear" w:color="auto" w:fill="auto"/>
            <w:tcMar>
              <w:top w:w="0" w:type="dxa"/>
              <w:left w:w="108" w:type="dxa"/>
              <w:bottom w:w="0" w:type="dxa"/>
              <w:right w:w="108" w:type="dxa"/>
            </w:tcMar>
            <w:vAlign w:val="center"/>
          </w:tcPr>
          <w:p w14:paraId="56824092"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3CEE40DB" w14:textId="77777777" w:rsidTr="00820229">
        <w:tc>
          <w:tcPr>
            <w:tcW w:w="562" w:type="dxa"/>
            <w:shd w:val="clear" w:color="auto" w:fill="auto"/>
            <w:tcMar>
              <w:top w:w="0" w:type="dxa"/>
              <w:left w:w="108" w:type="dxa"/>
              <w:bottom w:w="0" w:type="dxa"/>
              <w:right w:w="108" w:type="dxa"/>
            </w:tcMar>
            <w:vAlign w:val="center"/>
          </w:tcPr>
          <w:p w14:paraId="76C0BAD1"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vAlign w:val="center"/>
          </w:tcPr>
          <w:p w14:paraId="5ACBE0FB" w14:textId="77777777" w:rsidR="007E31E3" w:rsidRPr="00524435" w:rsidRDefault="007E31E3" w:rsidP="00820229">
            <w:pPr>
              <w:jc w:val="center"/>
              <w:rPr>
                <w:rFonts w:ascii="Cambria" w:eastAsia="MS Mincho" w:hAnsi="Cambria" w:cs="Arial"/>
                <w:b/>
                <w:bCs/>
                <w:sz w:val="18"/>
                <w:szCs w:val="18"/>
                <w:lang w:eastAsia="es-ES_tradnl"/>
              </w:rPr>
            </w:pPr>
          </w:p>
        </w:tc>
        <w:tc>
          <w:tcPr>
            <w:tcW w:w="1081" w:type="dxa"/>
            <w:shd w:val="clear" w:color="auto" w:fill="auto"/>
            <w:tcMar>
              <w:top w:w="0" w:type="dxa"/>
              <w:left w:w="108" w:type="dxa"/>
              <w:bottom w:w="0" w:type="dxa"/>
              <w:right w:w="108" w:type="dxa"/>
            </w:tcMar>
            <w:vAlign w:val="center"/>
          </w:tcPr>
          <w:p w14:paraId="5A82DD2A"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696B883F" w14:textId="77777777" w:rsidR="007E31E3" w:rsidRPr="00524435" w:rsidRDefault="007E31E3" w:rsidP="00820229">
            <w:pPr>
              <w:contextualSpacing/>
              <w:jc w:val="both"/>
              <w:rPr>
                <w:rFonts w:ascii="Cambria" w:eastAsia="Cambria" w:hAnsi="Cambria" w:cs="Cambria"/>
                <w:b/>
                <w:bCs/>
                <w:sz w:val="18"/>
                <w:szCs w:val="18"/>
              </w:rPr>
            </w:pPr>
            <w:r w:rsidRPr="00524435">
              <w:rPr>
                <w:rFonts w:ascii="Cambria" w:eastAsia="Times New Roman" w:hAnsi="Cambria"/>
                <w:b/>
                <w:bCs/>
                <w:color w:val="000000"/>
                <w:sz w:val="18"/>
                <w:szCs w:val="18"/>
              </w:rPr>
              <w:t xml:space="preserve">Clause </w:t>
            </w:r>
            <w:r w:rsidRPr="00524435">
              <w:rPr>
                <w:rFonts w:ascii="Cambria" w:eastAsia="Cambria" w:hAnsi="Cambria" w:cs="Cambria"/>
                <w:b/>
                <w:sz w:val="18"/>
                <w:szCs w:val="18"/>
              </w:rPr>
              <w:t xml:space="preserve">VIII.3.1 Educational support. </w:t>
            </w:r>
            <w:r w:rsidRPr="00524435">
              <w:rPr>
                <w:rFonts w:ascii="Cambria" w:eastAsia="Cambria" w:hAnsi="Cambria" w:cs="Cambria"/>
                <w:sz w:val="18"/>
                <w:szCs w:val="18"/>
              </w:rPr>
              <w:t>The Government of the State of Guerrero shall provide a scholarship to Ricardo Jiménez Cervantes to continue his studies until he completes the highest level, and, for this purpose, the state education authorities will closely monitor the case of the young man Mr. Jiménez, facilitating the respective registration process.</w:t>
            </w:r>
            <w:r w:rsidRPr="00524435">
              <w:rPr>
                <w:rFonts w:ascii="Cambria" w:eastAsia="Cambria" w:hAnsi="Cambria" w:cs="Cambria"/>
                <w:b/>
                <w:bCs/>
                <w:sz w:val="18"/>
                <w:szCs w:val="18"/>
              </w:rPr>
              <w:t xml:space="preserve"> </w:t>
            </w:r>
          </w:p>
          <w:p w14:paraId="5D56B99E" w14:textId="77777777" w:rsidR="007E31E3" w:rsidRPr="00524435" w:rsidRDefault="007E31E3" w:rsidP="00820229">
            <w:pPr>
              <w:contextualSpacing/>
              <w:jc w:val="both"/>
              <w:rPr>
                <w:rFonts w:ascii="Cambria" w:eastAsia="Cambria" w:hAnsi="Cambria" w:cs="Cambria"/>
                <w:b/>
                <w:bCs/>
                <w:sz w:val="18"/>
                <w:szCs w:val="18"/>
              </w:rPr>
            </w:pPr>
            <w:r w:rsidRPr="00524435">
              <w:rPr>
                <w:rFonts w:ascii="Cambria" w:eastAsia="Cambria" w:hAnsi="Cambria" w:cs="Cambria"/>
                <w:sz w:val="18"/>
                <w:szCs w:val="18"/>
              </w:rPr>
              <w:t>With respect to the young woman Julieta Jiménez Cervantes, the Government of the State of Guerrero shall award an academic scholarship once she resumes her higher education studies, in addition to facilitate access for her to the public school of her choice within that state.</w:t>
            </w:r>
            <w:r w:rsidRPr="00524435">
              <w:rPr>
                <w:rFonts w:ascii="Cambria" w:eastAsia="Cambria" w:hAnsi="Cambria" w:cs="Cambria"/>
                <w:b/>
                <w:bCs/>
                <w:sz w:val="18"/>
                <w:szCs w:val="18"/>
              </w:rPr>
              <w:t xml:space="preserve"> </w:t>
            </w:r>
          </w:p>
        </w:tc>
        <w:tc>
          <w:tcPr>
            <w:tcW w:w="1440" w:type="dxa"/>
            <w:gridSpan w:val="2"/>
            <w:shd w:val="clear" w:color="auto" w:fill="auto"/>
            <w:tcMar>
              <w:top w:w="0" w:type="dxa"/>
              <w:left w:w="108" w:type="dxa"/>
              <w:bottom w:w="0" w:type="dxa"/>
              <w:right w:w="108" w:type="dxa"/>
            </w:tcMar>
            <w:vAlign w:val="center"/>
          </w:tcPr>
          <w:p w14:paraId="631BCF58"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326AB0CD" w14:textId="77777777" w:rsidTr="00820229">
        <w:tc>
          <w:tcPr>
            <w:tcW w:w="562" w:type="dxa"/>
            <w:shd w:val="clear" w:color="auto" w:fill="auto"/>
            <w:tcMar>
              <w:top w:w="0" w:type="dxa"/>
              <w:left w:w="108" w:type="dxa"/>
              <w:bottom w:w="0" w:type="dxa"/>
              <w:right w:w="108" w:type="dxa"/>
            </w:tcMar>
            <w:vAlign w:val="center"/>
          </w:tcPr>
          <w:p w14:paraId="1B3ADBE4"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vAlign w:val="center"/>
          </w:tcPr>
          <w:p w14:paraId="3C12747F" w14:textId="77777777" w:rsidR="007E31E3" w:rsidRPr="00524435" w:rsidRDefault="007E31E3" w:rsidP="00820229">
            <w:pPr>
              <w:jc w:val="center"/>
              <w:rPr>
                <w:rFonts w:ascii="Cambria" w:eastAsia="MS Mincho" w:hAnsi="Cambria" w:cs="Arial"/>
                <w:b/>
                <w:bCs/>
                <w:sz w:val="18"/>
                <w:szCs w:val="18"/>
                <w:lang w:eastAsia="es-ES_tradnl"/>
              </w:rPr>
            </w:pPr>
          </w:p>
        </w:tc>
        <w:tc>
          <w:tcPr>
            <w:tcW w:w="1081" w:type="dxa"/>
            <w:shd w:val="clear" w:color="auto" w:fill="auto"/>
            <w:tcMar>
              <w:top w:w="0" w:type="dxa"/>
              <w:left w:w="108" w:type="dxa"/>
              <w:bottom w:w="0" w:type="dxa"/>
              <w:right w:w="108" w:type="dxa"/>
            </w:tcMar>
            <w:vAlign w:val="center"/>
          </w:tcPr>
          <w:p w14:paraId="2B0C0E98"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0898AAA0" w14:textId="77777777" w:rsidR="007E31E3" w:rsidRPr="00524435" w:rsidRDefault="007E31E3" w:rsidP="00820229">
            <w:pPr>
              <w:contextualSpacing/>
              <w:jc w:val="both"/>
              <w:rPr>
                <w:rFonts w:ascii="Cambria" w:hAnsi="Cambria"/>
                <w:b/>
                <w:strike/>
                <w:color w:val="FF0000"/>
                <w:sz w:val="18"/>
                <w:szCs w:val="18"/>
              </w:rPr>
            </w:pPr>
            <w:r w:rsidRPr="00524435">
              <w:rPr>
                <w:rFonts w:ascii="Cambria" w:eastAsia="Times New Roman" w:hAnsi="Cambria"/>
                <w:b/>
                <w:bCs/>
                <w:color w:val="000000"/>
                <w:sz w:val="18"/>
                <w:szCs w:val="18"/>
              </w:rPr>
              <w:t>Clause</w:t>
            </w:r>
            <w:r w:rsidRPr="00524435">
              <w:rPr>
                <w:rFonts w:ascii="Cambria" w:eastAsia="Times New Roman" w:hAnsi="Cambria"/>
                <w:color w:val="000000"/>
                <w:sz w:val="18"/>
                <w:szCs w:val="18"/>
              </w:rPr>
              <w:t xml:space="preserve"> </w:t>
            </w:r>
            <w:r w:rsidRPr="00524435">
              <w:rPr>
                <w:rFonts w:ascii="Cambria" w:eastAsia="Cambria" w:hAnsi="Cambria" w:cs="Cambria"/>
                <w:b/>
                <w:sz w:val="18"/>
                <w:szCs w:val="18"/>
              </w:rPr>
              <w:t xml:space="preserve">VIII.3.3 Income-producing project support. </w:t>
            </w:r>
            <w:r w:rsidRPr="00524435">
              <w:rPr>
                <w:rFonts w:ascii="Cambria" w:eastAsia="Cambria" w:hAnsi="Cambria" w:cs="Cambria"/>
                <w:sz w:val="18"/>
                <w:szCs w:val="18"/>
              </w:rPr>
              <w:t xml:space="preserve">The Government of the State of Guerrero will award to Mrs. Enedina </w:t>
            </w:r>
            <w:proofErr w:type="gramStart"/>
            <w:r w:rsidRPr="00524435">
              <w:rPr>
                <w:rFonts w:ascii="Cambria" w:eastAsia="Cambria" w:hAnsi="Cambria" w:cs="Cambria"/>
                <w:sz w:val="18"/>
                <w:szCs w:val="18"/>
              </w:rPr>
              <w:t>Cervantes</w:t>
            </w:r>
            <w:proofErr w:type="gramEnd"/>
            <w:r w:rsidRPr="00524435">
              <w:rPr>
                <w:rFonts w:ascii="Cambria" w:eastAsia="Cambria" w:hAnsi="Cambria" w:cs="Cambria"/>
                <w:sz w:val="18"/>
                <w:szCs w:val="18"/>
              </w:rPr>
              <w:t xml:space="preserve"> aid in order to develop an income-producing project of her liking. It is known that Mrs. Enedina Cervantes used to have a commercial establishment for the sale of food and other consumer goods and, therefore, the aid could be channeled for this purpose.</w:t>
            </w:r>
          </w:p>
        </w:tc>
        <w:tc>
          <w:tcPr>
            <w:tcW w:w="1440" w:type="dxa"/>
            <w:gridSpan w:val="2"/>
            <w:shd w:val="clear" w:color="auto" w:fill="auto"/>
            <w:tcMar>
              <w:top w:w="0" w:type="dxa"/>
              <w:left w:w="108" w:type="dxa"/>
              <w:bottom w:w="0" w:type="dxa"/>
              <w:right w:w="108" w:type="dxa"/>
            </w:tcMar>
            <w:vAlign w:val="center"/>
          </w:tcPr>
          <w:p w14:paraId="63D66196"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59848A6B" w14:textId="77777777" w:rsidTr="00820229">
        <w:tc>
          <w:tcPr>
            <w:tcW w:w="562" w:type="dxa"/>
            <w:shd w:val="clear" w:color="auto" w:fill="auto"/>
            <w:tcMar>
              <w:top w:w="0" w:type="dxa"/>
              <w:left w:w="108" w:type="dxa"/>
              <w:bottom w:w="0" w:type="dxa"/>
              <w:right w:w="108" w:type="dxa"/>
            </w:tcMar>
            <w:vAlign w:val="center"/>
          </w:tcPr>
          <w:p w14:paraId="420D853C"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vAlign w:val="center"/>
          </w:tcPr>
          <w:p w14:paraId="1BBD23B1" w14:textId="77777777" w:rsidR="007E31E3" w:rsidRPr="00524435" w:rsidRDefault="007E31E3" w:rsidP="00820229">
            <w:pPr>
              <w:jc w:val="center"/>
              <w:rPr>
                <w:rFonts w:ascii="Cambria" w:eastAsia="MS Mincho" w:hAnsi="Cambria" w:cs="Arial"/>
                <w:b/>
                <w:bCs/>
                <w:sz w:val="18"/>
                <w:szCs w:val="18"/>
                <w:lang w:eastAsia="es-ES_tradnl"/>
              </w:rPr>
            </w:pPr>
          </w:p>
        </w:tc>
        <w:tc>
          <w:tcPr>
            <w:tcW w:w="1081" w:type="dxa"/>
            <w:shd w:val="clear" w:color="auto" w:fill="auto"/>
            <w:tcMar>
              <w:top w:w="0" w:type="dxa"/>
              <w:left w:w="108" w:type="dxa"/>
              <w:bottom w:w="0" w:type="dxa"/>
              <w:right w:w="108" w:type="dxa"/>
            </w:tcMar>
            <w:vAlign w:val="center"/>
          </w:tcPr>
          <w:p w14:paraId="420F0F6C"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56CF7F12" w14:textId="77777777" w:rsidR="007E31E3" w:rsidRPr="00524435" w:rsidRDefault="007E31E3" w:rsidP="00820229">
            <w:pPr>
              <w:contextualSpacing/>
              <w:jc w:val="both"/>
              <w:rPr>
                <w:rFonts w:ascii="Cambria" w:hAnsi="Cambria"/>
                <w:b/>
                <w:strike/>
                <w:color w:val="FF0000"/>
                <w:sz w:val="18"/>
                <w:szCs w:val="18"/>
              </w:rPr>
            </w:pPr>
            <w:r w:rsidRPr="00524435">
              <w:rPr>
                <w:rFonts w:ascii="Cambria" w:eastAsia="MS Mincho" w:hAnsi="Cambria" w:cs="Arial"/>
                <w:b/>
                <w:sz w:val="18"/>
                <w:szCs w:val="18"/>
                <w:lang w:eastAsia="es-ES_tradnl"/>
              </w:rPr>
              <w:t xml:space="preserve">Clause </w:t>
            </w:r>
            <w:r w:rsidRPr="00524435">
              <w:rPr>
                <w:rFonts w:ascii="Cambria" w:eastAsia="Cambria" w:hAnsi="Cambria" w:cs="Cambria"/>
                <w:b/>
                <w:sz w:val="18"/>
                <w:szCs w:val="18"/>
              </w:rPr>
              <w:t xml:space="preserve">VIII.3.4 Economic support. </w:t>
            </w:r>
            <w:r w:rsidRPr="00524435">
              <w:rPr>
                <w:rFonts w:ascii="Cambria" w:eastAsia="Cambria" w:hAnsi="Cambria" w:cs="Cambria"/>
                <w:sz w:val="18"/>
                <w:szCs w:val="18"/>
              </w:rPr>
              <w:t>The Government of the State of Guerrero will award the young lady Julieta Jiménez Cervantes, in her status of single mother, monthly economic support through the program “</w:t>
            </w:r>
            <w:r w:rsidRPr="00524435">
              <w:rPr>
                <w:rFonts w:ascii="Cambria" w:eastAsia="Cambria" w:hAnsi="Cambria" w:cs="Cambria"/>
                <w:i/>
                <w:iCs/>
                <w:sz w:val="18"/>
                <w:szCs w:val="18"/>
              </w:rPr>
              <w:t xml:space="preserve">Guerrero </w:t>
            </w:r>
            <w:proofErr w:type="spellStart"/>
            <w:r w:rsidRPr="00524435">
              <w:rPr>
                <w:rFonts w:ascii="Cambria" w:eastAsia="Cambria" w:hAnsi="Cambria" w:cs="Cambria"/>
                <w:i/>
                <w:iCs/>
                <w:sz w:val="18"/>
                <w:szCs w:val="18"/>
              </w:rPr>
              <w:t>Cumple</w:t>
            </w:r>
            <w:proofErr w:type="spellEnd"/>
            <w:r w:rsidRPr="00524435">
              <w:rPr>
                <w:rFonts w:ascii="Cambria" w:eastAsia="Cambria" w:hAnsi="Cambria" w:cs="Cambria"/>
                <w:sz w:val="18"/>
                <w:szCs w:val="18"/>
              </w:rPr>
              <w:t>"[…].</w:t>
            </w:r>
          </w:p>
        </w:tc>
        <w:tc>
          <w:tcPr>
            <w:tcW w:w="1440" w:type="dxa"/>
            <w:gridSpan w:val="2"/>
            <w:shd w:val="clear" w:color="auto" w:fill="auto"/>
            <w:tcMar>
              <w:top w:w="0" w:type="dxa"/>
              <w:left w:w="108" w:type="dxa"/>
              <w:bottom w:w="0" w:type="dxa"/>
              <w:right w:w="108" w:type="dxa"/>
            </w:tcMar>
            <w:vAlign w:val="center"/>
          </w:tcPr>
          <w:p w14:paraId="714AB166"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1DBD0AB2" w14:textId="77777777" w:rsidTr="00820229">
        <w:tc>
          <w:tcPr>
            <w:tcW w:w="562" w:type="dxa"/>
            <w:shd w:val="clear" w:color="auto" w:fill="auto"/>
            <w:tcMar>
              <w:top w:w="0" w:type="dxa"/>
              <w:left w:w="108" w:type="dxa"/>
              <w:bottom w:w="0" w:type="dxa"/>
              <w:right w:w="108" w:type="dxa"/>
            </w:tcMar>
            <w:vAlign w:val="center"/>
          </w:tcPr>
          <w:p w14:paraId="4CBF0828"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vAlign w:val="center"/>
          </w:tcPr>
          <w:p w14:paraId="57A8C5D7" w14:textId="77777777" w:rsidR="007E31E3" w:rsidRPr="00524435" w:rsidRDefault="007E31E3" w:rsidP="00820229">
            <w:pPr>
              <w:jc w:val="center"/>
              <w:rPr>
                <w:rFonts w:ascii="Cambria" w:eastAsia="MS Mincho" w:hAnsi="Cambria" w:cs="Arial"/>
                <w:b/>
                <w:bCs/>
                <w:sz w:val="18"/>
                <w:szCs w:val="18"/>
                <w:lang w:eastAsia="es-ES_tradnl"/>
              </w:rPr>
            </w:pPr>
          </w:p>
        </w:tc>
        <w:tc>
          <w:tcPr>
            <w:tcW w:w="1081" w:type="dxa"/>
            <w:shd w:val="clear" w:color="auto" w:fill="auto"/>
            <w:tcMar>
              <w:top w:w="0" w:type="dxa"/>
              <w:left w:w="108" w:type="dxa"/>
              <w:bottom w:w="0" w:type="dxa"/>
              <w:right w:w="108" w:type="dxa"/>
            </w:tcMar>
            <w:vAlign w:val="center"/>
          </w:tcPr>
          <w:p w14:paraId="00BAA4BF"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134EEC7C" w14:textId="77777777" w:rsidR="007E31E3" w:rsidRPr="00524435" w:rsidRDefault="007E31E3" w:rsidP="00820229">
            <w:pPr>
              <w:contextualSpacing/>
              <w:jc w:val="both"/>
              <w:rPr>
                <w:rFonts w:ascii="Cambria" w:hAnsi="Cambria"/>
                <w:b/>
                <w:strike/>
                <w:color w:val="FF0000"/>
                <w:sz w:val="18"/>
                <w:szCs w:val="18"/>
              </w:rPr>
            </w:pPr>
            <w:r w:rsidRPr="00524435">
              <w:rPr>
                <w:rFonts w:ascii="Cambria" w:eastAsia="Times New Roman" w:hAnsi="Cambria"/>
                <w:b/>
                <w:color w:val="000000"/>
                <w:kern w:val="36"/>
                <w:sz w:val="18"/>
                <w:szCs w:val="18"/>
              </w:rPr>
              <w:t>Clause</w:t>
            </w:r>
            <w:r w:rsidRPr="00524435">
              <w:rPr>
                <w:rFonts w:ascii="Cambria" w:eastAsia="Times New Roman" w:hAnsi="Cambria"/>
                <w:bCs/>
                <w:color w:val="000000"/>
                <w:kern w:val="36"/>
                <w:sz w:val="18"/>
                <w:szCs w:val="18"/>
              </w:rPr>
              <w:t xml:space="preserve"> </w:t>
            </w:r>
            <w:r w:rsidRPr="00524435">
              <w:rPr>
                <w:rFonts w:ascii="Cambria" w:eastAsia="Cambria" w:hAnsi="Cambria" w:cs="Cambria"/>
                <w:b/>
                <w:sz w:val="18"/>
                <w:szCs w:val="18"/>
              </w:rPr>
              <w:t xml:space="preserve">VIII.3.2 Housing support. </w:t>
            </w:r>
            <w:r w:rsidRPr="00524435">
              <w:rPr>
                <w:rFonts w:ascii="Cambria" w:eastAsia="Cambria" w:hAnsi="Cambria" w:cs="Cambria"/>
                <w:sz w:val="18"/>
                <w:szCs w:val="18"/>
              </w:rPr>
              <w:t xml:space="preserve">Given that the results of the socioeconomic studies carried out on Mrs. Enedina Cervantes Salgado show that she does not own her own house, the Government of the State of Guerrero will provide Mrs. Cervantes with the benefit of a house through one of the state </w:t>
            </w:r>
            <w:proofErr w:type="gramStart"/>
            <w:r w:rsidRPr="00524435">
              <w:rPr>
                <w:rFonts w:ascii="Cambria" w:eastAsia="Cambria" w:hAnsi="Cambria" w:cs="Cambria"/>
                <w:sz w:val="18"/>
                <w:szCs w:val="18"/>
              </w:rPr>
              <w:t>housing</w:t>
            </w:r>
            <w:proofErr w:type="gramEnd"/>
            <w:r w:rsidRPr="00524435">
              <w:rPr>
                <w:rFonts w:ascii="Cambria" w:eastAsia="Cambria" w:hAnsi="Cambria" w:cs="Cambria"/>
                <w:sz w:val="18"/>
                <w:szCs w:val="18"/>
              </w:rPr>
              <w:t xml:space="preserve"> programs […].</w:t>
            </w:r>
          </w:p>
        </w:tc>
        <w:tc>
          <w:tcPr>
            <w:tcW w:w="1440" w:type="dxa"/>
            <w:gridSpan w:val="2"/>
            <w:shd w:val="clear" w:color="auto" w:fill="auto"/>
            <w:tcMar>
              <w:top w:w="0" w:type="dxa"/>
              <w:left w:w="108" w:type="dxa"/>
              <w:bottom w:w="0" w:type="dxa"/>
              <w:right w:w="108" w:type="dxa"/>
            </w:tcMar>
            <w:vAlign w:val="center"/>
          </w:tcPr>
          <w:p w14:paraId="55D31442"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Partial substantial 2021</w:t>
            </w:r>
          </w:p>
        </w:tc>
      </w:tr>
      <w:tr w:rsidR="007E31E3" w:rsidRPr="00524435" w14:paraId="7A8B26C8" w14:textId="77777777" w:rsidTr="00820229">
        <w:tc>
          <w:tcPr>
            <w:tcW w:w="562" w:type="dxa"/>
            <w:shd w:val="clear" w:color="auto" w:fill="auto"/>
            <w:tcMar>
              <w:top w:w="0" w:type="dxa"/>
              <w:left w:w="108" w:type="dxa"/>
              <w:bottom w:w="0" w:type="dxa"/>
              <w:right w:w="108" w:type="dxa"/>
            </w:tcMar>
            <w:vAlign w:val="center"/>
          </w:tcPr>
          <w:p w14:paraId="7850213B"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vAlign w:val="center"/>
          </w:tcPr>
          <w:p w14:paraId="3517DB15" w14:textId="77777777" w:rsidR="007E31E3" w:rsidRPr="00524435" w:rsidRDefault="007E31E3" w:rsidP="00820229">
            <w:pPr>
              <w:jc w:val="center"/>
              <w:rPr>
                <w:rFonts w:ascii="Cambria" w:eastAsia="MS Mincho" w:hAnsi="Cambria" w:cs="Arial"/>
                <w:b/>
                <w:bCs/>
                <w:sz w:val="18"/>
                <w:szCs w:val="18"/>
                <w:lang w:eastAsia="es-ES_tradnl"/>
              </w:rPr>
            </w:pPr>
          </w:p>
        </w:tc>
        <w:tc>
          <w:tcPr>
            <w:tcW w:w="1081" w:type="dxa"/>
            <w:shd w:val="clear" w:color="auto" w:fill="auto"/>
            <w:tcMar>
              <w:top w:w="0" w:type="dxa"/>
              <w:left w:w="108" w:type="dxa"/>
              <w:bottom w:w="0" w:type="dxa"/>
              <w:right w:w="108" w:type="dxa"/>
            </w:tcMar>
            <w:vAlign w:val="center"/>
          </w:tcPr>
          <w:p w14:paraId="6F3C77D6"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7DCE4A52" w14:textId="77777777" w:rsidR="007E31E3" w:rsidRPr="00524435" w:rsidRDefault="007E31E3" w:rsidP="00820229">
            <w:pPr>
              <w:contextualSpacing/>
              <w:jc w:val="both"/>
              <w:rPr>
                <w:rFonts w:ascii="Cambria" w:eastAsia="Times New Roman" w:hAnsi="Cambria"/>
                <w:bCs/>
                <w:color w:val="000000"/>
                <w:kern w:val="36"/>
                <w:sz w:val="18"/>
                <w:szCs w:val="18"/>
              </w:rPr>
            </w:pPr>
            <w:r w:rsidRPr="00524435">
              <w:rPr>
                <w:rFonts w:ascii="Cambria" w:eastAsia="MS Mincho" w:hAnsi="Cambria" w:cs="Arial"/>
                <w:b/>
                <w:sz w:val="18"/>
                <w:szCs w:val="18"/>
                <w:lang w:eastAsia="es-ES_tradnl"/>
              </w:rPr>
              <w:t xml:space="preserve">Clause </w:t>
            </w:r>
            <w:r w:rsidRPr="00524435">
              <w:rPr>
                <w:rFonts w:ascii="Cambria" w:eastAsia="Cambria" w:hAnsi="Cambria" w:cs="Cambria"/>
                <w:b/>
                <w:sz w:val="18"/>
                <w:szCs w:val="18"/>
              </w:rPr>
              <w:t xml:space="preserve">VIII.2.1 </w:t>
            </w:r>
            <w:r w:rsidRPr="00524435">
              <w:rPr>
                <w:rFonts w:ascii="Cambria" w:eastAsia="Cambria" w:hAnsi="Cambria" w:cs="Cambria"/>
                <w:b/>
                <w:bCs/>
                <w:sz w:val="18"/>
                <w:szCs w:val="18"/>
              </w:rPr>
              <w:t xml:space="preserve">Investigation of the facts of the case and punishment of those responsible: </w:t>
            </w:r>
            <w:r w:rsidRPr="00524435">
              <w:rPr>
                <w:rFonts w:ascii="Cambria" w:eastAsia="Cambria" w:hAnsi="Cambria" w:cs="Cambria"/>
                <w:sz w:val="18"/>
                <w:szCs w:val="18"/>
              </w:rPr>
              <w:t>The State undertakes to diligently conduct and continue with the necessary investigations to find the whereabouts of Mr. Faustino Jiménez Álvarez; punish those persons responsible for the crimes perpetrated against him and impose the appropriate administrative or disciplinary sanctions against the persons who, despite their link to the commission of the human rights violations committed in the case, continue to hold public positions, or perform public functions […].</w:t>
            </w:r>
          </w:p>
        </w:tc>
        <w:tc>
          <w:tcPr>
            <w:tcW w:w="1440" w:type="dxa"/>
            <w:gridSpan w:val="2"/>
            <w:shd w:val="clear" w:color="auto" w:fill="auto"/>
            <w:tcMar>
              <w:top w:w="0" w:type="dxa"/>
              <w:left w:w="108" w:type="dxa"/>
              <w:bottom w:w="0" w:type="dxa"/>
              <w:right w:w="108" w:type="dxa"/>
            </w:tcMar>
            <w:vAlign w:val="center"/>
          </w:tcPr>
          <w:p w14:paraId="6E06161C" w14:textId="77777777" w:rsidR="007E31E3" w:rsidRPr="00524435" w:rsidRDefault="007E31E3" w:rsidP="00820229">
            <w:pPr>
              <w:jc w:val="center"/>
              <w:rPr>
                <w:rFonts w:ascii="Cambria" w:eastAsia="MS Mincho" w:hAnsi="Cambria" w:cs="Arial"/>
                <w:b/>
                <w:sz w:val="18"/>
                <w:szCs w:val="18"/>
                <w:lang w:eastAsia="es-ES_tradnl"/>
              </w:rPr>
            </w:pPr>
            <w:r w:rsidRPr="00524435">
              <w:rPr>
                <w:rFonts w:ascii="Cambria" w:eastAsia="MS Mincho" w:hAnsi="Cambria" w:cs="Arial"/>
                <w:b/>
                <w:sz w:val="18"/>
                <w:szCs w:val="18"/>
                <w:lang w:eastAsia="es-ES_tradnl"/>
              </w:rPr>
              <w:t>Partial 2021</w:t>
            </w:r>
          </w:p>
        </w:tc>
      </w:tr>
      <w:tr w:rsidR="007E31E3" w:rsidRPr="00524435" w14:paraId="1FC9F16E" w14:textId="77777777" w:rsidTr="00820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5"/>
        </w:trPr>
        <w:tc>
          <w:tcPr>
            <w:tcW w:w="9805" w:type="dxa"/>
            <w:gridSpan w:val="7"/>
            <w:tcBorders>
              <w:top w:val="single" w:sz="4"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475BB52D" w14:textId="77777777" w:rsidR="007E31E3" w:rsidRPr="00524435" w:rsidRDefault="007E31E3" w:rsidP="008B0732">
            <w:pPr>
              <w:spacing w:after="0" w:line="240" w:lineRule="auto"/>
              <w:jc w:val="center"/>
              <w:rPr>
                <w:rFonts w:ascii="Cambria" w:hAnsi="Cambria"/>
                <w:b/>
                <w:sz w:val="18"/>
                <w:szCs w:val="18"/>
              </w:rPr>
            </w:pPr>
            <w:r w:rsidRPr="00524435">
              <w:rPr>
                <w:rFonts w:ascii="Cambria" w:hAnsi="Cambria"/>
                <w:b/>
                <w:sz w:val="18"/>
                <w:szCs w:val="18"/>
              </w:rPr>
              <w:t>Number of measures where progress was achieved: 21 (17 individual and 4 structural)</w:t>
            </w:r>
          </w:p>
          <w:p w14:paraId="24425631" w14:textId="77777777" w:rsidR="007E31E3" w:rsidRPr="00524435" w:rsidRDefault="007E31E3" w:rsidP="008B0732">
            <w:pPr>
              <w:spacing w:after="0" w:line="240" w:lineRule="auto"/>
              <w:jc w:val="center"/>
              <w:rPr>
                <w:rFonts w:ascii="Cambria" w:hAnsi="Cambria"/>
                <w:b/>
                <w:sz w:val="18"/>
                <w:szCs w:val="18"/>
              </w:rPr>
            </w:pPr>
            <w:r w:rsidRPr="00524435">
              <w:rPr>
                <w:rFonts w:ascii="Cambria" w:hAnsi="Cambria"/>
                <w:b/>
                <w:sz w:val="18"/>
                <w:szCs w:val="18"/>
              </w:rPr>
              <w:t>Total compliance: 15</w:t>
            </w:r>
          </w:p>
          <w:p w14:paraId="1FF15D49" w14:textId="77777777" w:rsidR="007E31E3" w:rsidRPr="00524435" w:rsidRDefault="007E31E3" w:rsidP="008B0732">
            <w:pPr>
              <w:spacing w:after="0" w:line="240" w:lineRule="auto"/>
              <w:jc w:val="center"/>
              <w:rPr>
                <w:rFonts w:ascii="Cambria" w:hAnsi="Cambria"/>
                <w:b/>
                <w:sz w:val="18"/>
                <w:szCs w:val="18"/>
              </w:rPr>
            </w:pPr>
            <w:r w:rsidRPr="00524435">
              <w:rPr>
                <w:rFonts w:ascii="Cambria" w:hAnsi="Cambria"/>
                <w:b/>
                <w:sz w:val="18"/>
                <w:szCs w:val="18"/>
              </w:rPr>
              <w:t>Partial substantial: 3</w:t>
            </w:r>
          </w:p>
          <w:p w14:paraId="099477F0" w14:textId="77777777" w:rsidR="007E31E3" w:rsidRPr="00524435" w:rsidRDefault="007E31E3" w:rsidP="008B0732">
            <w:pPr>
              <w:spacing w:after="0" w:line="240" w:lineRule="auto"/>
              <w:jc w:val="center"/>
              <w:rPr>
                <w:rFonts w:ascii="Cambria" w:hAnsi="Cambria"/>
                <w:b/>
                <w:strike/>
                <w:color w:val="FF0000"/>
                <w:sz w:val="18"/>
                <w:szCs w:val="18"/>
              </w:rPr>
            </w:pPr>
            <w:r w:rsidRPr="00524435">
              <w:rPr>
                <w:rFonts w:ascii="Cambria" w:hAnsi="Cambria"/>
                <w:b/>
                <w:sz w:val="18"/>
                <w:szCs w:val="18"/>
              </w:rPr>
              <w:t>Partial compliance:  3</w:t>
            </w:r>
          </w:p>
        </w:tc>
      </w:tr>
      <w:tr w:rsidR="007E31E3" w:rsidRPr="00524435" w14:paraId="26ED5230" w14:textId="77777777" w:rsidTr="00820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8"/>
        </w:trPr>
        <w:tc>
          <w:tcPr>
            <w:tcW w:w="9805" w:type="dxa"/>
            <w:gridSpan w:val="7"/>
            <w:tcBorders>
              <w:top w:val="single" w:sz="4"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213FC821"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PARAGUAY</w:t>
            </w:r>
          </w:p>
        </w:tc>
      </w:tr>
      <w:tr w:rsidR="007E31E3" w:rsidRPr="00524435" w14:paraId="24DE9299" w14:textId="77777777" w:rsidTr="00820229">
        <w:tc>
          <w:tcPr>
            <w:tcW w:w="562" w:type="dxa"/>
            <w:shd w:val="clear" w:color="auto" w:fill="D9D9D9" w:themeFill="background1" w:themeFillShade="D9"/>
            <w:tcMar>
              <w:top w:w="0" w:type="dxa"/>
              <w:left w:w="108" w:type="dxa"/>
              <w:bottom w:w="0" w:type="dxa"/>
              <w:right w:w="108" w:type="dxa"/>
            </w:tcMar>
            <w:vAlign w:val="center"/>
          </w:tcPr>
          <w:p w14:paraId="7976B7C0"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val="restart"/>
            <w:shd w:val="clear" w:color="auto" w:fill="D9D9D9" w:themeFill="background1" w:themeFillShade="D9"/>
            <w:vAlign w:val="center"/>
          </w:tcPr>
          <w:p w14:paraId="5A74496B" w14:textId="77777777" w:rsidR="007E31E3" w:rsidRPr="007A5442" w:rsidRDefault="007E31E3" w:rsidP="00820229">
            <w:pPr>
              <w:jc w:val="center"/>
              <w:rPr>
                <w:rFonts w:ascii="Cambria" w:eastAsia="MS Mincho" w:hAnsi="Cambria" w:cs="Arial"/>
                <w:b/>
                <w:bCs/>
                <w:sz w:val="18"/>
                <w:szCs w:val="18"/>
                <w:lang w:val="pt-PT" w:eastAsia="es-ES_tradnl"/>
              </w:rPr>
            </w:pPr>
            <w:r w:rsidRPr="007A5442">
              <w:rPr>
                <w:rFonts w:ascii="Cambria" w:hAnsi="Cambria"/>
                <w:b/>
                <w:sz w:val="18"/>
                <w:szCs w:val="18"/>
                <w:lang w:val="pt-PT"/>
              </w:rPr>
              <w:t xml:space="preserve">Case 12.374, Report No. 85/20, </w:t>
            </w:r>
            <w:r w:rsidRPr="007A5442">
              <w:rPr>
                <w:rFonts w:ascii="Cambria" w:hAnsi="Cambria"/>
                <w:b/>
                <w:color w:val="000000"/>
                <w:sz w:val="18"/>
                <w:szCs w:val="18"/>
                <w:lang w:val="pt-PT"/>
              </w:rPr>
              <w:t xml:space="preserve">Jorge Enrique Patiño Palacios </w:t>
            </w:r>
            <w:r w:rsidRPr="007A5442">
              <w:rPr>
                <w:rFonts w:ascii="Cambria" w:hAnsi="Cambria"/>
                <w:b/>
                <w:sz w:val="18"/>
                <w:szCs w:val="18"/>
                <w:lang w:val="pt-PT"/>
              </w:rPr>
              <w:t>(Paraguay)</w:t>
            </w:r>
          </w:p>
        </w:tc>
        <w:tc>
          <w:tcPr>
            <w:tcW w:w="1081" w:type="dxa"/>
            <w:shd w:val="clear" w:color="auto" w:fill="D9D9D9" w:themeFill="background1" w:themeFillShade="D9"/>
            <w:tcMar>
              <w:top w:w="0" w:type="dxa"/>
              <w:left w:w="108" w:type="dxa"/>
              <w:bottom w:w="0" w:type="dxa"/>
              <w:right w:w="108" w:type="dxa"/>
            </w:tcMar>
            <w:vAlign w:val="center"/>
          </w:tcPr>
          <w:p w14:paraId="3A3173B3"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D9D9D9" w:themeFill="background1" w:themeFillShade="D9"/>
            <w:tcMar>
              <w:top w:w="0" w:type="dxa"/>
              <w:left w:w="108" w:type="dxa"/>
              <w:bottom w:w="0" w:type="dxa"/>
              <w:right w:w="108" w:type="dxa"/>
            </w:tcMar>
            <w:vAlign w:val="center"/>
          </w:tcPr>
          <w:p w14:paraId="16306E1A" w14:textId="77777777" w:rsidR="007E31E3" w:rsidRPr="00524435" w:rsidRDefault="007E31E3" w:rsidP="00820229">
            <w:pPr>
              <w:ind w:right="72"/>
              <w:jc w:val="both"/>
              <w:rPr>
                <w:rFonts w:ascii="Cambria" w:hAnsi="Cambria" w:cstheme="minorHAnsi"/>
                <w:color w:val="000000" w:themeColor="text1"/>
                <w:sz w:val="18"/>
                <w:szCs w:val="18"/>
              </w:rPr>
            </w:pPr>
            <w:r w:rsidRPr="00524435">
              <w:rPr>
                <w:rFonts w:ascii="Cambria" w:hAnsi="Cambria" w:cstheme="minorHAnsi"/>
                <w:b/>
                <w:bCs/>
                <w:color w:val="000000" w:themeColor="text1"/>
                <w:sz w:val="18"/>
                <w:szCs w:val="18"/>
              </w:rPr>
              <w:t>Third Clause. Point 1. Guarantees of non-repetition:</w:t>
            </w:r>
            <w:r w:rsidRPr="00524435">
              <w:rPr>
                <w:rFonts w:ascii="Cambria" w:hAnsi="Cambria" w:cstheme="minorHAnsi"/>
                <w:color w:val="000000" w:themeColor="text1"/>
                <w:sz w:val="18"/>
                <w:szCs w:val="18"/>
              </w:rPr>
              <w:t xml:space="preserve"> The Paraguayan State undertakes to request on a semiannual basis, through the Supreme Court of Justice, reports on the status of the proceedings of the cases of all courts in the country, in order to verify strict compliance with the time periods and deadlines established in procedural laws, and in the event that violations of these principles are observed, to apply the corresponding sanctions and, according to the seriousness of the incident, to file a report with the Magistrates’ Trial Jury, and it must report on this, until there is full compliance with the other clauses of the Agreement.</w:t>
            </w:r>
          </w:p>
        </w:tc>
        <w:tc>
          <w:tcPr>
            <w:tcW w:w="1440" w:type="dxa"/>
            <w:gridSpan w:val="2"/>
            <w:shd w:val="clear" w:color="auto" w:fill="D9D9D9" w:themeFill="background1" w:themeFillShade="D9"/>
            <w:tcMar>
              <w:top w:w="0" w:type="dxa"/>
              <w:left w:w="108" w:type="dxa"/>
              <w:bottom w:w="0" w:type="dxa"/>
              <w:right w:w="108" w:type="dxa"/>
            </w:tcMar>
            <w:vAlign w:val="center"/>
          </w:tcPr>
          <w:p w14:paraId="5AFC8747" w14:textId="77777777" w:rsidR="007E31E3" w:rsidRPr="00524435" w:rsidRDefault="007E31E3" w:rsidP="00820229">
            <w:pPr>
              <w:jc w:val="center"/>
              <w:rPr>
                <w:rFonts w:ascii="Cambria" w:eastAsia="MS Mincho" w:hAnsi="Cambria" w:cs="Arial"/>
                <w:b/>
                <w:sz w:val="18"/>
                <w:szCs w:val="18"/>
                <w:lang w:eastAsia="es-ES_tradnl"/>
              </w:rPr>
            </w:pPr>
            <w:r w:rsidRPr="00524435">
              <w:rPr>
                <w:rFonts w:ascii="Cambria" w:eastAsia="MS Mincho" w:hAnsi="Cambria" w:cs="Arial"/>
                <w:b/>
                <w:sz w:val="18"/>
                <w:szCs w:val="18"/>
                <w:lang w:eastAsia="es-ES_tradnl"/>
              </w:rPr>
              <w:t>Total 2021</w:t>
            </w:r>
          </w:p>
        </w:tc>
      </w:tr>
      <w:tr w:rsidR="007E31E3" w:rsidRPr="00524435" w14:paraId="08CA3E81" w14:textId="77777777" w:rsidTr="00820229">
        <w:tc>
          <w:tcPr>
            <w:tcW w:w="562" w:type="dxa"/>
            <w:shd w:val="clear" w:color="auto" w:fill="D9D9D9" w:themeFill="background1" w:themeFillShade="D9"/>
            <w:tcMar>
              <w:top w:w="0" w:type="dxa"/>
              <w:left w:w="108" w:type="dxa"/>
              <w:bottom w:w="0" w:type="dxa"/>
              <w:right w:w="108" w:type="dxa"/>
            </w:tcMar>
            <w:vAlign w:val="center"/>
          </w:tcPr>
          <w:p w14:paraId="09AACF54"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78E07186" w14:textId="77777777" w:rsidR="007E31E3" w:rsidRPr="00524435" w:rsidRDefault="007E31E3" w:rsidP="00820229">
            <w:pPr>
              <w:jc w:val="center"/>
              <w:rPr>
                <w:rFonts w:ascii="Cambria" w:eastAsia="MS Mincho" w:hAnsi="Cambria" w:cs="Arial"/>
                <w:b/>
                <w:bCs/>
                <w:sz w:val="18"/>
                <w:szCs w:val="18"/>
                <w:lang w:eastAsia="es-ES_tradnl"/>
              </w:rPr>
            </w:pPr>
          </w:p>
        </w:tc>
        <w:tc>
          <w:tcPr>
            <w:tcW w:w="1081" w:type="dxa"/>
            <w:shd w:val="clear" w:color="auto" w:fill="D9D9D9" w:themeFill="background1" w:themeFillShade="D9"/>
            <w:tcMar>
              <w:top w:w="0" w:type="dxa"/>
              <w:left w:w="108" w:type="dxa"/>
              <w:bottom w:w="0" w:type="dxa"/>
              <w:right w:w="108" w:type="dxa"/>
            </w:tcMar>
            <w:vAlign w:val="center"/>
          </w:tcPr>
          <w:p w14:paraId="557021BB"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D9D9D9" w:themeFill="background1" w:themeFillShade="D9"/>
            <w:tcMar>
              <w:top w:w="0" w:type="dxa"/>
              <w:left w:w="108" w:type="dxa"/>
              <w:bottom w:w="0" w:type="dxa"/>
              <w:right w:w="108" w:type="dxa"/>
            </w:tcMar>
            <w:vAlign w:val="center"/>
          </w:tcPr>
          <w:p w14:paraId="49CAED1B" w14:textId="77777777" w:rsidR="007E31E3" w:rsidRPr="00524435" w:rsidRDefault="007E31E3" w:rsidP="00820229">
            <w:pPr>
              <w:jc w:val="both"/>
              <w:rPr>
                <w:rFonts w:ascii="Cambria" w:hAnsi="Cambria" w:cstheme="minorHAnsi"/>
                <w:color w:val="000000" w:themeColor="text1"/>
                <w:sz w:val="18"/>
                <w:szCs w:val="18"/>
              </w:rPr>
            </w:pPr>
            <w:r w:rsidRPr="00524435">
              <w:rPr>
                <w:rFonts w:ascii="Cambria" w:hAnsi="Cambria" w:cstheme="minorHAnsi"/>
                <w:b/>
                <w:bCs/>
                <w:color w:val="000000" w:themeColor="text1"/>
                <w:sz w:val="18"/>
                <w:szCs w:val="18"/>
              </w:rPr>
              <w:t>Third Clause. Point 3. Guarantees of non-repetition:</w:t>
            </w:r>
            <w:r w:rsidRPr="00524435">
              <w:rPr>
                <w:rFonts w:ascii="Cambria" w:hAnsi="Cambria" w:cstheme="minorHAnsi"/>
                <w:color w:val="000000" w:themeColor="text1"/>
                <w:sz w:val="18"/>
                <w:szCs w:val="18"/>
              </w:rPr>
              <w:t xml:space="preserve"> Implement, within a period of one year counted from the date of the signing of the instant friendly settlement agreement, for the Magistrates of the Criminal Jurisdiction, the members of the Public Prosecutor’s Office and the Department of Criminal Investigation, a course or seminar on international due diligence standards in investigations, the gathering and weighing of forensic evidence  in the framework of specialized courses on State responsibility for negligence or mala praxis of its judicial bodies, which is to be implemented throughout the Republic of Paraguay. </w:t>
            </w:r>
          </w:p>
        </w:tc>
        <w:tc>
          <w:tcPr>
            <w:tcW w:w="1440" w:type="dxa"/>
            <w:gridSpan w:val="2"/>
            <w:shd w:val="clear" w:color="auto" w:fill="D9D9D9" w:themeFill="background1" w:themeFillShade="D9"/>
            <w:tcMar>
              <w:top w:w="0" w:type="dxa"/>
              <w:left w:w="108" w:type="dxa"/>
              <w:bottom w:w="0" w:type="dxa"/>
              <w:right w:w="108" w:type="dxa"/>
            </w:tcMar>
            <w:vAlign w:val="center"/>
          </w:tcPr>
          <w:p w14:paraId="08F70D6A" w14:textId="77777777" w:rsidR="007E31E3" w:rsidRPr="00524435" w:rsidRDefault="007E31E3" w:rsidP="00820229">
            <w:pPr>
              <w:jc w:val="center"/>
              <w:rPr>
                <w:rFonts w:ascii="Cambria" w:eastAsia="MS Mincho" w:hAnsi="Cambria" w:cs="Arial"/>
                <w:b/>
                <w:sz w:val="18"/>
                <w:szCs w:val="18"/>
                <w:lang w:eastAsia="es-ES_tradnl"/>
              </w:rPr>
            </w:pPr>
            <w:r w:rsidRPr="00524435">
              <w:rPr>
                <w:rFonts w:ascii="Cambria" w:eastAsia="MS Mincho" w:hAnsi="Cambria" w:cs="Arial"/>
                <w:b/>
                <w:sz w:val="18"/>
                <w:szCs w:val="18"/>
                <w:lang w:eastAsia="es-ES_tradnl"/>
              </w:rPr>
              <w:t>Total 2021</w:t>
            </w:r>
          </w:p>
        </w:tc>
      </w:tr>
      <w:tr w:rsidR="007E31E3" w:rsidRPr="00524435" w14:paraId="597590BC" w14:textId="77777777" w:rsidTr="00820229">
        <w:tc>
          <w:tcPr>
            <w:tcW w:w="562" w:type="dxa"/>
            <w:shd w:val="clear" w:color="auto" w:fill="D9D9D9" w:themeFill="background1" w:themeFillShade="D9"/>
            <w:tcMar>
              <w:top w:w="0" w:type="dxa"/>
              <w:left w:w="108" w:type="dxa"/>
              <w:bottom w:w="0" w:type="dxa"/>
              <w:right w:w="108" w:type="dxa"/>
            </w:tcMar>
            <w:vAlign w:val="center"/>
          </w:tcPr>
          <w:p w14:paraId="51CC87AB"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2E7D9CCA" w14:textId="77777777" w:rsidR="007E31E3" w:rsidRPr="00524435" w:rsidRDefault="007E31E3" w:rsidP="00820229">
            <w:pPr>
              <w:jc w:val="center"/>
              <w:rPr>
                <w:rFonts w:ascii="Cambria" w:eastAsia="MS Mincho" w:hAnsi="Cambria" w:cs="Arial"/>
                <w:b/>
                <w:bCs/>
                <w:sz w:val="18"/>
                <w:szCs w:val="18"/>
                <w:lang w:eastAsia="es-ES_tradnl"/>
              </w:rPr>
            </w:pPr>
          </w:p>
        </w:tc>
        <w:tc>
          <w:tcPr>
            <w:tcW w:w="1081" w:type="dxa"/>
            <w:shd w:val="clear" w:color="auto" w:fill="D9D9D9" w:themeFill="background1" w:themeFillShade="D9"/>
            <w:tcMar>
              <w:top w:w="0" w:type="dxa"/>
              <w:left w:w="108" w:type="dxa"/>
              <w:bottom w:w="0" w:type="dxa"/>
              <w:right w:w="108" w:type="dxa"/>
            </w:tcMar>
            <w:vAlign w:val="center"/>
          </w:tcPr>
          <w:p w14:paraId="23F4B9EA" w14:textId="77777777" w:rsidR="007E31E3" w:rsidRPr="00524435" w:rsidRDefault="007E31E3" w:rsidP="00820229">
            <w:pPr>
              <w:jc w:val="center"/>
              <w:rPr>
                <w:rFonts w:ascii="Cambria" w:hAnsi="Cambria"/>
                <w:sz w:val="18"/>
                <w:szCs w:val="18"/>
              </w:rPr>
            </w:pPr>
            <w:r w:rsidRPr="00524435">
              <w:rPr>
                <w:rFonts w:ascii="Cambria" w:hAnsi="Cambria"/>
                <w:sz w:val="18"/>
                <w:szCs w:val="18"/>
              </w:rPr>
              <w:t>Structural</w:t>
            </w:r>
          </w:p>
        </w:tc>
        <w:tc>
          <w:tcPr>
            <w:tcW w:w="5304" w:type="dxa"/>
            <w:gridSpan w:val="2"/>
            <w:shd w:val="clear" w:color="auto" w:fill="D9D9D9" w:themeFill="background1" w:themeFillShade="D9"/>
            <w:tcMar>
              <w:top w:w="0" w:type="dxa"/>
              <w:left w:w="108" w:type="dxa"/>
              <w:bottom w:w="0" w:type="dxa"/>
              <w:right w:w="108" w:type="dxa"/>
            </w:tcMar>
            <w:vAlign w:val="center"/>
          </w:tcPr>
          <w:p w14:paraId="7E8D1940" w14:textId="77777777" w:rsidR="007E31E3" w:rsidRPr="00524435" w:rsidRDefault="007E31E3" w:rsidP="00820229">
            <w:pPr>
              <w:jc w:val="both"/>
              <w:rPr>
                <w:rFonts w:ascii="Cambria" w:hAnsi="Cambria" w:cstheme="minorHAnsi"/>
                <w:color w:val="000000" w:themeColor="text1"/>
                <w:sz w:val="18"/>
                <w:szCs w:val="18"/>
              </w:rPr>
            </w:pPr>
            <w:r w:rsidRPr="00524435">
              <w:rPr>
                <w:rFonts w:ascii="Cambria" w:hAnsi="Cambria" w:cstheme="minorHAnsi"/>
                <w:b/>
                <w:bCs/>
                <w:color w:val="000000" w:themeColor="text1"/>
                <w:sz w:val="18"/>
                <w:szCs w:val="18"/>
              </w:rPr>
              <w:t>Fifth Clause:</w:t>
            </w:r>
            <w:r w:rsidRPr="00524435">
              <w:rPr>
                <w:rFonts w:ascii="Cambria" w:hAnsi="Cambria" w:cstheme="minorHAnsi"/>
                <w:color w:val="000000" w:themeColor="text1"/>
                <w:sz w:val="18"/>
                <w:szCs w:val="18"/>
              </w:rPr>
              <w:t xml:space="preserve"> The State undertakes to publish the full text of the Friendly Settlement Agreement on the website portal of the Ministry of Foreign Affairs and the Judiciary, with an announcement on the webpage of the Office of the President of the Republic, and keep it posted for a period of one year. Once full compliance is attained, the text will be published in the Official Gazette.  </w:t>
            </w:r>
          </w:p>
          <w:p w14:paraId="060EA4E3" w14:textId="77777777" w:rsidR="007E31E3" w:rsidRPr="00524435" w:rsidRDefault="007E31E3" w:rsidP="00820229">
            <w:pPr>
              <w:ind w:right="72"/>
              <w:jc w:val="both"/>
              <w:rPr>
                <w:rFonts w:ascii="Cambria" w:hAnsi="Cambria" w:cstheme="minorHAnsi"/>
                <w:color w:val="000000" w:themeColor="text1"/>
                <w:sz w:val="18"/>
                <w:szCs w:val="18"/>
              </w:rPr>
            </w:pPr>
            <w:r w:rsidRPr="00524435">
              <w:rPr>
                <w:rFonts w:ascii="Cambria" w:hAnsi="Cambria" w:cstheme="minorHAnsi"/>
                <w:color w:val="000000" w:themeColor="text1"/>
                <w:sz w:val="18"/>
                <w:szCs w:val="18"/>
              </w:rPr>
              <w:lastRenderedPageBreak/>
              <w:t>Once the instant Friendly Settlement Agreement has been fully implemented, the corresponding report of the Inter-American Commission on Human Rights, pursuant to the provisions of Article 49 of the American Convention on Human Rights, will be published in the Official Bulletin of the State (Official Gazette) and the Internet web Portal of the Judiciary and of the Ministry of Foreign Affairs.</w:t>
            </w:r>
          </w:p>
        </w:tc>
        <w:tc>
          <w:tcPr>
            <w:tcW w:w="1440" w:type="dxa"/>
            <w:gridSpan w:val="2"/>
            <w:shd w:val="clear" w:color="auto" w:fill="D9D9D9" w:themeFill="background1" w:themeFillShade="D9"/>
            <w:tcMar>
              <w:top w:w="0" w:type="dxa"/>
              <w:left w:w="108" w:type="dxa"/>
              <w:bottom w:w="0" w:type="dxa"/>
              <w:right w:w="108" w:type="dxa"/>
            </w:tcMar>
            <w:vAlign w:val="center"/>
          </w:tcPr>
          <w:p w14:paraId="7AD85D05" w14:textId="77777777" w:rsidR="007E31E3" w:rsidRPr="00524435" w:rsidRDefault="007E31E3" w:rsidP="00820229">
            <w:pPr>
              <w:jc w:val="center"/>
              <w:rPr>
                <w:rFonts w:ascii="Cambria" w:eastAsia="MS Mincho" w:hAnsi="Cambria" w:cs="Arial"/>
                <w:b/>
                <w:sz w:val="18"/>
                <w:szCs w:val="18"/>
                <w:lang w:eastAsia="es-ES_tradnl"/>
              </w:rPr>
            </w:pPr>
            <w:r w:rsidRPr="00524435">
              <w:rPr>
                <w:rFonts w:ascii="Cambria" w:eastAsia="MS Mincho" w:hAnsi="Cambria" w:cs="Arial"/>
                <w:b/>
                <w:sz w:val="18"/>
                <w:szCs w:val="18"/>
                <w:lang w:eastAsia="es-ES_tradnl"/>
              </w:rPr>
              <w:lastRenderedPageBreak/>
              <w:t>Total 2021</w:t>
            </w:r>
          </w:p>
        </w:tc>
      </w:tr>
      <w:tr w:rsidR="007E31E3" w:rsidRPr="00524435" w14:paraId="29604F75" w14:textId="77777777" w:rsidTr="00820229">
        <w:tc>
          <w:tcPr>
            <w:tcW w:w="562" w:type="dxa"/>
            <w:shd w:val="clear" w:color="auto" w:fill="auto"/>
            <w:tcMar>
              <w:top w:w="0" w:type="dxa"/>
              <w:left w:w="108" w:type="dxa"/>
              <w:bottom w:w="0" w:type="dxa"/>
              <w:right w:w="108" w:type="dxa"/>
            </w:tcMar>
            <w:vAlign w:val="center"/>
          </w:tcPr>
          <w:p w14:paraId="0E3E6952"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val="restart"/>
            <w:shd w:val="clear" w:color="auto" w:fill="auto"/>
            <w:vAlign w:val="center"/>
          </w:tcPr>
          <w:p w14:paraId="0B5B2D48" w14:textId="77777777" w:rsidR="007E31E3" w:rsidRPr="00524435" w:rsidRDefault="007E31E3" w:rsidP="00820229">
            <w:pPr>
              <w:jc w:val="center"/>
              <w:rPr>
                <w:rFonts w:ascii="Cambria" w:eastAsia="MS Mincho" w:hAnsi="Cambria" w:cs="Arial"/>
                <w:b/>
                <w:bCs/>
                <w:sz w:val="18"/>
                <w:szCs w:val="18"/>
                <w:lang w:eastAsia="es-ES_tradnl"/>
              </w:rPr>
            </w:pPr>
            <w:r w:rsidRPr="00524435">
              <w:rPr>
                <w:rFonts w:ascii="Cambria" w:hAnsi="Cambria" w:cs="Arial"/>
                <w:b/>
                <w:bCs/>
                <w:sz w:val="18"/>
                <w:szCs w:val="18"/>
                <w:lang w:eastAsia="es-ES_tradnl"/>
              </w:rPr>
              <w:t xml:space="preserve">Petition 747/05, Report No. 256/20, </w:t>
            </w:r>
            <w:r w:rsidRPr="00524435">
              <w:rPr>
                <w:rFonts w:ascii="Cambria" w:hAnsi="Cambria"/>
                <w:b/>
                <w:bCs/>
                <w:color w:val="000000"/>
                <w:sz w:val="18"/>
                <w:szCs w:val="18"/>
              </w:rPr>
              <w:t xml:space="preserve">Yaka </w:t>
            </w:r>
            <w:proofErr w:type="spellStart"/>
            <w:r w:rsidRPr="00524435">
              <w:rPr>
                <w:rFonts w:ascii="Cambria" w:hAnsi="Cambria"/>
                <w:b/>
                <w:bCs/>
                <w:color w:val="000000"/>
                <w:sz w:val="18"/>
                <w:szCs w:val="18"/>
              </w:rPr>
              <w:t>Marangatú</w:t>
            </w:r>
            <w:proofErr w:type="spellEnd"/>
            <w:r w:rsidRPr="00524435">
              <w:rPr>
                <w:rFonts w:ascii="Cambria" w:hAnsi="Cambria"/>
                <w:b/>
                <w:bCs/>
                <w:color w:val="000000"/>
                <w:sz w:val="18"/>
                <w:szCs w:val="18"/>
              </w:rPr>
              <w:t xml:space="preserve"> Indigenous Community of the </w:t>
            </w:r>
            <w:proofErr w:type="spellStart"/>
            <w:r w:rsidRPr="00524435">
              <w:rPr>
                <w:rFonts w:ascii="Cambria" w:hAnsi="Cambria"/>
                <w:b/>
                <w:bCs/>
                <w:color w:val="000000"/>
                <w:sz w:val="18"/>
                <w:szCs w:val="18"/>
              </w:rPr>
              <w:t>Mbyan</w:t>
            </w:r>
            <w:proofErr w:type="spellEnd"/>
            <w:r w:rsidRPr="00524435">
              <w:rPr>
                <w:rFonts w:ascii="Cambria" w:hAnsi="Cambria"/>
                <w:b/>
                <w:bCs/>
                <w:color w:val="000000"/>
                <w:sz w:val="18"/>
                <w:szCs w:val="18"/>
              </w:rPr>
              <w:t xml:space="preserve"> People </w:t>
            </w:r>
            <w:r w:rsidRPr="00524435">
              <w:rPr>
                <w:rFonts w:ascii="Cambria" w:hAnsi="Cambria" w:cs="Arial"/>
                <w:b/>
                <w:bCs/>
                <w:sz w:val="18"/>
                <w:szCs w:val="18"/>
                <w:lang w:eastAsia="es-ES_tradnl"/>
              </w:rPr>
              <w:t>(Paraguay)</w:t>
            </w:r>
          </w:p>
        </w:tc>
        <w:tc>
          <w:tcPr>
            <w:tcW w:w="1081" w:type="dxa"/>
            <w:shd w:val="clear" w:color="auto" w:fill="auto"/>
            <w:tcMar>
              <w:top w:w="0" w:type="dxa"/>
              <w:left w:w="108" w:type="dxa"/>
              <w:bottom w:w="0" w:type="dxa"/>
              <w:right w:w="108" w:type="dxa"/>
            </w:tcMar>
            <w:vAlign w:val="center"/>
          </w:tcPr>
          <w:p w14:paraId="43E4E95D"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3FD97631" w14:textId="77777777" w:rsidR="007E31E3" w:rsidRPr="00524435" w:rsidRDefault="007E31E3" w:rsidP="00820229">
            <w:pPr>
              <w:ind w:right="72"/>
              <w:jc w:val="both"/>
              <w:rPr>
                <w:rFonts w:ascii="Cambria" w:hAnsi="Cambria" w:cstheme="minorHAnsi"/>
                <w:color w:val="000000" w:themeColor="text1"/>
                <w:sz w:val="18"/>
                <w:szCs w:val="18"/>
              </w:rPr>
            </w:pPr>
            <w:r w:rsidRPr="00524435">
              <w:rPr>
                <w:rFonts w:ascii="Cambria" w:hAnsi="Cambria" w:cstheme="minorHAnsi"/>
                <w:b/>
                <w:bCs/>
                <w:color w:val="000000" w:themeColor="text1"/>
                <w:sz w:val="18"/>
                <w:szCs w:val="18"/>
              </w:rPr>
              <w:t>Fourth Clause:</w:t>
            </w:r>
            <w:r w:rsidRPr="00524435">
              <w:rPr>
                <w:rFonts w:ascii="Cambria" w:hAnsi="Cambria" w:cstheme="minorHAnsi"/>
                <w:color w:val="000000" w:themeColor="text1"/>
                <w:sz w:val="18"/>
                <w:szCs w:val="18"/>
              </w:rPr>
              <w:t xml:space="preserve"> The State accepts the commitment to follow-up on the formal complaint brought by the Environmental Unit of the Public Prosecutor’s Office, for alleged situations which amount to the commission of environmental crimes on the </w:t>
            </w:r>
            <w:proofErr w:type="gramStart"/>
            <w:r w:rsidRPr="00524435">
              <w:rPr>
                <w:rFonts w:ascii="Cambria" w:hAnsi="Cambria" w:cstheme="minorHAnsi"/>
                <w:color w:val="000000" w:themeColor="text1"/>
                <w:sz w:val="18"/>
                <w:szCs w:val="18"/>
              </w:rPr>
              <w:t>aforementioned territory</w:t>
            </w:r>
            <w:proofErr w:type="gramEnd"/>
            <w:r w:rsidRPr="00524435">
              <w:rPr>
                <w:rFonts w:ascii="Cambria" w:hAnsi="Cambria" w:cstheme="minorHAnsi"/>
                <w:color w:val="000000" w:themeColor="text1"/>
                <w:sz w:val="18"/>
                <w:szCs w:val="18"/>
              </w:rPr>
              <w:t xml:space="preserve">. </w:t>
            </w:r>
          </w:p>
        </w:tc>
        <w:tc>
          <w:tcPr>
            <w:tcW w:w="1440" w:type="dxa"/>
            <w:gridSpan w:val="2"/>
            <w:shd w:val="clear" w:color="auto" w:fill="auto"/>
            <w:tcMar>
              <w:top w:w="0" w:type="dxa"/>
              <w:left w:w="108" w:type="dxa"/>
              <w:bottom w:w="0" w:type="dxa"/>
              <w:right w:w="108" w:type="dxa"/>
            </w:tcMar>
            <w:vAlign w:val="center"/>
          </w:tcPr>
          <w:p w14:paraId="149814BD" w14:textId="77777777" w:rsidR="007E31E3" w:rsidRPr="00524435" w:rsidRDefault="007E31E3" w:rsidP="00820229">
            <w:pPr>
              <w:jc w:val="center"/>
              <w:rPr>
                <w:rFonts w:ascii="Cambria" w:eastAsia="MS Mincho" w:hAnsi="Cambria" w:cs="Arial"/>
                <w:b/>
                <w:sz w:val="18"/>
                <w:szCs w:val="18"/>
                <w:lang w:eastAsia="es-ES_tradnl"/>
              </w:rPr>
            </w:pPr>
            <w:r w:rsidRPr="00524435">
              <w:rPr>
                <w:rFonts w:ascii="Cambria" w:eastAsia="MS Mincho" w:hAnsi="Cambria" w:cs="Arial"/>
                <w:b/>
                <w:sz w:val="18"/>
                <w:szCs w:val="18"/>
                <w:lang w:eastAsia="es-ES_tradnl"/>
              </w:rPr>
              <w:t>Total 2021</w:t>
            </w:r>
          </w:p>
        </w:tc>
      </w:tr>
      <w:tr w:rsidR="007E31E3" w:rsidRPr="00524435" w14:paraId="6BAD6A85" w14:textId="77777777" w:rsidTr="00820229">
        <w:tc>
          <w:tcPr>
            <w:tcW w:w="562" w:type="dxa"/>
            <w:shd w:val="clear" w:color="auto" w:fill="auto"/>
            <w:tcMar>
              <w:top w:w="0" w:type="dxa"/>
              <w:left w:w="108" w:type="dxa"/>
              <w:bottom w:w="0" w:type="dxa"/>
              <w:right w:w="108" w:type="dxa"/>
            </w:tcMar>
            <w:vAlign w:val="center"/>
          </w:tcPr>
          <w:p w14:paraId="6ED50934"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vAlign w:val="center"/>
          </w:tcPr>
          <w:p w14:paraId="7DCEF797" w14:textId="77777777" w:rsidR="007E31E3" w:rsidRPr="00524435" w:rsidRDefault="007E31E3" w:rsidP="00820229">
            <w:pPr>
              <w:jc w:val="center"/>
              <w:rPr>
                <w:rFonts w:ascii="Cambria" w:eastAsia="MS Mincho" w:hAnsi="Cambria" w:cs="Arial"/>
                <w:b/>
                <w:bCs/>
                <w:sz w:val="18"/>
                <w:szCs w:val="18"/>
                <w:lang w:eastAsia="es-ES_tradnl"/>
              </w:rPr>
            </w:pPr>
          </w:p>
        </w:tc>
        <w:tc>
          <w:tcPr>
            <w:tcW w:w="1081" w:type="dxa"/>
            <w:shd w:val="clear" w:color="auto" w:fill="auto"/>
            <w:tcMar>
              <w:top w:w="0" w:type="dxa"/>
              <w:left w:w="108" w:type="dxa"/>
              <w:bottom w:w="0" w:type="dxa"/>
              <w:right w:w="108" w:type="dxa"/>
            </w:tcMar>
            <w:vAlign w:val="center"/>
          </w:tcPr>
          <w:p w14:paraId="07FD44AF"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1A40A58C" w14:textId="77777777" w:rsidR="007E31E3" w:rsidRPr="00524435" w:rsidRDefault="007E31E3" w:rsidP="00820229">
            <w:pPr>
              <w:ind w:right="72"/>
              <w:jc w:val="both"/>
              <w:rPr>
                <w:rFonts w:ascii="Cambria" w:hAnsi="Cambria" w:cstheme="minorHAnsi"/>
                <w:color w:val="000000" w:themeColor="text1"/>
                <w:sz w:val="18"/>
                <w:szCs w:val="18"/>
              </w:rPr>
            </w:pPr>
            <w:r w:rsidRPr="00524435">
              <w:rPr>
                <w:rFonts w:ascii="Cambria" w:hAnsi="Cambria" w:cstheme="minorHAnsi"/>
                <w:b/>
                <w:bCs/>
                <w:color w:val="000000" w:themeColor="text1"/>
                <w:sz w:val="18"/>
                <w:szCs w:val="18"/>
              </w:rPr>
              <w:t>Seventh Clause:</w:t>
            </w:r>
            <w:r w:rsidRPr="00524435">
              <w:rPr>
                <w:rFonts w:ascii="Cambria" w:hAnsi="Cambria" w:cstheme="minorHAnsi"/>
                <w:color w:val="000000" w:themeColor="text1"/>
                <w:sz w:val="18"/>
                <w:szCs w:val="18"/>
              </w:rPr>
              <w:t xml:space="preserve"> The Paraguayan State undertakes to take the necessary measures to investigate the alleged damages caused to the Community and that were reported by their legal representatives, so that, should such damages be proven, those responsible for the acts can be individually identified, and the appropriate actions could be pursued for those responsible to eventually redress the damages to the Indigenous Community.  </w:t>
            </w:r>
          </w:p>
        </w:tc>
        <w:tc>
          <w:tcPr>
            <w:tcW w:w="1440" w:type="dxa"/>
            <w:gridSpan w:val="2"/>
            <w:shd w:val="clear" w:color="auto" w:fill="auto"/>
            <w:tcMar>
              <w:top w:w="0" w:type="dxa"/>
              <w:left w:w="108" w:type="dxa"/>
              <w:bottom w:w="0" w:type="dxa"/>
              <w:right w:w="108" w:type="dxa"/>
            </w:tcMar>
            <w:vAlign w:val="center"/>
          </w:tcPr>
          <w:p w14:paraId="3D1BB9A3" w14:textId="77777777" w:rsidR="007E31E3" w:rsidRPr="00524435" w:rsidRDefault="007E31E3" w:rsidP="00820229">
            <w:pPr>
              <w:jc w:val="center"/>
              <w:rPr>
                <w:rFonts w:ascii="Cambria" w:eastAsia="MS Mincho" w:hAnsi="Cambria" w:cs="Arial"/>
                <w:b/>
                <w:sz w:val="18"/>
                <w:szCs w:val="18"/>
                <w:lang w:eastAsia="es-ES_tradnl"/>
              </w:rPr>
            </w:pPr>
            <w:r w:rsidRPr="00524435">
              <w:rPr>
                <w:rFonts w:ascii="Cambria" w:eastAsia="MS Mincho" w:hAnsi="Cambria" w:cs="Arial"/>
                <w:b/>
                <w:sz w:val="18"/>
                <w:szCs w:val="18"/>
                <w:lang w:eastAsia="es-ES_tradnl"/>
              </w:rPr>
              <w:t>Partial 2021</w:t>
            </w:r>
          </w:p>
        </w:tc>
      </w:tr>
      <w:tr w:rsidR="007E31E3" w:rsidRPr="00524435" w14:paraId="30709B91" w14:textId="77777777" w:rsidTr="00820229">
        <w:tc>
          <w:tcPr>
            <w:tcW w:w="562" w:type="dxa"/>
            <w:shd w:val="clear" w:color="auto" w:fill="auto"/>
            <w:tcMar>
              <w:top w:w="0" w:type="dxa"/>
              <w:left w:w="108" w:type="dxa"/>
              <w:bottom w:w="0" w:type="dxa"/>
              <w:right w:w="108" w:type="dxa"/>
            </w:tcMar>
            <w:vAlign w:val="center"/>
          </w:tcPr>
          <w:p w14:paraId="76DC5504"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auto"/>
            <w:vAlign w:val="center"/>
          </w:tcPr>
          <w:p w14:paraId="7DB67F73" w14:textId="77777777" w:rsidR="007E31E3" w:rsidRPr="00524435" w:rsidRDefault="007E31E3" w:rsidP="00820229">
            <w:pPr>
              <w:jc w:val="center"/>
              <w:rPr>
                <w:rFonts w:ascii="Cambria" w:eastAsia="MS Mincho" w:hAnsi="Cambria" w:cs="Arial"/>
                <w:b/>
                <w:bCs/>
                <w:sz w:val="18"/>
                <w:szCs w:val="18"/>
                <w:lang w:eastAsia="es-ES_tradnl"/>
              </w:rPr>
            </w:pPr>
          </w:p>
        </w:tc>
        <w:tc>
          <w:tcPr>
            <w:tcW w:w="1081" w:type="dxa"/>
            <w:shd w:val="clear" w:color="auto" w:fill="auto"/>
            <w:tcMar>
              <w:top w:w="0" w:type="dxa"/>
              <w:left w:w="108" w:type="dxa"/>
              <w:bottom w:w="0" w:type="dxa"/>
              <w:right w:w="108" w:type="dxa"/>
            </w:tcMar>
            <w:vAlign w:val="center"/>
          </w:tcPr>
          <w:p w14:paraId="5D444880" w14:textId="77777777" w:rsidR="007E31E3" w:rsidRPr="00524435" w:rsidRDefault="007E31E3" w:rsidP="00820229">
            <w:pPr>
              <w:jc w:val="center"/>
              <w:rPr>
                <w:rFonts w:ascii="Cambria" w:hAnsi="Cambria"/>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1F9E3BBB" w14:textId="77777777" w:rsidR="007E31E3" w:rsidRPr="00524435" w:rsidRDefault="007E31E3" w:rsidP="00820229">
            <w:pPr>
              <w:ind w:right="72"/>
              <w:jc w:val="both"/>
              <w:rPr>
                <w:rFonts w:ascii="Cambria" w:hAnsi="Cambria" w:cstheme="minorHAnsi"/>
                <w:color w:val="000000" w:themeColor="text1"/>
                <w:sz w:val="18"/>
                <w:szCs w:val="18"/>
              </w:rPr>
            </w:pPr>
            <w:r w:rsidRPr="00524435">
              <w:rPr>
                <w:rFonts w:ascii="Cambria" w:hAnsi="Cambria" w:cstheme="minorHAnsi"/>
                <w:b/>
                <w:bCs/>
                <w:color w:val="000000" w:themeColor="text1"/>
                <w:sz w:val="18"/>
                <w:szCs w:val="18"/>
              </w:rPr>
              <w:t>Eight Clause:</w:t>
            </w:r>
            <w:r w:rsidRPr="00524435">
              <w:rPr>
                <w:rFonts w:ascii="Cambria" w:hAnsi="Cambria" w:cstheme="minorHAnsi"/>
                <w:color w:val="000000" w:themeColor="text1"/>
                <w:sz w:val="18"/>
                <w:szCs w:val="18"/>
              </w:rPr>
              <w:t xml:space="preserve"> The State undertakes to provide regular medical assistance to the Indigenous Community, as well as endow it with the necessary equipment and supplies for this purpose.  </w:t>
            </w:r>
          </w:p>
        </w:tc>
        <w:tc>
          <w:tcPr>
            <w:tcW w:w="1440" w:type="dxa"/>
            <w:gridSpan w:val="2"/>
            <w:shd w:val="clear" w:color="auto" w:fill="auto"/>
            <w:tcMar>
              <w:top w:w="0" w:type="dxa"/>
              <w:left w:w="108" w:type="dxa"/>
              <w:bottom w:w="0" w:type="dxa"/>
              <w:right w:w="108" w:type="dxa"/>
            </w:tcMar>
            <w:vAlign w:val="center"/>
          </w:tcPr>
          <w:p w14:paraId="1466379F" w14:textId="77777777" w:rsidR="007E31E3" w:rsidRPr="00524435" w:rsidRDefault="007E31E3" w:rsidP="00820229">
            <w:pPr>
              <w:jc w:val="center"/>
              <w:rPr>
                <w:rFonts w:ascii="Cambria" w:eastAsia="MS Mincho" w:hAnsi="Cambria" w:cs="Arial"/>
                <w:b/>
                <w:sz w:val="18"/>
                <w:szCs w:val="18"/>
                <w:lang w:eastAsia="es-ES_tradnl"/>
              </w:rPr>
            </w:pPr>
            <w:r w:rsidRPr="00524435">
              <w:rPr>
                <w:rFonts w:ascii="Cambria" w:eastAsia="MS Mincho" w:hAnsi="Cambria" w:cs="Arial"/>
                <w:b/>
                <w:sz w:val="18"/>
                <w:szCs w:val="18"/>
                <w:lang w:eastAsia="es-ES_tradnl"/>
              </w:rPr>
              <w:t>Total 2021</w:t>
            </w:r>
          </w:p>
        </w:tc>
      </w:tr>
      <w:tr w:rsidR="007E31E3" w:rsidRPr="00524435" w14:paraId="1B04549D" w14:textId="77777777" w:rsidTr="00820229">
        <w:tc>
          <w:tcPr>
            <w:tcW w:w="562" w:type="dxa"/>
            <w:shd w:val="clear" w:color="auto" w:fill="D9D9D9" w:themeFill="background1" w:themeFillShade="D9"/>
            <w:tcMar>
              <w:top w:w="0" w:type="dxa"/>
              <w:left w:w="108" w:type="dxa"/>
              <w:bottom w:w="0" w:type="dxa"/>
              <w:right w:w="108" w:type="dxa"/>
            </w:tcMar>
            <w:vAlign w:val="center"/>
          </w:tcPr>
          <w:p w14:paraId="6B0CC41E"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val="restart"/>
            <w:shd w:val="clear" w:color="auto" w:fill="D9D9D9" w:themeFill="background1" w:themeFillShade="D9"/>
            <w:vAlign w:val="center"/>
          </w:tcPr>
          <w:p w14:paraId="63CCA6D0" w14:textId="77777777" w:rsidR="007E31E3" w:rsidRPr="00524435" w:rsidRDefault="007E31E3" w:rsidP="00820229">
            <w:pPr>
              <w:jc w:val="center"/>
              <w:rPr>
                <w:rFonts w:ascii="Cambria" w:hAnsi="Cambria"/>
                <w:b/>
                <w:bCs/>
                <w:sz w:val="18"/>
                <w:szCs w:val="18"/>
              </w:rPr>
            </w:pPr>
            <w:r w:rsidRPr="00524435">
              <w:rPr>
                <w:rFonts w:ascii="Cambria" w:eastAsia="MS Mincho" w:hAnsi="Cambria" w:cs="Arial"/>
                <w:b/>
                <w:bCs/>
                <w:sz w:val="18"/>
                <w:szCs w:val="18"/>
                <w:lang w:eastAsia="es-ES_tradnl"/>
              </w:rPr>
              <w:t xml:space="preserve">Case 12.330, Report No.206/21, </w:t>
            </w:r>
            <w:r w:rsidRPr="00524435">
              <w:rPr>
                <w:rFonts w:ascii="Cambria" w:hAnsi="Cambria"/>
                <w:b/>
                <w:bCs/>
                <w:color w:val="000000"/>
                <w:sz w:val="18"/>
                <w:szCs w:val="18"/>
              </w:rPr>
              <w:t xml:space="preserve">Marcelino Gómez and Other </w:t>
            </w:r>
            <w:r w:rsidRPr="00524435">
              <w:rPr>
                <w:rFonts w:ascii="Cambria" w:eastAsia="MS Mincho" w:hAnsi="Cambria" w:cs="Arial"/>
                <w:b/>
                <w:bCs/>
                <w:sz w:val="18"/>
                <w:szCs w:val="18"/>
                <w:lang w:eastAsia="es-ES_tradnl"/>
              </w:rPr>
              <w:t>(Paraguay)</w:t>
            </w:r>
          </w:p>
        </w:tc>
        <w:tc>
          <w:tcPr>
            <w:tcW w:w="1081" w:type="dxa"/>
            <w:shd w:val="clear" w:color="auto" w:fill="D9D9D9" w:themeFill="background1" w:themeFillShade="D9"/>
            <w:tcMar>
              <w:top w:w="0" w:type="dxa"/>
              <w:left w:w="108" w:type="dxa"/>
              <w:bottom w:w="0" w:type="dxa"/>
              <w:right w:w="108" w:type="dxa"/>
            </w:tcMar>
            <w:vAlign w:val="center"/>
          </w:tcPr>
          <w:p w14:paraId="3D285367"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4F146817" w14:textId="77777777" w:rsidR="007E31E3" w:rsidRPr="00524435" w:rsidRDefault="007E31E3" w:rsidP="00820229">
            <w:pPr>
              <w:ind w:right="72"/>
              <w:jc w:val="both"/>
              <w:rPr>
                <w:rFonts w:ascii="Cambria" w:hAnsi="Cambria"/>
                <w:b/>
                <w:strike/>
                <w:color w:val="FF0000"/>
                <w:sz w:val="18"/>
                <w:szCs w:val="18"/>
              </w:rPr>
            </w:pPr>
            <w:r w:rsidRPr="00524435">
              <w:rPr>
                <w:rFonts w:ascii="Cambria" w:eastAsia="MS Mincho" w:hAnsi="Cambria" w:cs="Arial"/>
                <w:b/>
                <w:sz w:val="18"/>
                <w:szCs w:val="18"/>
                <w:lang w:eastAsia="es-ES_tradnl"/>
              </w:rPr>
              <w:t xml:space="preserve">Second Clause. Letter a. </w:t>
            </w:r>
            <w:r w:rsidRPr="00524435">
              <w:rPr>
                <w:rFonts w:ascii="Cambria" w:hAnsi="Cambria" w:cstheme="minorHAnsi"/>
                <w:color w:val="000000" w:themeColor="text1"/>
                <w:sz w:val="18"/>
                <w:szCs w:val="18"/>
              </w:rPr>
              <w:t>The State of Paraguay, within three months of the signing of this agreement, shall make an act of public apology and recognition of international responsibility concerning the human rights violations recognized above.</w:t>
            </w:r>
          </w:p>
        </w:tc>
        <w:tc>
          <w:tcPr>
            <w:tcW w:w="1440" w:type="dxa"/>
            <w:gridSpan w:val="2"/>
            <w:shd w:val="clear" w:color="auto" w:fill="D9D9D9" w:themeFill="background1" w:themeFillShade="D9"/>
            <w:tcMar>
              <w:top w:w="0" w:type="dxa"/>
              <w:left w:w="108" w:type="dxa"/>
              <w:bottom w:w="0" w:type="dxa"/>
              <w:right w:w="108" w:type="dxa"/>
            </w:tcMar>
            <w:vAlign w:val="center"/>
          </w:tcPr>
          <w:p w14:paraId="5CEA13BE"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7C479FDC" w14:textId="77777777" w:rsidTr="00820229">
        <w:tc>
          <w:tcPr>
            <w:tcW w:w="562" w:type="dxa"/>
            <w:shd w:val="clear" w:color="auto" w:fill="D9D9D9" w:themeFill="background1" w:themeFillShade="D9"/>
            <w:tcMar>
              <w:top w:w="0" w:type="dxa"/>
              <w:left w:w="108" w:type="dxa"/>
              <w:bottom w:w="0" w:type="dxa"/>
              <w:right w:w="108" w:type="dxa"/>
            </w:tcMar>
            <w:vAlign w:val="center"/>
          </w:tcPr>
          <w:p w14:paraId="102ED6CA"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6FF2CF5C" w14:textId="77777777" w:rsidR="007E31E3" w:rsidRPr="00524435" w:rsidRDefault="007E31E3" w:rsidP="00820229">
            <w:pP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5109DD4E"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027BCDEF" w14:textId="77777777" w:rsidR="007E31E3" w:rsidRPr="00524435" w:rsidRDefault="007E31E3" w:rsidP="00820229">
            <w:pPr>
              <w:jc w:val="both"/>
              <w:rPr>
                <w:rFonts w:ascii="Cambria" w:hAnsi="Cambria"/>
                <w:b/>
                <w:strike/>
                <w:color w:val="FF0000"/>
                <w:sz w:val="18"/>
                <w:szCs w:val="18"/>
              </w:rPr>
            </w:pPr>
            <w:r w:rsidRPr="00524435">
              <w:rPr>
                <w:rFonts w:ascii="Cambria" w:eastAsia="MS Mincho" w:hAnsi="Cambria" w:cs="Arial"/>
                <w:b/>
                <w:sz w:val="18"/>
                <w:szCs w:val="18"/>
                <w:lang w:eastAsia="es-ES_tradnl"/>
              </w:rPr>
              <w:t>Second Clause. Letter b.</w:t>
            </w:r>
            <w:r w:rsidRPr="00524435">
              <w:rPr>
                <w:rFonts w:ascii="Cambria" w:eastAsia="Times New Roman" w:hAnsi="Cambria"/>
                <w:sz w:val="18"/>
                <w:szCs w:val="18"/>
              </w:rPr>
              <w:t xml:space="preserve"> </w:t>
            </w:r>
            <w:r w:rsidRPr="00524435">
              <w:rPr>
                <w:rFonts w:ascii="Cambria" w:eastAsia="MS Mincho" w:hAnsi="Cambria" w:cs="Arial"/>
                <w:bCs/>
                <w:sz w:val="18"/>
                <w:szCs w:val="18"/>
                <w:lang w:eastAsia="es-ES_tradnl"/>
              </w:rPr>
              <w:t>The text of the apology and acknowledgment shall be</w:t>
            </w:r>
            <w:r w:rsidRPr="00524435">
              <w:rPr>
                <w:rFonts w:ascii="Cambria" w:eastAsia="MS Mincho" w:hAnsi="Cambria" w:cs="Arial"/>
                <w:b/>
                <w:sz w:val="18"/>
                <w:szCs w:val="18"/>
                <w:lang w:eastAsia="es-ES_tradnl"/>
              </w:rPr>
              <w:t xml:space="preserve"> </w:t>
            </w:r>
            <w:r w:rsidRPr="00524435">
              <w:rPr>
                <w:rFonts w:ascii="Cambria" w:eastAsia="MS Mincho" w:hAnsi="Cambria" w:cs="Arial"/>
                <w:bCs/>
                <w:sz w:val="18"/>
                <w:szCs w:val="18"/>
                <w:lang w:eastAsia="es-ES_tradnl"/>
              </w:rPr>
              <w:t xml:space="preserve">drawn up by mutual agreement between the State and the victims’ representatives. The acknowledgment mentioned above shall be made in a public act in the Minister of </w:t>
            </w:r>
            <w:proofErr w:type="spellStart"/>
            <w:r w:rsidRPr="00524435">
              <w:rPr>
                <w:rFonts w:ascii="Cambria" w:eastAsia="MS Mincho" w:hAnsi="Cambria" w:cs="Arial"/>
                <w:bCs/>
                <w:sz w:val="18"/>
                <w:szCs w:val="18"/>
                <w:lang w:eastAsia="es-ES_tradnl"/>
              </w:rPr>
              <w:t>Defence’s</w:t>
            </w:r>
            <w:proofErr w:type="spellEnd"/>
            <w:r w:rsidRPr="00524435">
              <w:rPr>
                <w:rFonts w:ascii="Cambria" w:eastAsia="MS Mincho" w:hAnsi="Cambria" w:cs="Arial"/>
                <w:bCs/>
                <w:sz w:val="18"/>
                <w:szCs w:val="18"/>
                <w:lang w:eastAsia="es-ES_tradnl"/>
              </w:rPr>
              <w:t xml:space="preserve"> presence as well as the Commander of the Army and a representative of the Commander of the Military Forces and other high-level authorities. The State shall guarantee the presence of the victims’ families at the ceremony and shall inform their representatives, human rights organizations, and the media at least 15 days in advance.</w:t>
            </w:r>
          </w:p>
        </w:tc>
        <w:tc>
          <w:tcPr>
            <w:tcW w:w="1440" w:type="dxa"/>
            <w:gridSpan w:val="2"/>
            <w:shd w:val="clear" w:color="auto" w:fill="D9D9D9" w:themeFill="background1" w:themeFillShade="D9"/>
            <w:tcMar>
              <w:top w:w="0" w:type="dxa"/>
              <w:left w:w="108" w:type="dxa"/>
              <w:bottom w:w="0" w:type="dxa"/>
              <w:right w:w="108" w:type="dxa"/>
            </w:tcMar>
            <w:vAlign w:val="center"/>
          </w:tcPr>
          <w:p w14:paraId="62980012"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0599D4FE" w14:textId="77777777" w:rsidTr="00820229">
        <w:tc>
          <w:tcPr>
            <w:tcW w:w="562" w:type="dxa"/>
            <w:shd w:val="clear" w:color="auto" w:fill="D9D9D9" w:themeFill="background1" w:themeFillShade="D9"/>
            <w:tcMar>
              <w:top w:w="0" w:type="dxa"/>
              <w:left w:w="108" w:type="dxa"/>
              <w:bottom w:w="0" w:type="dxa"/>
              <w:right w:w="108" w:type="dxa"/>
            </w:tcMar>
            <w:vAlign w:val="center"/>
          </w:tcPr>
          <w:p w14:paraId="62CCAC49"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60FA65FA" w14:textId="77777777" w:rsidR="007E31E3" w:rsidRPr="00524435" w:rsidRDefault="007E31E3" w:rsidP="00820229">
            <w:pP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01271286"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52FE44F8" w14:textId="77777777" w:rsidR="007E31E3" w:rsidRPr="00524435" w:rsidRDefault="007E31E3" w:rsidP="00820229">
            <w:pPr>
              <w:contextualSpacing/>
              <w:jc w:val="both"/>
              <w:rPr>
                <w:rFonts w:ascii="Cambria" w:hAnsi="Cambria"/>
                <w:b/>
                <w:strike/>
                <w:color w:val="FF0000"/>
                <w:sz w:val="18"/>
                <w:szCs w:val="18"/>
              </w:rPr>
            </w:pPr>
            <w:r w:rsidRPr="00524435">
              <w:rPr>
                <w:rFonts w:ascii="Cambria" w:eastAsia="MS Mincho" w:hAnsi="Cambria" w:cs="Arial"/>
                <w:b/>
                <w:sz w:val="18"/>
                <w:szCs w:val="18"/>
                <w:lang w:eastAsia="es-ES_tradnl"/>
              </w:rPr>
              <w:t xml:space="preserve">Second Clause. Letter c. </w:t>
            </w:r>
            <w:r w:rsidRPr="00524435">
              <w:rPr>
                <w:rFonts w:ascii="Cambria" w:hAnsi="Cambria" w:cstheme="minorHAnsi"/>
                <w:color w:val="000000" w:themeColor="text1"/>
                <w:sz w:val="18"/>
                <w:szCs w:val="18"/>
              </w:rPr>
              <w:t xml:space="preserve">The act of apology and recognition will be widely broadcast on Radio Nacional (in Spanish and Guaraní), as well as in other mass media. </w:t>
            </w:r>
          </w:p>
        </w:tc>
        <w:tc>
          <w:tcPr>
            <w:tcW w:w="1440" w:type="dxa"/>
            <w:gridSpan w:val="2"/>
            <w:shd w:val="clear" w:color="auto" w:fill="D9D9D9" w:themeFill="background1" w:themeFillShade="D9"/>
            <w:tcMar>
              <w:top w:w="0" w:type="dxa"/>
              <w:left w:w="108" w:type="dxa"/>
              <w:bottom w:w="0" w:type="dxa"/>
              <w:right w:w="108" w:type="dxa"/>
            </w:tcMar>
            <w:vAlign w:val="center"/>
          </w:tcPr>
          <w:p w14:paraId="7FA8B0F6"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04243104" w14:textId="77777777" w:rsidTr="00820229">
        <w:tc>
          <w:tcPr>
            <w:tcW w:w="562" w:type="dxa"/>
            <w:shd w:val="clear" w:color="auto" w:fill="D9D9D9" w:themeFill="background1" w:themeFillShade="D9"/>
            <w:tcMar>
              <w:top w:w="0" w:type="dxa"/>
              <w:left w:w="108" w:type="dxa"/>
              <w:bottom w:w="0" w:type="dxa"/>
              <w:right w:w="108" w:type="dxa"/>
            </w:tcMar>
            <w:vAlign w:val="center"/>
          </w:tcPr>
          <w:p w14:paraId="798CBF0E"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278A716D" w14:textId="77777777" w:rsidR="007E31E3" w:rsidRPr="00524435" w:rsidRDefault="007E31E3" w:rsidP="00820229">
            <w:pP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052E2776"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Structural</w:t>
            </w:r>
          </w:p>
        </w:tc>
        <w:tc>
          <w:tcPr>
            <w:tcW w:w="5304" w:type="dxa"/>
            <w:gridSpan w:val="2"/>
            <w:shd w:val="clear" w:color="auto" w:fill="D9D9D9" w:themeFill="background1" w:themeFillShade="D9"/>
            <w:tcMar>
              <w:top w:w="0" w:type="dxa"/>
              <w:left w:w="108" w:type="dxa"/>
              <w:bottom w:w="0" w:type="dxa"/>
              <w:right w:w="108" w:type="dxa"/>
            </w:tcMar>
            <w:vAlign w:val="center"/>
          </w:tcPr>
          <w:p w14:paraId="56AC8A92" w14:textId="77777777" w:rsidR="007E31E3" w:rsidRPr="00524435" w:rsidRDefault="007E31E3" w:rsidP="00820229">
            <w:pPr>
              <w:jc w:val="both"/>
              <w:rPr>
                <w:rFonts w:ascii="Cambria" w:hAnsi="Cambria"/>
                <w:strike/>
                <w:color w:val="FF0000"/>
                <w:sz w:val="18"/>
                <w:szCs w:val="18"/>
              </w:rPr>
            </w:pPr>
            <w:r w:rsidRPr="00524435">
              <w:rPr>
                <w:rFonts w:ascii="Cambria" w:eastAsia="MS Mincho" w:hAnsi="Cambria" w:cs="Arial"/>
                <w:b/>
                <w:sz w:val="18"/>
                <w:szCs w:val="18"/>
                <w:lang w:eastAsia="es-ES_tradnl"/>
              </w:rPr>
              <w:t xml:space="preserve">Second Clause. Letter d. </w:t>
            </w:r>
            <w:r w:rsidRPr="00524435">
              <w:rPr>
                <w:rFonts w:ascii="Cambria" w:hAnsi="Cambria" w:cstheme="minorHAnsi"/>
                <w:color w:val="000000" w:themeColor="text1"/>
                <w:sz w:val="18"/>
                <w:szCs w:val="18"/>
              </w:rPr>
              <w:t xml:space="preserve">At the same time, the State undertakes to publish the full text of the Friendly Settlement Agreement in a newspaper of national circulation and the Official Gazette. In addition, it will be posted on the websites of the Presidency of the Republic and the Ministry of Foreign Affairs and will remain online for at least six months. </w:t>
            </w:r>
          </w:p>
        </w:tc>
        <w:tc>
          <w:tcPr>
            <w:tcW w:w="1440" w:type="dxa"/>
            <w:gridSpan w:val="2"/>
            <w:shd w:val="clear" w:color="auto" w:fill="D9D9D9" w:themeFill="background1" w:themeFillShade="D9"/>
            <w:tcMar>
              <w:top w:w="0" w:type="dxa"/>
              <w:left w:w="108" w:type="dxa"/>
              <w:bottom w:w="0" w:type="dxa"/>
              <w:right w:w="108" w:type="dxa"/>
            </w:tcMar>
            <w:vAlign w:val="center"/>
          </w:tcPr>
          <w:p w14:paraId="344CDF6D"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42DBBC8B" w14:textId="77777777" w:rsidTr="00820229">
        <w:tc>
          <w:tcPr>
            <w:tcW w:w="562" w:type="dxa"/>
            <w:shd w:val="clear" w:color="auto" w:fill="D9D9D9" w:themeFill="background1" w:themeFillShade="D9"/>
            <w:tcMar>
              <w:top w:w="0" w:type="dxa"/>
              <w:left w:w="108" w:type="dxa"/>
              <w:bottom w:w="0" w:type="dxa"/>
              <w:right w:w="108" w:type="dxa"/>
            </w:tcMar>
            <w:vAlign w:val="center"/>
          </w:tcPr>
          <w:p w14:paraId="7B7926D0"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71D2FAE3" w14:textId="77777777" w:rsidR="007E31E3" w:rsidRPr="00524435" w:rsidRDefault="007E31E3" w:rsidP="00820229">
            <w:pP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45EFC416"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1A424FF1" w14:textId="77777777" w:rsidR="007E31E3" w:rsidRPr="00524435" w:rsidRDefault="007E31E3" w:rsidP="00820229">
            <w:pPr>
              <w:jc w:val="both"/>
              <w:rPr>
                <w:rFonts w:ascii="Cambria" w:hAnsi="Cambria"/>
                <w:strike/>
                <w:color w:val="FF0000"/>
                <w:sz w:val="18"/>
                <w:szCs w:val="18"/>
              </w:rPr>
            </w:pPr>
            <w:r w:rsidRPr="00524435">
              <w:rPr>
                <w:rFonts w:ascii="Cambria" w:eastAsia="MS Mincho" w:hAnsi="Cambria" w:cs="Arial"/>
                <w:b/>
                <w:sz w:val="18"/>
                <w:szCs w:val="18"/>
                <w:lang w:eastAsia="es-ES_tradnl"/>
              </w:rPr>
              <w:t>Third Clause</w:t>
            </w:r>
            <w:r w:rsidRPr="00524435">
              <w:rPr>
                <w:rFonts w:ascii="Cambria" w:hAnsi="Cambria"/>
                <w:b/>
                <w:sz w:val="18"/>
                <w:szCs w:val="18"/>
              </w:rPr>
              <w:t xml:space="preserve">. Letter a. </w:t>
            </w:r>
            <w:r w:rsidRPr="00524435">
              <w:rPr>
                <w:rFonts w:ascii="Cambria" w:eastAsia="Times New Roman" w:hAnsi="Cambria" w:cstheme="minorHAnsi"/>
                <w:color w:val="000000" w:themeColor="text1"/>
                <w:sz w:val="18"/>
                <w:szCs w:val="18"/>
              </w:rPr>
              <w:t xml:space="preserve">To take all measures within its power to investigate the facts and punish all those responsible for the violations committed to the detriment of the children Marcelino Gómez Paredes and Cristian Ariel </w:t>
            </w:r>
            <w:proofErr w:type="spellStart"/>
            <w:r w:rsidRPr="00524435">
              <w:rPr>
                <w:rFonts w:ascii="Cambria" w:eastAsia="Times New Roman" w:hAnsi="Cambria" w:cstheme="minorHAnsi"/>
                <w:color w:val="000000" w:themeColor="text1"/>
                <w:sz w:val="18"/>
                <w:szCs w:val="18"/>
              </w:rPr>
              <w:t>Núñez</w:t>
            </w:r>
            <w:proofErr w:type="spellEnd"/>
            <w:r w:rsidRPr="00524435">
              <w:rPr>
                <w:rFonts w:ascii="Cambria" w:eastAsia="Times New Roman" w:hAnsi="Cambria" w:cstheme="minorHAnsi"/>
                <w:color w:val="000000" w:themeColor="text1"/>
                <w:sz w:val="18"/>
                <w:szCs w:val="18"/>
              </w:rPr>
              <w:t>.</w:t>
            </w:r>
          </w:p>
        </w:tc>
        <w:tc>
          <w:tcPr>
            <w:tcW w:w="1440" w:type="dxa"/>
            <w:gridSpan w:val="2"/>
            <w:shd w:val="clear" w:color="auto" w:fill="D9D9D9" w:themeFill="background1" w:themeFillShade="D9"/>
            <w:tcMar>
              <w:top w:w="0" w:type="dxa"/>
              <w:left w:w="108" w:type="dxa"/>
              <w:bottom w:w="0" w:type="dxa"/>
              <w:right w:w="108" w:type="dxa"/>
            </w:tcMar>
            <w:vAlign w:val="center"/>
          </w:tcPr>
          <w:p w14:paraId="7D01A31E"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Partial 2021</w:t>
            </w:r>
          </w:p>
        </w:tc>
      </w:tr>
      <w:tr w:rsidR="007E31E3" w:rsidRPr="00524435" w14:paraId="6A8EBD68" w14:textId="77777777" w:rsidTr="00820229">
        <w:tc>
          <w:tcPr>
            <w:tcW w:w="562" w:type="dxa"/>
            <w:shd w:val="clear" w:color="auto" w:fill="D9D9D9" w:themeFill="background1" w:themeFillShade="D9"/>
            <w:tcMar>
              <w:top w:w="0" w:type="dxa"/>
              <w:left w:w="108" w:type="dxa"/>
              <w:bottom w:w="0" w:type="dxa"/>
              <w:right w:w="108" w:type="dxa"/>
            </w:tcMar>
            <w:vAlign w:val="center"/>
          </w:tcPr>
          <w:p w14:paraId="02DD0A13"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74D82BC1" w14:textId="77777777" w:rsidR="007E31E3" w:rsidRPr="00524435" w:rsidRDefault="007E31E3" w:rsidP="00820229">
            <w:pP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24137571"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198D30DE" w14:textId="77777777" w:rsidR="007E31E3" w:rsidRPr="00524435" w:rsidRDefault="007E31E3" w:rsidP="00820229">
            <w:pPr>
              <w:contextualSpacing/>
              <w:jc w:val="both"/>
              <w:rPr>
                <w:rFonts w:ascii="Cambria" w:hAnsi="Cambria"/>
                <w:b/>
                <w:strike/>
                <w:color w:val="FF0000"/>
                <w:sz w:val="18"/>
                <w:szCs w:val="18"/>
              </w:rPr>
            </w:pPr>
            <w:r w:rsidRPr="00524435">
              <w:rPr>
                <w:rFonts w:ascii="Cambria" w:hAnsi="Cambria"/>
                <w:b/>
                <w:sz w:val="18"/>
                <w:szCs w:val="18"/>
              </w:rPr>
              <w:t>Third</w:t>
            </w:r>
            <w:r w:rsidRPr="00524435">
              <w:rPr>
                <w:rFonts w:ascii="Cambria" w:eastAsia="MS Mincho" w:hAnsi="Cambria" w:cs="Arial"/>
                <w:b/>
                <w:sz w:val="18"/>
                <w:szCs w:val="18"/>
                <w:lang w:eastAsia="es-ES_tradnl"/>
              </w:rPr>
              <w:t xml:space="preserve"> Clause</w:t>
            </w:r>
            <w:r w:rsidRPr="00524435">
              <w:rPr>
                <w:rFonts w:ascii="Cambria" w:hAnsi="Cambria"/>
                <w:b/>
                <w:sz w:val="18"/>
                <w:szCs w:val="18"/>
              </w:rPr>
              <w:t xml:space="preserve">. Letter b. </w:t>
            </w:r>
            <w:r w:rsidRPr="00524435">
              <w:rPr>
                <w:rFonts w:ascii="Cambria" w:eastAsia="Times New Roman" w:hAnsi="Cambria" w:cstheme="minorHAnsi"/>
                <w:color w:val="000000" w:themeColor="text1"/>
                <w:sz w:val="18"/>
                <w:szCs w:val="18"/>
              </w:rPr>
              <w:t>Without prejudice to the foregoing, and without this implying that it replaces the functions of the Judiciary and the Public Prosecutor’s Office, in accordance with Article 3 of the National Constitution, the State undertakes to establish within 30 days a Commission whose purpose is to determine the circumstances in which the child soldiers disappeared and their fate.</w:t>
            </w:r>
          </w:p>
        </w:tc>
        <w:tc>
          <w:tcPr>
            <w:tcW w:w="1440" w:type="dxa"/>
            <w:gridSpan w:val="2"/>
            <w:shd w:val="clear" w:color="auto" w:fill="D9D9D9" w:themeFill="background1" w:themeFillShade="D9"/>
            <w:tcMar>
              <w:top w:w="0" w:type="dxa"/>
              <w:left w:w="108" w:type="dxa"/>
              <w:bottom w:w="0" w:type="dxa"/>
              <w:right w:w="108" w:type="dxa"/>
            </w:tcMar>
            <w:vAlign w:val="center"/>
          </w:tcPr>
          <w:p w14:paraId="58986CB2"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216415B0" w14:textId="77777777" w:rsidTr="00820229">
        <w:tc>
          <w:tcPr>
            <w:tcW w:w="562" w:type="dxa"/>
            <w:shd w:val="clear" w:color="auto" w:fill="D9D9D9" w:themeFill="background1" w:themeFillShade="D9"/>
            <w:tcMar>
              <w:top w:w="0" w:type="dxa"/>
              <w:left w:w="108" w:type="dxa"/>
              <w:bottom w:w="0" w:type="dxa"/>
              <w:right w:w="108" w:type="dxa"/>
            </w:tcMar>
            <w:vAlign w:val="center"/>
          </w:tcPr>
          <w:p w14:paraId="01052955"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3E0F6098" w14:textId="77777777" w:rsidR="007E31E3" w:rsidRPr="00524435" w:rsidRDefault="007E31E3" w:rsidP="00820229">
            <w:pP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6EF98255"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7509D762" w14:textId="77777777" w:rsidR="007E31E3" w:rsidRPr="00524435" w:rsidRDefault="007E31E3" w:rsidP="00820229">
            <w:pPr>
              <w:contextualSpacing/>
              <w:jc w:val="both"/>
              <w:rPr>
                <w:rFonts w:ascii="Cambria" w:hAnsi="Cambria"/>
                <w:b/>
                <w:strike/>
                <w:color w:val="FF0000"/>
                <w:sz w:val="18"/>
                <w:szCs w:val="18"/>
              </w:rPr>
            </w:pPr>
            <w:r w:rsidRPr="00524435">
              <w:rPr>
                <w:rFonts w:ascii="Cambria" w:hAnsi="Cambria"/>
                <w:b/>
                <w:sz w:val="18"/>
                <w:szCs w:val="18"/>
              </w:rPr>
              <w:t>Third</w:t>
            </w:r>
            <w:r w:rsidRPr="00524435">
              <w:rPr>
                <w:rFonts w:ascii="Cambria" w:eastAsia="MS Mincho" w:hAnsi="Cambria" w:cs="Arial"/>
                <w:b/>
                <w:sz w:val="18"/>
                <w:szCs w:val="18"/>
                <w:lang w:eastAsia="es-ES_tradnl"/>
              </w:rPr>
              <w:t xml:space="preserve"> Clause</w:t>
            </w:r>
            <w:r w:rsidRPr="00524435">
              <w:rPr>
                <w:rFonts w:ascii="Cambria" w:hAnsi="Cambria"/>
                <w:b/>
                <w:sz w:val="18"/>
                <w:szCs w:val="18"/>
              </w:rPr>
              <w:t>. Letter b.1.</w:t>
            </w:r>
            <w:r w:rsidRPr="00524435">
              <w:rPr>
                <w:rFonts w:ascii="Cambria" w:eastAsia="Times New Roman" w:hAnsi="Cambria" w:cstheme="minorHAnsi"/>
                <w:color w:val="000000" w:themeColor="text1"/>
                <w:sz w:val="18"/>
                <w:szCs w:val="18"/>
              </w:rPr>
              <w:t xml:space="preserve"> </w:t>
            </w:r>
            <w:r w:rsidRPr="00524435">
              <w:rPr>
                <w:rFonts w:ascii="Cambria" w:eastAsia="Times New Roman" w:hAnsi="Cambria" w:cstheme="minorHAnsi"/>
                <w:b/>
                <w:bCs/>
                <w:color w:val="000000" w:themeColor="text1"/>
                <w:sz w:val="18"/>
                <w:szCs w:val="18"/>
              </w:rPr>
              <w:t xml:space="preserve">Membership: </w:t>
            </w:r>
            <w:r w:rsidRPr="00524435">
              <w:rPr>
                <w:rFonts w:ascii="Cambria" w:eastAsia="Times New Roman" w:hAnsi="Cambria" w:cstheme="minorHAnsi"/>
                <w:color w:val="000000" w:themeColor="text1"/>
                <w:sz w:val="18"/>
                <w:szCs w:val="18"/>
              </w:rPr>
              <w:t xml:space="preserve">It shall be composed of (1) a representative of the following institutions: Ministry of Foreign Affairs, Ministry of the Interior, Secretariat for Children and Adolescents, Ministry of National Defense, Vice-Ministry of </w:t>
            </w:r>
            <w:proofErr w:type="gramStart"/>
            <w:r w:rsidRPr="00524435">
              <w:rPr>
                <w:rFonts w:ascii="Cambria" w:eastAsia="Times New Roman" w:hAnsi="Cambria" w:cstheme="minorHAnsi"/>
                <w:color w:val="000000" w:themeColor="text1"/>
                <w:sz w:val="18"/>
                <w:szCs w:val="18"/>
              </w:rPr>
              <w:t>Justice</w:t>
            </w:r>
            <w:proofErr w:type="gramEnd"/>
            <w:r w:rsidRPr="00524435">
              <w:rPr>
                <w:rFonts w:ascii="Cambria" w:eastAsia="Times New Roman" w:hAnsi="Cambria" w:cstheme="minorHAnsi"/>
                <w:color w:val="000000" w:themeColor="text1"/>
                <w:sz w:val="18"/>
                <w:szCs w:val="18"/>
              </w:rPr>
              <w:t xml:space="preserve"> and Human Rights, and (2) two representatives of civil society with recognized experience in human rights appointed by the petitioners.</w:t>
            </w:r>
          </w:p>
        </w:tc>
        <w:tc>
          <w:tcPr>
            <w:tcW w:w="1440" w:type="dxa"/>
            <w:gridSpan w:val="2"/>
            <w:shd w:val="clear" w:color="auto" w:fill="D9D9D9" w:themeFill="background1" w:themeFillShade="D9"/>
            <w:tcMar>
              <w:top w:w="0" w:type="dxa"/>
              <w:left w:w="108" w:type="dxa"/>
              <w:bottom w:w="0" w:type="dxa"/>
              <w:right w:w="108" w:type="dxa"/>
            </w:tcMar>
            <w:vAlign w:val="center"/>
          </w:tcPr>
          <w:p w14:paraId="1598C902"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1CAAEC75" w14:textId="77777777" w:rsidTr="00820229">
        <w:tc>
          <w:tcPr>
            <w:tcW w:w="562" w:type="dxa"/>
            <w:shd w:val="clear" w:color="auto" w:fill="D9D9D9" w:themeFill="background1" w:themeFillShade="D9"/>
            <w:tcMar>
              <w:top w:w="0" w:type="dxa"/>
              <w:left w:w="108" w:type="dxa"/>
              <w:bottom w:w="0" w:type="dxa"/>
              <w:right w:w="108" w:type="dxa"/>
            </w:tcMar>
            <w:vAlign w:val="center"/>
          </w:tcPr>
          <w:p w14:paraId="17A0D11D"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0F8306A7" w14:textId="77777777" w:rsidR="007E31E3" w:rsidRPr="00524435" w:rsidRDefault="007E31E3" w:rsidP="00820229">
            <w:pP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30A2E23A"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vAlign w:val="center"/>
          </w:tcPr>
          <w:p w14:paraId="73CD8F54" w14:textId="77777777" w:rsidR="007E31E3" w:rsidRPr="00524435" w:rsidRDefault="007E31E3" w:rsidP="00820229">
            <w:pPr>
              <w:contextualSpacing/>
              <w:jc w:val="both"/>
              <w:rPr>
                <w:rFonts w:ascii="Cambria" w:hAnsi="Cambria"/>
                <w:b/>
                <w:strike/>
                <w:color w:val="FF0000"/>
                <w:sz w:val="18"/>
                <w:szCs w:val="18"/>
              </w:rPr>
            </w:pPr>
            <w:r w:rsidRPr="00524435">
              <w:rPr>
                <w:rFonts w:ascii="Cambria" w:hAnsi="Cambria"/>
                <w:b/>
                <w:sz w:val="18"/>
                <w:szCs w:val="18"/>
              </w:rPr>
              <w:t>Third</w:t>
            </w:r>
            <w:r w:rsidRPr="00524435">
              <w:rPr>
                <w:rFonts w:ascii="Cambria" w:eastAsia="MS Mincho" w:hAnsi="Cambria" w:cs="Arial"/>
                <w:b/>
                <w:sz w:val="18"/>
                <w:szCs w:val="18"/>
                <w:lang w:eastAsia="es-ES_tradnl"/>
              </w:rPr>
              <w:t xml:space="preserve"> Clause</w:t>
            </w:r>
            <w:r w:rsidRPr="00524435">
              <w:rPr>
                <w:rFonts w:ascii="Cambria" w:hAnsi="Cambria"/>
                <w:b/>
                <w:sz w:val="18"/>
                <w:szCs w:val="18"/>
              </w:rPr>
              <w:t xml:space="preserve">. Letter b.2. </w:t>
            </w:r>
            <w:r w:rsidRPr="00524435">
              <w:rPr>
                <w:rFonts w:ascii="Cambria" w:eastAsia="Times New Roman" w:hAnsi="Cambria" w:cstheme="minorHAnsi"/>
                <w:b/>
                <w:bCs/>
                <w:color w:val="000000" w:themeColor="text1"/>
                <w:sz w:val="18"/>
                <w:szCs w:val="18"/>
              </w:rPr>
              <w:t xml:space="preserve">Summons: </w:t>
            </w:r>
            <w:r w:rsidRPr="00524435">
              <w:rPr>
                <w:rFonts w:ascii="Cambria" w:eastAsia="Times New Roman" w:hAnsi="Cambria" w:cstheme="minorHAnsi"/>
                <w:color w:val="000000" w:themeColor="text1"/>
                <w:sz w:val="18"/>
                <w:szCs w:val="18"/>
              </w:rPr>
              <w:t>To fulfill its objective, the Commission shall interview and gather from any person, authority, official, or public servant who may be related to the facts of the case all the information it deems pertinent. To this end, it shall summon military and civilian officials and authorities and those who may contribute to the clarification of the facts. In the case of the military and public officials summoned, the respective hierarchical authority shall ensure their appearance. In any case, the statements made before the Commission and the information gathered shall be confidential.</w:t>
            </w:r>
          </w:p>
        </w:tc>
        <w:tc>
          <w:tcPr>
            <w:tcW w:w="1440" w:type="dxa"/>
            <w:gridSpan w:val="2"/>
            <w:shd w:val="clear" w:color="auto" w:fill="D9D9D9" w:themeFill="background1" w:themeFillShade="D9"/>
            <w:tcMar>
              <w:top w:w="0" w:type="dxa"/>
              <w:left w:w="108" w:type="dxa"/>
              <w:bottom w:w="0" w:type="dxa"/>
              <w:right w:w="108" w:type="dxa"/>
            </w:tcMar>
            <w:vAlign w:val="center"/>
          </w:tcPr>
          <w:p w14:paraId="30007590"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5F2C0DA4" w14:textId="77777777" w:rsidTr="00820229">
        <w:tc>
          <w:tcPr>
            <w:tcW w:w="562" w:type="dxa"/>
            <w:shd w:val="clear" w:color="auto" w:fill="D9D9D9" w:themeFill="background1" w:themeFillShade="D9"/>
            <w:tcMar>
              <w:top w:w="0" w:type="dxa"/>
              <w:left w:w="108" w:type="dxa"/>
              <w:bottom w:w="0" w:type="dxa"/>
              <w:right w:w="108" w:type="dxa"/>
            </w:tcMar>
            <w:vAlign w:val="center"/>
          </w:tcPr>
          <w:p w14:paraId="643E017E"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39CC396F" w14:textId="77777777" w:rsidR="007E31E3" w:rsidRPr="00524435" w:rsidRDefault="007E31E3" w:rsidP="00820229">
            <w:pP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6AC4180F"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tcPr>
          <w:p w14:paraId="7FDBF540" w14:textId="77777777" w:rsidR="007E31E3" w:rsidRPr="00524435" w:rsidRDefault="007E31E3" w:rsidP="00820229">
            <w:pPr>
              <w:contextualSpacing/>
              <w:jc w:val="both"/>
              <w:rPr>
                <w:rFonts w:ascii="Cambria" w:hAnsi="Cambria"/>
                <w:b/>
                <w:strike/>
                <w:color w:val="FF0000"/>
                <w:sz w:val="18"/>
                <w:szCs w:val="18"/>
              </w:rPr>
            </w:pPr>
            <w:r w:rsidRPr="00524435">
              <w:rPr>
                <w:rFonts w:ascii="Cambria" w:hAnsi="Cambria"/>
                <w:b/>
                <w:sz w:val="18"/>
                <w:szCs w:val="18"/>
              </w:rPr>
              <w:t>Third</w:t>
            </w:r>
            <w:r w:rsidRPr="00524435">
              <w:rPr>
                <w:rFonts w:ascii="Cambria" w:eastAsia="MS Mincho" w:hAnsi="Cambria" w:cs="Arial"/>
                <w:b/>
                <w:sz w:val="18"/>
                <w:szCs w:val="18"/>
                <w:lang w:eastAsia="es-ES_tradnl"/>
              </w:rPr>
              <w:t xml:space="preserve"> Clause</w:t>
            </w:r>
            <w:r w:rsidRPr="00524435">
              <w:rPr>
                <w:rFonts w:ascii="Cambria" w:hAnsi="Cambria"/>
                <w:b/>
                <w:sz w:val="18"/>
                <w:szCs w:val="18"/>
              </w:rPr>
              <w:t>. Letter b.3.</w:t>
            </w:r>
            <w:r w:rsidRPr="00524435">
              <w:rPr>
                <w:rFonts w:ascii="Cambria" w:eastAsia="Times New Roman" w:hAnsi="Cambria" w:cstheme="minorHAnsi"/>
                <w:color w:val="000000" w:themeColor="text1"/>
                <w:sz w:val="18"/>
                <w:szCs w:val="18"/>
              </w:rPr>
              <w:t xml:space="preserve"> </w:t>
            </w:r>
            <w:r w:rsidRPr="00524435">
              <w:rPr>
                <w:rFonts w:ascii="Cambria" w:eastAsia="Times New Roman" w:hAnsi="Cambria" w:cstheme="minorHAnsi"/>
                <w:b/>
                <w:bCs/>
                <w:color w:val="000000" w:themeColor="text1"/>
                <w:sz w:val="18"/>
                <w:szCs w:val="18"/>
              </w:rPr>
              <w:t>Participation</w:t>
            </w:r>
            <w:r w:rsidRPr="00524435">
              <w:rPr>
                <w:rFonts w:ascii="Cambria" w:eastAsia="Times New Roman" w:hAnsi="Cambria" w:cstheme="minorHAnsi"/>
                <w:color w:val="000000" w:themeColor="text1"/>
                <w:sz w:val="18"/>
                <w:szCs w:val="18"/>
              </w:rPr>
              <w:t>: Mothers of the missing children, or their representatives, may participate in any steps, hearings, or proceedings taken to clarify the circumstances in which their children disappeared.</w:t>
            </w:r>
          </w:p>
        </w:tc>
        <w:tc>
          <w:tcPr>
            <w:tcW w:w="1440" w:type="dxa"/>
            <w:gridSpan w:val="2"/>
            <w:shd w:val="clear" w:color="auto" w:fill="D9D9D9" w:themeFill="background1" w:themeFillShade="D9"/>
            <w:tcMar>
              <w:top w:w="0" w:type="dxa"/>
              <w:left w:w="108" w:type="dxa"/>
              <w:bottom w:w="0" w:type="dxa"/>
              <w:right w:w="108" w:type="dxa"/>
            </w:tcMar>
            <w:vAlign w:val="center"/>
          </w:tcPr>
          <w:p w14:paraId="345C977B"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2CF5131A" w14:textId="77777777" w:rsidTr="00820229">
        <w:tc>
          <w:tcPr>
            <w:tcW w:w="562" w:type="dxa"/>
            <w:shd w:val="clear" w:color="auto" w:fill="D9D9D9" w:themeFill="background1" w:themeFillShade="D9"/>
            <w:tcMar>
              <w:top w:w="0" w:type="dxa"/>
              <w:left w:w="108" w:type="dxa"/>
              <w:bottom w:w="0" w:type="dxa"/>
              <w:right w:w="108" w:type="dxa"/>
            </w:tcMar>
            <w:vAlign w:val="center"/>
          </w:tcPr>
          <w:p w14:paraId="3814431E"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7C5F9702" w14:textId="77777777" w:rsidR="007E31E3" w:rsidRPr="00524435" w:rsidRDefault="007E31E3" w:rsidP="00820229">
            <w:pP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7A312202"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tcPr>
          <w:p w14:paraId="49F29159" w14:textId="77777777" w:rsidR="007E31E3" w:rsidRPr="00524435" w:rsidRDefault="007E31E3" w:rsidP="00820229">
            <w:pPr>
              <w:contextualSpacing/>
              <w:jc w:val="both"/>
              <w:rPr>
                <w:rFonts w:ascii="Cambria" w:hAnsi="Cambria"/>
                <w:b/>
                <w:strike/>
                <w:color w:val="FF0000"/>
                <w:sz w:val="18"/>
                <w:szCs w:val="18"/>
              </w:rPr>
            </w:pPr>
            <w:r w:rsidRPr="00524435">
              <w:rPr>
                <w:rFonts w:ascii="Cambria" w:hAnsi="Cambria"/>
                <w:b/>
                <w:sz w:val="18"/>
                <w:szCs w:val="18"/>
              </w:rPr>
              <w:t>Third</w:t>
            </w:r>
            <w:r w:rsidRPr="00524435">
              <w:rPr>
                <w:rFonts w:ascii="Cambria" w:eastAsia="MS Mincho" w:hAnsi="Cambria" w:cs="Arial"/>
                <w:b/>
                <w:sz w:val="18"/>
                <w:szCs w:val="18"/>
                <w:lang w:eastAsia="es-ES_tradnl"/>
              </w:rPr>
              <w:t xml:space="preserve"> Clause</w:t>
            </w:r>
            <w:r w:rsidRPr="00524435">
              <w:rPr>
                <w:rFonts w:ascii="Cambria" w:hAnsi="Cambria"/>
                <w:b/>
                <w:sz w:val="18"/>
                <w:szCs w:val="18"/>
              </w:rPr>
              <w:t>. Letter b.4.</w:t>
            </w:r>
            <w:r w:rsidRPr="00524435">
              <w:rPr>
                <w:rFonts w:ascii="Cambria" w:eastAsia="Times New Roman" w:hAnsi="Cambria" w:cstheme="minorHAnsi"/>
                <w:color w:val="000000" w:themeColor="text1"/>
                <w:sz w:val="18"/>
                <w:szCs w:val="18"/>
              </w:rPr>
              <w:t xml:space="preserve"> </w:t>
            </w:r>
            <w:r w:rsidRPr="00524435">
              <w:rPr>
                <w:rFonts w:ascii="Cambria" w:eastAsia="Times New Roman" w:hAnsi="Cambria" w:cstheme="minorHAnsi"/>
                <w:b/>
                <w:bCs/>
                <w:color w:val="000000" w:themeColor="text1"/>
                <w:sz w:val="18"/>
                <w:szCs w:val="18"/>
              </w:rPr>
              <w:t xml:space="preserve">Institutional Support: </w:t>
            </w:r>
            <w:r w:rsidRPr="00524435">
              <w:rPr>
                <w:rFonts w:ascii="Cambria" w:eastAsia="Times New Roman" w:hAnsi="Cambria" w:cstheme="minorHAnsi"/>
                <w:color w:val="000000" w:themeColor="text1"/>
                <w:sz w:val="18"/>
                <w:szCs w:val="18"/>
              </w:rPr>
              <w:t>The State, through the Ministry of Defense and the Armed Forces, should make available all necessary means and funding for the proper functioning of the Commission. If the mothers of the disappeared children deem it appropriate, the necessary means should be provided to carry out at least one exploratory visit to where the child soldiers disappeared, with the assistance of forensic experts and those who can contribute to the search for the bodies, if any. If the mothers express an interest in participating in such a visit, their transportation, accommodation, and food should be ensured during the visit.</w:t>
            </w:r>
          </w:p>
        </w:tc>
        <w:tc>
          <w:tcPr>
            <w:tcW w:w="1440" w:type="dxa"/>
            <w:gridSpan w:val="2"/>
            <w:shd w:val="clear" w:color="auto" w:fill="D9D9D9" w:themeFill="background1" w:themeFillShade="D9"/>
            <w:tcMar>
              <w:top w:w="0" w:type="dxa"/>
              <w:left w:w="108" w:type="dxa"/>
              <w:bottom w:w="0" w:type="dxa"/>
              <w:right w:w="108" w:type="dxa"/>
            </w:tcMar>
            <w:vAlign w:val="center"/>
          </w:tcPr>
          <w:p w14:paraId="79BEEF73"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7A963D10" w14:textId="77777777" w:rsidTr="00820229">
        <w:tc>
          <w:tcPr>
            <w:tcW w:w="562" w:type="dxa"/>
            <w:shd w:val="clear" w:color="auto" w:fill="D9D9D9" w:themeFill="background1" w:themeFillShade="D9"/>
            <w:tcMar>
              <w:top w:w="0" w:type="dxa"/>
              <w:left w:w="108" w:type="dxa"/>
              <w:bottom w:w="0" w:type="dxa"/>
              <w:right w:w="108" w:type="dxa"/>
            </w:tcMar>
            <w:vAlign w:val="center"/>
          </w:tcPr>
          <w:p w14:paraId="50EA9DE4"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53B81EAD" w14:textId="77777777" w:rsidR="007E31E3" w:rsidRPr="00524435" w:rsidRDefault="007E31E3" w:rsidP="00820229">
            <w:pP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597DAD6F"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tcPr>
          <w:p w14:paraId="45736C51" w14:textId="77777777" w:rsidR="007E31E3" w:rsidRPr="00524435" w:rsidRDefault="007E31E3" w:rsidP="00820229">
            <w:pPr>
              <w:contextualSpacing/>
              <w:jc w:val="both"/>
              <w:rPr>
                <w:rFonts w:ascii="Cambria" w:hAnsi="Cambria"/>
                <w:b/>
                <w:strike/>
                <w:color w:val="FF0000"/>
                <w:sz w:val="18"/>
                <w:szCs w:val="18"/>
              </w:rPr>
            </w:pPr>
            <w:r w:rsidRPr="00524435">
              <w:rPr>
                <w:rFonts w:ascii="Cambria" w:hAnsi="Cambria"/>
                <w:b/>
                <w:sz w:val="18"/>
                <w:szCs w:val="18"/>
              </w:rPr>
              <w:t>Third</w:t>
            </w:r>
            <w:r w:rsidRPr="00524435">
              <w:rPr>
                <w:rFonts w:ascii="Cambria" w:eastAsia="MS Mincho" w:hAnsi="Cambria" w:cs="Arial"/>
                <w:b/>
                <w:sz w:val="18"/>
                <w:szCs w:val="18"/>
                <w:lang w:eastAsia="es-ES_tradnl"/>
              </w:rPr>
              <w:t xml:space="preserve"> Clause</w:t>
            </w:r>
            <w:r w:rsidRPr="00524435">
              <w:rPr>
                <w:rFonts w:ascii="Cambria" w:hAnsi="Cambria"/>
                <w:b/>
                <w:sz w:val="18"/>
                <w:szCs w:val="18"/>
              </w:rPr>
              <w:t>. Letter b.5.</w:t>
            </w:r>
            <w:r w:rsidRPr="00524435">
              <w:rPr>
                <w:rFonts w:ascii="Cambria" w:eastAsia="Times New Roman" w:hAnsi="Cambria" w:cstheme="minorHAnsi"/>
                <w:color w:val="000000" w:themeColor="text1"/>
                <w:sz w:val="18"/>
                <w:szCs w:val="18"/>
              </w:rPr>
              <w:t xml:space="preserve"> </w:t>
            </w:r>
            <w:r w:rsidRPr="00524435">
              <w:rPr>
                <w:rFonts w:ascii="Cambria" w:eastAsia="Times New Roman" w:hAnsi="Cambria" w:cstheme="minorHAnsi"/>
                <w:b/>
                <w:bCs/>
                <w:color w:val="000000" w:themeColor="text1"/>
                <w:sz w:val="18"/>
                <w:szCs w:val="18"/>
              </w:rPr>
              <w:t>Term and Report</w:t>
            </w:r>
            <w:r w:rsidRPr="00524435">
              <w:rPr>
                <w:rFonts w:ascii="Cambria" w:eastAsia="Times New Roman" w:hAnsi="Cambria" w:cstheme="minorHAnsi"/>
                <w:color w:val="000000" w:themeColor="text1"/>
                <w:sz w:val="18"/>
                <w:szCs w:val="18"/>
              </w:rPr>
              <w:t>: At the end of its mission, which should be concluded within six months, extendable for another six months if deemed necessary by the parties to this agreement, the Commission shall issue a report giving an account of the steps taken and the conclusions of the investigation. This report shall be given to the families of the missing children.</w:t>
            </w:r>
          </w:p>
        </w:tc>
        <w:tc>
          <w:tcPr>
            <w:tcW w:w="1440" w:type="dxa"/>
            <w:gridSpan w:val="2"/>
            <w:shd w:val="clear" w:color="auto" w:fill="D9D9D9" w:themeFill="background1" w:themeFillShade="D9"/>
            <w:tcMar>
              <w:top w:w="0" w:type="dxa"/>
              <w:left w:w="108" w:type="dxa"/>
              <w:bottom w:w="0" w:type="dxa"/>
              <w:right w:w="108" w:type="dxa"/>
            </w:tcMar>
            <w:vAlign w:val="center"/>
          </w:tcPr>
          <w:p w14:paraId="780F35F7"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1FE3D0C1" w14:textId="77777777" w:rsidTr="00820229">
        <w:tc>
          <w:tcPr>
            <w:tcW w:w="562" w:type="dxa"/>
            <w:shd w:val="clear" w:color="auto" w:fill="D9D9D9" w:themeFill="background1" w:themeFillShade="D9"/>
            <w:tcMar>
              <w:top w:w="0" w:type="dxa"/>
              <w:left w:w="108" w:type="dxa"/>
              <w:bottom w:w="0" w:type="dxa"/>
              <w:right w:w="108" w:type="dxa"/>
            </w:tcMar>
            <w:vAlign w:val="center"/>
          </w:tcPr>
          <w:p w14:paraId="70B18439"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652A70D2" w14:textId="77777777" w:rsidR="007E31E3" w:rsidRPr="00524435" w:rsidRDefault="007E31E3" w:rsidP="00820229">
            <w:pP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28371AB5"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tcPr>
          <w:p w14:paraId="6508533D" w14:textId="77777777" w:rsidR="007E31E3" w:rsidRPr="00524435" w:rsidRDefault="007E31E3" w:rsidP="00820229">
            <w:pPr>
              <w:contextualSpacing/>
              <w:jc w:val="both"/>
              <w:rPr>
                <w:rFonts w:ascii="Cambria" w:hAnsi="Cambria"/>
                <w:b/>
                <w:strike/>
                <w:color w:val="FF0000"/>
                <w:sz w:val="18"/>
                <w:szCs w:val="18"/>
              </w:rPr>
            </w:pPr>
            <w:r w:rsidRPr="00524435">
              <w:rPr>
                <w:rFonts w:ascii="Cambria" w:hAnsi="Cambria"/>
                <w:b/>
                <w:sz w:val="18"/>
                <w:szCs w:val="18"/>
              </w:rPr>
              <w:t>Fourth</w:t>
            </w:r>
            <w:r w:rsidRPr="00524435">
              <w:rPr>
                <w:rFonts w:ascii="Cambria" w:eastAsia="MS Mincho" w:hAnsi="Cambria" w:cs="Arial"/>
                <w:b/>
                <w:sz w:val="18"/>
                <w:szCs w:val="18"/>
                <w:lang w:eastAsia="es-ES_tradnl"/>
              </w:rPr>
              <w:t xml:space="preserve"> Clause</w:t>
            </w:r>
            <w:r w:rsidRPr="00524435">
              <w:rPr>
                <w:rFonts w:ascii="Cambria" w:hAnsi="Cambria"/>
                <w:b/>
                <w:sz w:val="18"/>
                <w:szCs w:val="18"/>
              </w:rPr>
              <w:t xml:space="preserve">. Measures of satisfaction. </w:t>
            </w:r>
            <w:r w:rsidRPr="00524435">
              <w:rPr>
                <w:rFonts w:ascii="Cambria" w:hAnsi="Cambria" w:cstheme="minorHAnsi"/>
                <w:color w:val="000000" w:themeColor="text1"/>
                <w:sz w:val="18"/>
                <w:szCs w:val="18"/>
              </w:rPr>
              <w:t>The State shall install a commemorative plaque in the military detachment where the children disappeared, with a text agreed between the parties alluding to the disappearance of the child soldiers. In addition, a street will be named after the children in the city of Caaguazú.</w:t>
            </w:r>
          </w:p>
        </w:tc>
        <w:tc>
          <w:tcPr>
            <w:tcW w:w="1440" w:type="dxa"/>
            <w:gridSpan w:val="2"/>
            <w:shd w:val="clear" w:color="auto" w:fill="D9D9D9" w:themeFill="background1" w:themeFillShade="D9"/>
            <w:tcMar>
              <w:top w:w="0" w:type="dxa"/>
              <w:left w:w="108" w:type="dxa"/>
              <w:bottom w:w="0" w:type="dxa"/>
              <w:right w:w="108" w:type="dxa"/>
            </w:tcMar>
            <w:vAlign w:val="center"/>
          </w:tcPr>
          <w:p w14:paraId="0B6E41ED"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3377EF29" w14:textId="77777777" w:rsidTr="00820229">
        <w:tc>
          <w:tcPr>
            <w:tcW w:w="562" w:type="dxa"/>
            <w:shd w:val="clear" w:color="auto" w:fill="D9D9D9" w:themeFill="background1" w:themeFillShade="D9"/>
            <w:tcMar>
              <w:top w:w="0" w:type="dxa"/>
              <w:left w:w="108" w:type="dxa"/>
              <w:bottom w:w="0" w:type="dxa"/>
              <w:right w:w="108" w:type="dxa"/>
            </w:tcMar>
            <w:vAlign w:val="center"/>
          </w:tcPr>
          <w:p w14:paraId="01CC43AD"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144CE2DF" w14:textId="77777777" w:rsidR="007E31E3" w:rsidRPr="00524435" w:rsidRDefault="007E31E3" w:rsidP="00820229">
            <w:pP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64A84021"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tcPr>
          <w:p w14:paraId="25B12EE5" w14:textId="77777777" w:rsidR="007E31E3" w:rsidRPr="00524435" w:rsidRDefault="007E31E3" w:rsidP="00820229">
            <w:pPr>
              <w:contextualSpacing/>
              <w:jc w:val="both"/>
              <w:rPr>
                <w:rFonts w:ascii="Cambria" w:hAnsi="Cambria"/>
                <w:b/>
                <w:strike/>
                <w:color w:val="FF0000"/>
                <w:sz w:val="18"/>
                <w:szCs w:val="18"/>
              </w:rPr>
            </w:pPr>
            <w:r w:rsidRPr="00524435">
              <w:rPr>
                <w:rFonts w:ascii="Cambria" w:hAnsi="Cambria"/>
                <w:b/>
                <w:sz w:val="18"/>
                <w:szCs w:val="18"/>
              </w:rPr>
              <w:t>Fifth</w:t>
            </w:r>
            <w:r w:rsidRPr="00524435">
              <w:rPr>
                <w:rFonts w:ascii="Cambria" w:eastAsia="MS Mincho" w:hAnsi="Cambria" w:cs="Arial"/>
                <w:b/>
                <w:sz w:val="18"/>
                <w:szCs w:val="18"/>
                <w:lang w:eastAsia="es-ES_tradnl"/>
              </w:rPr>
              <w:t xml:space="preserve"> Clause</w:t>
            </w:r>
            <w:r w:rsidRPr="00524435">
              <w:rPr>
                <w:rFonts w:ascii="Cambria" w:hAnsi="Cambria"/>
                <w:b/>
                <w:sz w:val="18"/>
                <w:szCs w:val="18"/>
              </w:rPr>
              <w:t>. Primary and integrated healthcare measures.</w:t>
            </w:r>
            <w:r w:rsidRPr="00524435">
              <w:rPr>
                <w:rFonts w:ascii="Cambria" w:eastAsia="Batang" w:hAnsi="Cambria"/>
                <w:color w:val="000000"/>
                <w:sz w:val="18"/>
                <w:szCs w:val="18"/>
              </w:rPr>
              <w:t xml:space="preserve"> </w:t>
            </w:r>
            <w:r w:rsidRPr="00524435">
              <w:rPr>
                <w:rFonts w:ascii="Cambria" w:hAnsi="Cambria" w:cstheme="minorHAnsi"/>
                <w:color w:val="000000" w:themeColor="text1"/>
                <w:sz w:val="18"/>
                <w:szCs w:val="18"/>
              </w:rPr>
              <w:t xml:space="preserve">The Republic of Paraguay undertakes to provide free medical and psychological assistance to the victims’ parents and siblings and the provision of medicines to treat the conditions from which they suffer. Such care shall be provided at the hospital or health center </w:t>
            </w:r>
            <w:r w:rsidRPr="00524435">
              <w:rPr>
                <w:rFonts w:ascii="Cambria" w:hAnsi="Cambria" w:cstheme="minorHAnsi"/>
                <w:color w:val="000000" w:themeColor="text1"/>
                <w:sz w:val="18"/>
                <w:szCs w:val="18"/>
              </w:rPr>
              <w:lastRenderedPageBreak/>
              <w:t>closest to the victims’ homes and which offers the services and medication appropriate to the precise treatment required in each case.</w:t>
            </w:r>
          </w:p>
        </w:tc>
        <w:tc>
          <w:tcPr>
            <w:tcW w:w="1440" w:type="dxa"/>
            <w:gridSpan w:val="2"/>
            <w:shd w:val="clear" w:color="auto" w:fill="D9D9D9" w:themeFill="background1" w:themeFillShade="D9"/>
            <w:tcMar>
              <w:top w:w="0" w:type="dxa"/>
              <w:left w:w="108" w:type="dxa"/>
              <w:bottom w:w="0" w:type="dxa"/>
              <w:right w:w="108" w:type="dxa"/>
            </w:tcMar>
            <w:vAlign w:val="center"/>
          </w:tcPr>
          <w:p w14:paraId="1960D92A"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lastRenderedPageBreak/>
              <w:t>Total 2021</w:t>
            </w:r>
          </w:p>
        </w:tc>
      </w:tr>
      <w:tr w:rsidR="007E31E3" w:rsidRPr="00524435" w14:paraId="56E90E01" w14:textId="77777777" w:rsidTr="00820229">
        <w:tc>
          <w:tcPr>
            <w:tcW w:w="562" w:type="dxa"/>
            <w:shd w:val="clear" w:color="auto" w:fill="D9D9D9" w:themeFill="background1" w:themeFillShade="D9"/>
            <w:tcMar>
              <w:top w:w="0" w:type="dxa"/>
              <w:left w:w="108" w:type="dxa"/>
              <w:bottom w:w="0" w:type="dxa"/>
              <w:right w:w="108" w:type="dxa"/>
            </w:tcMar>
            <w:vAlign w:val="center"/>
          </w:tcPr>
          <w:p w14:paraId="1B1EB5A3"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042AFB78" w14:textId="77777777" w:rsidR="007E31E3" w:rsidRPr="00524435" w:rsidRDefault="007E31E3" w:rsidP="00820229">
            <w:pP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7FFDE87B"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tcPr>
          <w:p w14:paraId="4ACCB83C" w14:textId="77777777" w:rsidR="007E31E3" w:rsidRPr="00524435" w:rsidRDefault="007E31E3" w:rsidP="00820229">
            <w:pPr>
              <w:contextualSpacing/>
              <w:jc w:val="both"/>
              <w:rPr>
                <w:rFonts w:ascii="Cambria" w:hAnsi="Cambria"/>
                <w:b/>
                <w:strike/>
                <w:color w:val="FF0000"/>
                <w:sz w:val="18"/>
                <w:szCs w:val="18"/>
              </w:rPr>
            </w:pPr>
            <w:r w:rsidRPr="00524435">
              <w:rPr>
                <w:rFonts w:ascii="Cambria" w:eastAsia="MS Mincho" w:hAnsi="Cambria" w:cs="Arial"/>
                <w:b/>
                <w:sz w:val="18"/>
                <w:szCs w:val="18"/>
                <w:lang w:eastAsia="es-ES_tradnl"/>
              </w:rPr>
              <w:t xml:space="preserve">Sixth Clause. Security measures: </w:t>
            </w:r>
            <w:r w:rsidRPr="00524435">
              <w:rPr>
                <w:rFonts w:ascii="Cambria" w:hAnsi="Cambria" w:cstheme="minorHAnsi"/>
                <w:color w:val="000000" w:themeColor="text1"/>
                <w:sz w:val="18"/>
                <w:szCs w:val="18"/>
              </w:rPr>
              <w:t>The Republic of Paraguay undertakes to provide security to the victims’ families utilizing patrols by the National Police in the city of Caaguazú, or wherever the victims establish their domicile, during the day and at night, on at least two rounds per day. The State shall identify and inform the victims of the nearest police station in charge of the patrols and provide immediate assistance at their request. In addition, an authority of the Ministry of the Interior shall be specially designated to ensure that this obligation is faithfully fulfilled. The respective police station shall report periodically to that authority on implementing the protection measure.</w:t>
            </w:r>
          </w:p>
        </w:tc>
        <w:tc>
          <w:tcPr>
            <w:tcW w:w="1440" w:type="dxa"/>
            <w:gridSpan w:val="2"/>
            <w:shd w:val="clear" w:color="auto" w:fill="D9D9D9" w:themeFill="background1" w:themeFillShade="D9"/>
            <w:tcMar>
              <w:top w:w="0" w:type="dxa"/>
              <w:left w:w="108" w:type="dxa"/>
              <w:bottom w:w="0" w:type="dxa"/>
              <w:right w:w="108" w:type="dxa"/>
            </w:tcMar>
            <w:vAlign w:val="center"/>
          </w:tcPr>
          <w:p w14:paraId="2AC4B1E3"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469C3D79" w14:textId="77777777" w:rsidTr="00820229">
        <w:tc>
          <w:tcPr>
            <w:tcW w:w="562" w:type="dxa"/>
            <w:shd w:val="clear" w:color="auto" w:fill="D9D9D9" w:themeFill="background1" w:themeFillShade="D9"/>
            <w:tcMar>
              <w:top w:w="0" w:type="dxa"/>
              <w:left w:w="108" w:type="dxa"/>
              <w:bottom w:w="0" w:type="dxa"/>
              <w:right w:w="108" w:type="dxa"/>
            </w:tcMar>
            <w:vAlign w:val="center"/>
          </w:tcPr>
          <w:p w14:paraId="45CB3393"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1F8667DE" w14:textId="77777777" w:rsidR="007E31E3" w:rsidRPr="00524435" w:rsidRDefault="007E31E3" w:rsidP="00820229">
            <w:pP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024B84D9"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Structural</w:t>
            </w:r>
          </w:p>
        </w:tc>
        <w:tc>
          <w:tcPr>
            <w:tcW w:w="5304" w:type="dxa"/>
            <w:gridSpan w:val="2"/>
            <w:shd w:val="clear" w:color="auto" w:fill="D9D9D9" w:themeFill="background1" w:themeFillShade="D9"/>
            <w:tcMar>
              <w:top w:w="0" w:type="dxa"/>
              <w:left w:w="108" w:type="dxa"/>
              <w:bottom w:w="0" w:type="dxa"/>
              <w:right w:w="108" w:type="dxa"/>
            </w:tcMar>
          </w:tcPr>
          <w:p w14:paraId="26341A1A" w14:textId="77777777" w:rsidR="007E31E3" w:rsidRPr="00524435" w:rsidRDefault="007E31E3" w:rsidP="00820229">
            <w:pPr>
              <w:contextualSpacing/>
              <w:jc w:val="both"/>
              <w:rPr>
                <w:rFonts w:ascii="Cambria" w:hAnsi="Cambria"/>
                <w:b/>
                <w:strike/>
                <w:color w:val="FF0000"/>
                <w:sz w:val="18"/>
                <w:szCs w:val="18"/>
              </w:rPr>
            </w:pPr>
            <w:r w:rsidRPr="00524435">
              <w:rPr>
                <w:rFonts w:ascii="Cambria" w:eastAsia="MS Mincho" w:hAnsi="Cambria" w:cs="Arial"/>
                <w:b/>
                <w:sz w:val="18"/>
                <w:szCs w:val="18"/>
                <w:lang w:eastAsia="es-ES_tradnl"/>
              </w:rPr>
              <w:t xml:space="preserve">Seventh Clause. Guarantees of non-repetition. Letter a. Bill of law. </w:t>
            </w:r>
            <w:r w:rsidRPr="00524435">
              <w:rPr>
                <w:rFonts w:ascii="Cambria" w:eastAsia="Times New Roman" w:hAnsi="Cambria" w:cstheme="minorHAnsi"/>
                <w:color w:val="000000" w:themeColor="text1"/>
                <w:sz w:val="18"/>
                <w:szCs w:val="18"/>
              </w:rPr>
              <w:t>Present a Bill through the Executive, adapting domestic legislation to the commitments assumed by the State of Paraguay as a Party to the ACHR and the Inter-American Convention on Forced Disappearance of Persons with the modification of Art. 236 (forced disappearance) of the Criminal Code, based on the following wording: “</w:t>
            </w:r>
            <w:r w:rsidRPr="00524435">
              <w:rPr>
                <w:rFonts w:ascii="Cambria" w:eastAsia="Times New Roman" w:hAnsi="Cambria" w:cstheme="minorHAnsi"/>
                <w:i/>
                <w:iCs/>
                <w:color w:val="000000" w:themeColor="text1"/>
                <w:sz w:val="18"/>
                <w:szCs w:val="18"/>
              </w:rPr>
              <w:t>any person or group of persons acting with the authorization, support or acquiescence of the State, who deprives one or more persons of their liberty, in any form whatsoever, followed by the omission to provide information or acknowledge such deprivation of liberty or by not providing information on the whereabouts of the person, thus preventing the exercise of the relevant legal remedies and procedural guarantees, shall be punished by deprivation of liberty (...)”</w:t>
            </w:r>
          </w:p>
        </w:tc>
        <w:tc>
          <w:tcPr>
            <w:tcW w:w="1440" w:type="dxa"/>
            <w:gridSpan w:val="2"/>
            <w:shd w:val="clear" w:color="auto" w:fill="D9D9D9" w:themeFill="background1" w:themeFillShade="D9"/>
            <w:tcMar>
              <w:top w:w="0" w:type="dxa"/>
              <w:left w:w="108" w:type="dxa"/>
              <w:bottom w:w="0" w:type="dxa"/>
              <w:right w:w="108" w:type="dxa"/>
            </w:tcMar>
            <w:vAlign w:val="center"/>
          </w:tcPr>
          <w:p w14:paraId="37DA23CD"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6FBAA898" w14:textId="77777777" w:rsidTr="00820229">
        <w:tc>
          <w:tcPr>
            <w:tcW w:w="562" w:type="dxa"/>
            <w:shd w:val="clear" w:color="auto" w:fill="D9D9D9" w:themeFill="background1" w:themeFillShade="D9"/>
            <w:tcMar>
              <w:top w:w="0" w:type="dxa"/>
              <w:left w:w="108" w:type="dxa"/>
              <w:bottom w:w="0" w:type="dxa"/>
              <w:right w:w="108" w:type="dxa"/>
            </w:tcMar>
            <w:vAlign w:val="center"/>
          </w:tcPr>
          <w:p w14:paraId="72EF282A"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5BE4D1F6" w14:textId="77777777" w:rsidR="007E31E3" w:rsidRPr="00524435" w:rsidRDefault="007E31E3" w:rsidP="00820229">
            <w:pP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7457AA33"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Structural</w:t>
            </w:r>
          </w:p>
        </w:tc>
        <w:tc>
          <w:tcPr>
            <w:tcW w:w="5304" w:type="dxa"/>
            <w:gridSpan w:val="2"/>
            <w:shd w:val="clear" w:color="auto" w:fill="D9D9D9" w:themeFill="background1" w:themeFillShade="D9"/>
            <w:tcMar>
              <w:top w:w="0" w:type="dxa"/>
              <w:left w:w="108" w:type="dxa"/>
              <w:bottom w:w="0" w:type="dxa"/>
              <w:right w:w="108" w:type="dxa"/>
            </w:tcMar>
          </w:tcPr>
          <w:p w14:paraId="62294C94" w14:textId="77777777" w:rsidR="007E31E3" w:rsidRPr="00524435" w:rsidRDefault="007E31E3" w:rsidP="00820229">
            <w:pPr>
              <w:contextualSpacing/>
              <w:jc w:val="both"/>
              <w:rPr>
                <w:rFonts w:ascii="Cambria" w:hAnsi="Cambria"/>
                <w:b/>
                <w:strike/>
                <w:color w:val="FF0000"/>
                <w:sz w:val="18"/>
                <w:szCs w:val="18"/>
              </w:rPr>
            </w:pPr>
            <w:r w:rsidRPr="00524435">
              <w:rPr>
                <w:rFonts w:ascii="Cambria" w:eastAsia="MS Mincho" w:hAnsi="Cambria" w:cs="Arial"/>
                <w:b/>
                <w:sz w:val="18"/>
                <w:szCs w:val="18"/>
                <w:lang w:eastAsia="es-ES_tradnl"/>
              </w:rPr>
              <w:t xml:space="preserve">Seventh Clause. Guarantees of non-repetition. Letter b. Documentary exhibition. </w:t>
            </w:r>
            <w:r w:rsidRPr="00524435">
              <w:rPr>
                <w:rFonts w:ascii="Cambria" w:eastAsia="Times New Roman" w:hAnsi="Cambria" w:cstheme="minorHAnsi"/>
                <w:color w:val="000000" w:themeColor="text1"/>
                <w:sz w:val="18"/>
                <w:szCs w:val="18"/>
              </w:rPr>
              <w:t>To exhibit within three months of signing this agreement, the documentary video “Body to Earth. The Child Soldiers of Paraguay” ["</w:t>
            </w:r>
            <w:r w:rsidRPr="00524435">
              <w:rPr>
                <w:rFonts w:ascii="Cambria" w:eastAsia="Times New Roman" w:hAnsi="Cambria" w:cstheme="minorHAnsi"/>
                <w:i/>
                <w:iCs/>
                <w:color w:val="000000" w:themeColor="text1"/>
                <w:sz w:val="18"/>
                <w:szCs w:val="18"/>
              </w:rPr>
              <w:t xml:space="preserve">Cuerpo a Tierra. Los </w:t>
            </w:r>
            <w:proofErr w:type="spellStart"/>
            <w:r w:rsidRPr="00524435">
              <w:rPr>
                <w:rFonts w:ascii="Cambria" w:eastAsia="Times New Roman" w:hAnsi="Cambria" w:cstheme="minorHAnsi"/>
                <w:i/>
                <w:iCs/>
                <w:color w:val="000000" w:themeColor="text1"/>
                <w:sz w:val="18"/>
                <w:szCs w:val="18"/>
              </w:rPr>
              <w:t>Niños</w:t>
            </w:r>
            <w:proofErr w:type="spellEnd"/>
            <w:r w:rsidRPr="00524435">
              <w:rPr>
                <w:rFonts w:ascii="Cambria" w:eastAsia="Times New Roman" w:hAnsi="Cambria" w:cstheme="minorHAnsi"/>
                <w:i/>
                <w:iCs/>
                <w:color w:val="000000" w:themeColor="text1"/>
                <w:sz w:val="18"/>
                <w:szCs w:val="18"/>
              </w:rPr>
              <w:t xml:space="preserve"> Soldados del Paraguay</w:t>
            </w:r>
            <w:r w:rsidRPr="00524435">
              <w:rPr>
                <w:rFonts w:ascii="Cambria" w:eastAsia="Times New Roman" w:hAnsi="Cambria" w:cstheme="minorHAnsi"/>
                <w:color w:val="000000" w:themeColor="text1"/>
                <w:sz w:val="18"/>
                <w:szCs w:val="18"/>
              </w:rPr>
              <w:t>" in Spanish] filmed by the petitioners at the Mariscal Francisco Solano López Military Academy of the Armed Forces in the presence of high-ranking military authorities. The relatives of the victims and the petitioners may attend the screening, and they must be notified of the date of the screening at least 15 days in advance.</w:t>
            </w:r>
          </w:p>
        </w:tc>
        <w:tc>
          <w:tcPr>
            <w:tcW w:w="1440" w:type="dxa"/>
            <w:gridSpan w:val="2"/>
            <w:shd w:val="clear" w:color="auto" w:fill="D9D9D9" w:themeFill="background1" w:themeFillShade="D9"/>
            <w:tcMar>
              <w:top w:w="0" w:type="dxa"/>
              <w:left w:w="108" w:type="dxa"/>
              <w:bottom w:w="0" w:type="dxa"/>
              <w:right w:w="108" w:type="dxa"/>
            </w:tcMar>
            <w:vAlign w:val="center"/>
          </w:tcPr>
          <w:p w14:paraId="656BB2E3"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5AE011F4" w14:textId="77777777" w:rsidTr="00820229">
        <w:tc>
          <w:tcPr>
            <w:tcW w:w="562" w:type="dxa"/>
            <w:shd w:val="clear" w:color="auto" w:fill="D9D9D9" w:themeFill="background1" w:themeFillShade="D9"/>
            <w:tcMar>
              <w:top w:w="0" w:type="dxa"/>
              <w:left w:w="108" w:type="dxa"/>
              <w:bottom w:w="0" w:type="dxa"/>
              <w:right w:w="108" w:type="dxa"/>
            </w:tcMar>
            <w:vAlign w:val="center"/>
          </w:tcPr>
          <w:p w14:paraId="66E2D244"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26A96F12" w14:textId="77777777" w:rsidR="007E31E3" w:rsidRPr="00524435" w:rsidRDefault="007E31E3" w:rsidP="00820229">
            <w:pP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4D16BC63"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tcPr>
          <w:p w14:paraId="7C45FA4D" w14:textId="77777777" w:rsidR="007E31E3" w:rsidRPr="00524435" w:rsidRDefault="007E31E3" w:rsidP="00820229">
            <w:pPr>
              <w:pBdr>
                <w:top w:val="nil"/>
                <w:left w:val="nil"/>
                <w:bottom w:val="nil"/>
                <w:right w:val="nil"/>
                <w:between w:val="nil"/>
                <w:bar w:val="nil"/>
              </w:pBdr>
              <w:autoSpaceDE w:val="0"/>
              <w:autoSpaceDN w:val="0"/>
              <w:adjustRightInd w:val="0"/>
              <w:jc w:val="both"/>
              <w:rPr>
                <w:rFonts w:ascii="Cambria" w:eastAsia="Times New Roman" w:hAnsi="Cambria" w:cstheme="minorHAnsi"/>
                <w:color w:val="000000" w:themeColor="text1"/>
                <w:sz w:val="18"/>
                <w:szCs w:val="18"/>
              </w:rPr>
            </w:pPr>
            <w:r w:rsidRPr="00524435">
              <w:rPr>
                <w:rFonts w:ascii="Cambria" w:eastAsia="MS Mincho" w:hAnsi="Cambria" w:cs="Arial"/>
                <w:b/>
                <w:sz w:val="18"/>
                <w:szCs w:val="18"/>
                <w:lang w:eastAsia="es-ES_tradnl"/>
              </w:rPr>
              <w:t xml:space="preserve">Eighth Clause. Pecuniary reparations. Letter a. </w:t>
            </w:r>
            <w:r w:rsidRPr="00524435">
              <w:rPr>
                <w:rFonts w:ascii="Cambria" w:eastAsia="Times New Roman" w:hAnsi="Cambria" w:cstheme="minorHAnsi"/>
                <w:color w:val="000000" w:themeColor="text1"/>
                <w:sz w:val="18"/>
                <w:szCs w:val="18"/>
              </w:rPr>
              <w:t>To pay 25,000 U.S $ (twenty-five thousand U.S. dollars) as compensation, which shall be paid to the victim’s mothers within five months of signing this agreement.</w:t>
            </w:r>
          </w:p>
        </w:tc>
        <w:tc>
          <w:tcPr>
            <w:tcW w:w="1440" w:type="dxa"/>
            <w:gridSpan w:val="2"/>
            <w:shd w:val="clear" w:color="auto" w:fill="D9D9D9" w:themeFill="background1" w:themeFillShade="D9"/>
            <w:tcMar>
              <w:top w:w="0" w:type="dxa"/>
              <w:left w:w="108" w:type="dxa"/>
              <w:bottom w:w="0" w:type="dxa"/>
              <w:right w:w="108" w:type="dxa"/>
            </w:tcMar>
            <w:vAlign w:val="center"/>
          </w:tcPr>
          <w:p w14:paraId="23A06219"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2E097D55" w14:textId="77777777" w:rsidTr="00820229">
        <w:tc>
          <w:tcPr>
            <w:tcW w:w="562" w:type="dxa"/>
            <w:shd w:val="clear" w:color="auto" w:fill="D9D9D9" w:themeFill="background1" w:themeFillShade="D9"/>
            <w:tcMar>
              <w:top w:w="0" w:type="dxa"/>
              <w:left w:w="108" w:type="dxa"/>
              <w:bottom w:w="0" w:type="dxa"/>
              <w:right w:w="108" w:type="dxa"/>
            </w:tcMar>
            <w:vAlign w:val="center"/>
          </w:tcPr>
          <w:p w14:paraId="611D924F"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vMerge/>
            <w:shd w:val="clear" w:color="auto" w:fill="D9D9D9" w:themeFill="background1" w:themeFillShade="D9"/>
            <w:vAlign w:val="center"/>
          </w:tcPr>
          <w:p w14:paraId="4682C447" w14:textId="77777777" w:rsidR="007E31E3" w:rsidRPr="00524435" w:rsidRDefault="007E31E3" w:rsidP="00820229">
            <w:pPr>
              <w:rPr>
                <w:rFonts w:ascii="Cambria" w:hAnsi="Cambria"/>
                <w:b/>
                <w:sz w:val="18"/>
                <w:szCs w:val="18"/>
              </w:rPr>
            </w:pPr>
          </w:p>
        </w:tc>
        <w:tc>
          <w:tcPr>
            <w:tcW w:w="1081" w:type="dxa"/>
            <w:shd w:val="clear" w:color="auto" w:fill="D9D9D9" w:themeFill="background1" w:themeFillShade="D9"/>
            <w:tcMar>
              <w:top w:w="0" w:type="dxa"/>
              <w:left w:w="108" w:type="dxa"/>
              <w:bottom w:w="0" w:type="dxa"/>
              <w:right w:w="108" w:type="dxa"/>
            </w:tcMar>
            <w:vAlign w:val="center"/>
          </w:tcPr>
          <w:p w14:paraId="21B0C0FF"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D9D9D9" w:themeFill="background1" w:themeFillShade="D9"/>
            <w:tcMar>
              <w:top w:w="0" w:type="dxa"/>
              <w:left w:w="108" w:type="dxa"/>
              <w:bottom w:w="0" w:type="dxa"/>
              <w:right w:w="108" w:type="dxa"/>
            </w:tcMar>
          </w:tcPr>
          <w:p w14:paraId="14E8AB04" w14:textId="77777777" w:rsidR="007E31E3" w:rsidRPr="00524435" w:rsidRDefault="007E31E3" w:rsidP="00820229">
            <w:pPr>
              <w:pBdr>
                <w:top w:val="nil"/>
                <w:left w:val="nil"/>
                <w:bottom w:val="nil"/>
                <w:right w:val="nil"/>
                <w:between w:val="nil"/>
                <w:bar w:val="nil"/>
              </w:pBdr>
              <w:autoSpaceDE w:val="0"/>
              <w:autoSpaceDN w:val="0"/>
              <w:adjustRightInd w:val="0"/>
              <w:jc w:val="both"/>
              <w:rPr>
                <w:rFonts w:ascii="Cambria" w:hAnsi="Cambria"/>
                <w:b/>
                <w:strike/>
                <w:color w:val="FF0000"/>
                <w:sz w:val="18"/>
                <w:szCs w:val="18"/>
              </w:rPr>
            </w:pPr>
            <w:r w:rsidRPr="00524435">
              <w:rPr>
                <w:rFonts w:ascii="Cambria" w:eastAsia="MS Mincho" w:hAnsi="Cambria" w:cs="Arial"/>
                <w:b/>
                <w:sz w:val="18"/>
                <w:szCs w:val="18"/>
                <w:lang w:eastAsia="es-ES_tradnl"/>
              </w:rPr>
              <w:t xml:space="preserve">Clause Eighth. Pecuniary reparations. Letter b. </w:t>
            </w:r>
            <w:r w:rsidRPr="00524435">
              <w:rPr>
                <w:rFonts w:ascii="Cambria" w:eastAsia="Times New Roman" w:hAnsi="Cambria" w:cstheme="minorHAnsi"/>
                <w:color w:val="000000" w:themeColor="text1"/>
                <w:sz w:val="18"/>
                <w:szCs w:val="18"/>
              </w:rPr>
              <w:t>Grant a pension for the victims’ families within one year of the signing of this agreement. To this end, the relevant bill must be submitted within one month of signing this instrument.</w:t>
            </w:r>
          </w:p>
        </w:tc>
        <w:tc>
          <w:tcPr>
            <w:tcW w:w="1440" w:type="dxa"/>
            <w:gridSpan w:val="2"/>
            <w:shd w:val="clear" w:color="auto" w:fill="D9D9D9" w:themeFill="background1" w:themeFillShade="D9"/>
            <w:tcMar>
              <w:top w:w="0" w:type="dxa"/>
              <w:left w:w="108" w:type="dxa"/>
              <w:bottom w:w="0" w:type="dxa"/>
              <w:right w:w="108" w:type="dxa"/>
            </w:tcMar>
            <w:vAlign w:val="center"/>
          </w:tcPr>
          <w:p w14:paraId="3CF56AA8" w14:textId="77777777" w:rsidR="007E31E3" w:rsidRPr="00524435" w:rsidRDefault="007E31E3" w:rsidP="00820229">
            <w:pPr>
              <w:jc w:val="center"/>
              <w:rPr>
                <w:rFonts w:ascii="Cambria" w:hAnsi="Cambria"/>
                <w:b/>
                <w:sz w:val="18"/>
                <w:szCs w:val="18"/>
              </w:rPr>
            </w:pPr>
            <w:r w:rsidRPr="00524435">
              <w:rPr>
                <w:rFonts w:ascii="Cambria" w:eastAsia="MS Mincho" w:hAnsi="Cambria" w:cs="Arial"/>
                <w:b/>
                <w:sz w:val="18"/>
                <w:szCs w:val="18"/>
                <w:lang w:eastAsia="es-ES_tradnl"/>
              </w:rPr>
              <w:t>Total 2021</w:t>
            </w:r>
          </w:p>
        </w:tc>
      </w:tr>
      <w:tr w:rsidR="007E31E3" w:rsidRPr="00524435" w14:paraId="15C12FF1" w14:textId="77777777" w:rsidTr="00820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5"/>
        </w:trPr>
        <w:tc>
          <w:tcPr>
            <w:tcW w:w="9805" w:type="dxa"/>
            <w:gridSpan w:val="7"/>
            <w:tcBorders>
              <w:top w:val="single" w:sz="4"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3D19F89A" w14:textId="77777777" w:rsidR="007E31E3" w:rsidRPr="00524435" w:rsidRDefault="007E31E3" w:rsidP="008B0732">
            <w:pPr>
              <w:spacing w:after="0" w:line="240" w:lineRule="auto"/>
              <w:jc w:val="center"/>
              <w:rPr>
                <w:rFonts w:ascii="Cambria" w:hAnsi="Cambria"/>
                <w:b/>
                <w:sz w:val="18"/>
                <w:szCs w:val="18"/>
              </w:rPr>
            </w:pPr>
            <w:r w:rsidRPr="00524435">
              <w:rPr>
                <w:rFonts w:ascii="Cambria" w:hAnsi="Cambria"/>
                <w:b/>
                <w:sz w:val="18"/>
                <w:szCs w:val="18"/>
              </w:rPr>
              <w:t>Number of measures where progress was achieved: 24 (18 individual and 4 structural)</w:t>
            </w:r>
          </w:p>
          <w:p w14:paraId="2862F3CE" w14:textId="77777777" w:rsidR="007E31E3" w:rsidRPr="00524435" w:rsidRDefault="007E31E3" w:rsidP="008B0732">
            <w:pPr>
              <w:spacing w:after="0" w:line="240" w:lineRule="auto"/>
              <w:jc w:val="center"/>
              <w:rPr>
                <w:rFonts w:ascii="Cambria" w:hAnsi="Cambria"/>
                <w:b/>
                <w:sz w:val="18"/>
                <w:szCs w:val="18"/>
              </w:rPr>
            </w:pPr>
            <w:r w:rsidRPr="00524435">
              <w:rPr>
                <w:rFonts w:ascii="Cambria" w:hAnsi="Cambria"/>
                <w:b/>
                <w:sz w:val="18"/>
                <w:szCs w:val="18"/>
              </w:rPr>
              <w:t>Total compliance: 22</w:t>
            </w:r>
          </w:p>
          <w:p w14:paraId="772FE0BA" w14:textId="77777777" w:rsidR="007E31E3" w:rsidRPr="00524435" w:rsidRDefault="007E31E3" w:rsidP="008B0732">
            <w:pPr>
              <w:spacing w:after="0" w:line="240" w:lineRule="auto"/>
              <w:jc w:val="center"/>
              <w:rPr>
                <w:rFonts w:ascii="Cambria" w:hAnsi="Cambria"/>
                <w:b/>
                <w:sz w:val="18"/>
                <w:szCs w:val="18"/>
              </w:rPr>
            </w:pPr>
            <w:r w:rsidRPr="00524435">
              <w:rPr>
                <w:rFonts w:ascii="Cambria" w:hAnsi="Cambria"/>
                <w:b/>
                <w:sz w:val="18"/>
                <w:szCs w:val="18"/>
              </w:rPr>
              <w:t>Partial substantial: n/a</w:t>
            </w:r>
          </w:p>
          <w:p w14:paraId="02CD36EF" w14:textId="77777777" w:rsidR="007E31E3" w:rsidRPr="00524435" w:rsidRDefault="007E31E3" w:rsidP="008B0732">
            <w:pPr>
              <w:spacing w:after="0" w:line="240" w:lineRule="auto"/>
              <w:jc w:val="center"/>
              <w:rPr>
                <w:rFonts w:ascii="Cambria" w:hAnsi="Cambria"/>
                <w:b/>
                <w:strike/>
                <w:color w:val="FF0000"/>
                <w:sz w:val="18"/>
                <w:szCs w:val="18"/>
              </w:rPr>
            </w:pPr>
            <w:r w:rsidRPr="00524435">
              <w:rPr>
                <w:rFonts w:ascii="Cambria" w:hAnsi="Cambria"/>
                <w:b/>
                <w:sz w:val="18"/>
                <w:szCs w:val="18"/>
              </w:rPr>
              <w:t>Partial compliance:  2</w:t>
            </w:r>
          </w:p>
        </w:tc>
      </w:tr>
      <w:tr w:rsidR="007E31E3" w:rsidRPr="00524435" w14:paraId="7F4DB36E" w14:textId="77777777" w:rsidTr="00820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5"/>
        </w:trPr>
        <w:tc>
          <w:tcPr>
            <w:tcW w:w="9805" w:type="dxa"/>
            <w:gridSpan w:val="7"/>
            <w:tcBorders>
              <w:top w:val="single" w:sz="4"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2F58DE1C" w14:textId="043259AD" w:rsidR="007E31E3" w:rsidRPr="00524435" w:rsidRDefault="007E31E3" w:rsidP="00820229">
            <w:pPr>
              <w:jc w:val="center"/>
              <w:rPr>
                <w:rFonts w:ascii="Cambria" w:hAnsi="Cambria"/>
                <w:b/>
                <w:sz w:val="18"/>
                <w:szCs w:val="18"/>
              </w:rPr>
            </w:pPr>
            <w:r w:rsidRPr="00524435">
              <w:rPr>
                <w:rFonts w:ascii="Cambria" w:hAnsi="Cambria"/>
                <w:b/>
                <w:sz w:val="18"/>
                <w:szCs w:val="18"/>
              </w:rPr>
              <w:t>PER</w:t>
            </w:r>
            <w:r w:rsidR="008B0732">
              <w:rPr>
                <w:rFonts w:ascii="Cambria" w:hAnsi="Cambria"/>
                <w:b/>
                <w:sz w:val="18"/>
                <w:szCs w:val="18"/>
              </w:rPr>
              <w:t>U</w:t>
            </w:r>
          </w:p>
        </w:tc>
      </w:tr>
      <w:tr w:rsidR="007E31E3" w:rsidRPr="00524435" w14:paraId="43C5F4D8" w14:textId="77777777" w:rsidTr="00820229">
        <w:tc>
          <w:tcPr>
            <w:tcW w:w="562" w:type="dxa"/>
            <w:shd w:val="clear" w:color="auto" w:fill="auto"/>
            <w:tcMar>
              <w:top w:w="0" w:type="dxa"/>
              <w:left w:w="108" w:type="dxa"/>
              <w:bottom w:w="0" w:type="dxa"/>
              <w:right w:w="108" w:type="dxa"/>
            </w:tcMar>
            <w:vAlign w:val="center"/>
          </w:tcPr>
          <w:p w14:paraId="62E98C4D" w14:textId="77777777" w:rsidR="007E31E3" w:rsidRPr="00524435" w:rsidRDefault="007E31E3" w:rsidP="0009324C">
            <w:pPr>
              <w:numPr>
                <w:ilvl w:val="0"/>
                <w:numId w:val="24"/>
              </w:numPr>
              <w:spacing w:after="0" w:line="240" w:lineRule="auto"/>
              <w:ind w:left="0" w:right="44" w:firstLine="0"/>
              <w:jc w:val="center"/>
              <w:rPr>
                <w:rFonts w:ascii="Cambria" w:hAnsi="Cambria"/>
                <w:sz w:val="18"/>
                <w:szCs w:val="18"/>
              </w:rPr>
            </w:pPr>
          </w:p>
        </w:tc>
        <w:tc>
          <w:tcPr>
            <w:tcW w:w="1418" w:type="dxa"/>
            <w:shd w:val="clear" w:color="auto" w:fill="auto"/>
            <w:vAlign w:val="center"/>
          </w:tcPr>
          <w:p w14:paraId="34B8643A" w14:textId="69D9538E" w:rsidR="007E31E3" w:rsidRPr="007A5442" w:rsidRDefault="007E31E3" w:rsidP="00820229">
            <w:pPr>
              <w:jc w:val="center"/>
              <w:rPr>
                <w:rFonts w:ascii="Cambria" w:hAnsi="Cambria"/>
                <w:b/>
                <w:sz w:val="18"/>
                <w:szCs w:val="18"/>
                <w:lang w:val="pt-PT"/>
              </w:rPr>
            </w:pPr>
            <w:r w:rsidRPr="007A5442">
              <w:rPr>
                <w:rFonts w:ascii="Cambria" w:hAnsi="Cambria" w:cs="Arial"/>
                <w:b/>
                <w:bCs/>
                <w:sz w:val="18"/>
                <w:szCs w:val="18"/>
                <w:lang w:val="pt-PT" w:eastAsia="es-ES_tradnl"/>
              </w:rPr>
              <w:t xml:space="preserve">Case 12.095, Report No. 3/20, </w:t>
            </w:r>
            <w:r w:rsidRPr="007A5442">
              <w:rPr>
                <w:rFonts w:ascii="Cambria" w:hAnsi="Cambria"/>
                <w:b/>
                <w:bCs/>
                <w:color w:val="000000"/>
                <w:sz w:val="18"/>
                <w:szCs w:val="18"/>
                <w:lang w:val="pt-PT"/>
              </w:rPr>
              <w:t xml:space="preserve">Mariela Barreto Riofano </w:t>
            </w:r>
            <w:r w:rsidRPr="007A5442">
              <w:rPr>
                <w:rFonts w:ascii="Cambria" w:hAnsi="Cambria"/>
                <w:b/>
                <w:bCs/>
                <w:color w:val="000000"/>
                <w:sz w:val="18"/>
                <w:szCs w:val="18"/>
                <w:lang w:val="pt-PT"/>
              </w:rPr>
              <w:br/>
            </w:r>
            <w:r w:rsidRPr="007A5442">
              <w:rPr>
                <w:rFonts w:ascii="Cambria" w:hAnsi="Cambria" w:cs="Arial"/>
                <w:b/>
                <w:bCs/>
                <w:sz w:val="18"/>
                <w:szCs w:val="18"/>
                <w:lang w:val="pt-PT" w:eastAsia="es-ES_tradnl"/>
              </w:rPr>
              <w:t>(Per</w:t>
            </w:r>
            <w:r w:rsidR="008B0732" w:rsidRPr="007A5442">
              <w:rPr>
                <w:rFonts w:ascii="Cambria" w:hAnsi="Cambria" w:cs="Arial"/>
                <w:b/>
                <w:bCs/>
                <w:sz w:val="18"/>
                <w:szCs w:val="18"/>
                <w:lang w:val="pt-PT" w:eastAsia="es-ES_tradnl"/>
              </w:rPr>
              <w:t>u</w:t>
            </w:r>
            <w:r w:rsidRPr="007A5442">
              <w:rPr>
                <w:rFonts w:ascii="Cambria" w:hAnsi="Cambria" w:cs="Arial"/>
                <w:b/>
                <w:bCs/>
                <w:sz w:val="18"/>
                <w:szCs w:val="18"/>
                <w:lang w:val="pt-PT" w:eastAsia="es-ES_tradnl"/>
              </w:rPr>
              <w:t>)</w:t>
            </w:r>
          </w:p>
        </w:tc>
        <w:tc>
          <w:tcPr>
            <w:tcW w:w="1081" w:type="dxa"/>
            <w:shd w:val="clear" w:color="auto" w:fill="auto"/>
            <w:tcMar>
              <w:top w:w="0" w:type="dxa"/>
              <w:left w:w="108" w:type="dxa"/>
              <w:bottom w:w="0" w:type="dxa"/>
              <w:right w:w="108" w:type="dxa"/>
            </w:tcMar>
            <w:vAlign w:val="center"/>
          </w:tcPr>
          <w:p w14:paraId="20E9E162" w14:textId="77777777" w:rsidR="007E31E3" w:rsidRPr="00524435" w:rsidRDefault="007E31E3" w:rsidP="00820229">
            <w:pPr>
              <w:jc w:val="center"/>
              <w:rPr>
                <w:rFonts w:ascii="Cambria" w:hAnsi="Cambria"/>
                <w:strike/>
                <w:color w:val="FF0000"/>
                <w:sz w:val="18"/>
                <w:szCs w:val="18"/>
              </w:rPr>
            </w:pPr>
            <w:r w:rsidRPr="00524435">
              <w:rPr>
                <w:rFonts w:ascii="Cambria" w:hAnsi="Cambria"/>
                <w:sz w:val="18"/>
                <w:szCs w:val="18"/>
              </w:rPr>
              <w:t>Individual</w:t>
            </w:r>
          </w:p>
        </w:tc>
        <w:tc>
          <w:tcPr>
            <w:tcW w:w="5304" w:type="dxa"/>
            <w:gridSpan w:val="2"/>
            <w:shd w:val="clear" w:color="auto" w:fill="auto"/>
            <w:tcMar>
              <w:top w:w="0" w:type="dxa"/>
              <w:left w:w="108" w:type="dxa"/>
              <w:bottom w:w="0" w:type="dxa"/>
              <w:right w:w="108" w:type="dxa"/>
            </w:tcMar>
            <w:vAlign w:val="center"/>
          </w:tcPr>
          <w:p w14:paraId="47783E0C" w14:textId="77777777" w:rsidR="007E31E3" w:rsidRPr="00524435" w:rsidRDefault="007E31E3" w:rsidP="00820229">
            <w:pPr>
              <w:ind w:right="72"/>
              <w:jc w:val="both"/>
              <w:rPr>
                <w:rFonts w:ascii="Cambria" w:hAnsi="Cambria"/>
                <w:b/>
                <w:strike/>
                <w:color w:val="FF0000"/>
                <w:sz w:val="18"/>
                <w:szCs w:val="18"/>
              </w:rPr>
            </w:pPr>
            <w:r w:rsidRPr="00524435">
              <w:rPr>
                <w:rFonts w:ascii="Cambria" w:eastAsia="Times New Roman" w:hAnsi="Cambria" w:cstheme="minorHAnsi"/>
                <w:b/>
                <w:bCs/>
                <w:color w:val="000000" w:themeColor="text1"/>
                <w:sz w:val="18"/>
                <w:szCs w:val="18"/>
              </w:rPr>
              <w:t>Third Clause. Investigation and sanction</w:t>
            </w:r>
            <w:r w:rsidRPr="00524435">
              <w:rPr>
                <w:rFonts w:ascii="Cambria" w:eastAsia="Times New Roman" w:hAnsi="Cambria" w:cstheme="minorHAnsi"/>
                <w:color w:val="000000" w:themeColor="text1"/>
                <w:sz w:val="18"/>
                <w:szCs w:val="18"/>
              </w:rPr>
              <w:t>: The Peruvian State undertakes to carry out an exhaustive investigation of the facts and apply the legal sanctions against any person who is determined to be a participant in the facts, whether as intellectual, material, mediate or other condition, even in the case of civil servants or public servants, whether civil or military.</w:t>
            </w:r>
          </w:p>
        </w:tc>
        <w:tc>
          <w:tcPr>
            <w:tcW w:w="1440" w:type="dxa"/>
            <w:gridSpan w:val="2"/>
            <w:shd w:val="clear" w:color="auto" w:fill="auto"/>
            <w:tcMar>
              <w:top w:w="0" w:type="dxa"/>
              <w:left w:w="108" w:type="dxa"/>
              <w:bottom w:w="0" w:type="dxa"/>
              <w:right w:w="108" w:type="dxa"/>
            </w:tcMar>
            <w:vAlign w:val="center"/>
          </w:tcPr>
          <w:p w14:paraId="6AF13D34" w14:textId="77777777" w:rsidR="007E31E3" w:rsidRPr="00524435" w:rsidRDefault="007E31E3" w:rsidP="00820229">
            <w:pPr>
              <w:jc w:val="center"/>
              <w:rPr>
                <w:rFonts w:ascii="Cambria" w:hAnsi="Cambria"/>
                <w:b/>
                <w:sz w:val="18"/>
                <w:szCs w:val="18"/>
              </w:rPr>
            </w:pPr>
            <w:r w:rsidRPr="00524435">
              <w:rPr>
                <w:rFonts w:ascii="Cambria" w:hAnsi="Cambria"/>
                <w:b/>
                <w:sz w:val="18"/>
                <w:szCs w:val="18"/>
              </w:rPr>
              <w:t>Partial substantial 2021</w:t>
            </w:r>
          </w:p>
        </w:tc>
      </w:tr>
      <w:tr w:rsidR="007E31E3" w:rsidRPr="00524435" w14:paraId="55D003A8" w14:textId="77777777" w:rsidTr="00820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5"/>
        </w:trPr>
        <w:tc>
          <w:tcPr>
            <w:tcW w:w="9805" w:type="dxa"/>
            <w:gridSpan w:val="7"/>
            <w:tcBorders>
              <w:top w:val="single" w:sz="4"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1C4ECD2D" w14:textId="77777777" w:rsidR="007E31E3" w:rsidRPr="00524435" w:rsidRDefault="007E31E3" w:rsidP="008B0732">
            <w:pPr>
              <w:spacing w:after="0" w:line="240" w:lineRule="auto"/>
              <w:jc w:val="center"/>
              <w:rPr>
                <w:rFonts w:ascii="Cambria" w:hAnsi="Cambria"/>
                <w:b/>
                <w:sz w:val="18"/>
                <w:szCs w:val="18"/>
              </w:rPr>
            </w:pPr>
            <w:r w:rsidRPr="00524435">
              <w:rPr>
                <w:rFonts w:ascii="Cambria" w:hAnsi="Cambria"/>
                <w:b/>
                <w:sz w:val="18"/>
                <w:szCs w:val="18"/>
              </w:rPr>
              <w:t>Number of measures where progress was achieved: 1 (1 individual)</w:t>
            </w:r>
          </w:p>
          <w:p w14:paraId="1621EE7F" w14:textId="77777777" w:rsidR="007E31E3" w:rsidRPr="00524435" w:rsidRDefault="007E31E3" w:rsidP="008B0732">
            <w:pPr>
              <w:spacing w:after="0" w:line="240" w:lineRule="auto"/>
              <w:jc w:val="center"/>
              <w:rPr>
                <w:rFonts w:ascii="Cambria" w:hAnsi="Cambria"/>
                <w:b/>
                <w:sz w:val="18"/>
                <w:szCs w:val="18"/>
              </w:rPr>
            </w:pPr>
            <w:r w:rsidRPr="00524435">
              <w:rPr>
                <w:rFonts w:ascii="Cambria" w:hAnsi="Cambria"/>
                <w:b/>
                <w:sz w:val="18"/>
                <w:szCs w:val="18"/>
              </w:rPr>
              <w:t>Total compliance: n/a</w:t>
            </w:r>
          </w:p>
          <w:p w14:paraId="2EC74BFD" w14:textId="77777777" w:rsidR="007E31E3" w:rsidRPr="00524435" w:rsidRDefault="007E31E3" w:rsidP="008B0732">
            <w:pPr>
              <w:spacing w:after="0" w:line="240" w:lineRule="auto"/>
              <w:jc w:val="center"/>
              <w:rPr>
                <w:rFonts w:ascii="Cambria" w:hAnsi="Cambria"/>
                <w:b/>
                <w:sz w:val="18"/>
                <w:szCs w:val="18"/>
              </w:rPr>
            </w:pPr>
            <w:r w:rsidRPr="00524435">
              <w:rPr>
                <w:rFonts w:ascii="Cambria" w:hAnsi="Cambria"/>
                <w:b/>
                <w:sz w:val="18"/>
                <w:szCs w:val="18"/>
              </w:rPr>
              <w:t>Partial substantial: 1</w:t>
            </w:r>
          </w:p>
          <w:p w14:paraId="2EBAF830" w14:textId="77777777" w:rsidR="007E31E3" w:rsidRPr="00524435" w:rsidRDefault="007E31E3" w:rsidP="008B0732">
            <w:pPr>
              <w:spacing w:after="0" w:line="240" w:lineRule="auto"/>
              <w:jc w:val="center"/>
              <w:rPr>
                <w:rFonts w:ascii="Cambria" w:hAnsi="Cambria"/>
                <w:b/>
                <w:strike/>
                <w:color w:val="FF0000"/>
                <w:sz w:val="18"/>
                <w:szCs w:val="18"/>
              </w:rPr>
            </w:pPr>
            <w:r w:rsidRPr="00524435">
              <w:rPr>
                <w:rFonts w:ascii="Cambria" w:hAnsi="Cambria"/>
                <w:b/>
                <w:sz w:val="18"/>
                <w:szCs w:val="18"/>
              </w:rPr>
              <w:t>Partial compliance:  n/a</w:t>
            </w:r>
          </w:p>
        </w:tc>
      </w:tr>
      <w:tr w:rsidR="007E31E3" w:rsidRPr="00524435" w14:paraId="16862E6C" w14:textId="77777777" w:rsidTr="00820229">
        <w:tblPrEx>
          <w:jc w:val="center"/>
          <w:tblCellMar>
            <w:left w:w="108" w:type="dxa"/>
            <w:right w:w="108" w:type="dxa"/>
          </w:tblCellMar>
          <w:tblLook w:val="0020" w:firstRow="1" w:lastRow="0" w:firstColumn="0" w:lastColumn="0" w:noHBand="0" w:noVBand="0"/>
        </w:tblPrEx>
        <w:trPr>
          <w:gridAfter w:val="1"/>
          <w:wAfter w:w="29" w:type="dxa"/>
          <w:trHeight w:val="386"/>
          <w:jc w:val="center"/>
        </w:trPr>
        <w:tc>
          <w:tcPr>
            <w:tcW w:w="4323" w:type="dxa"/>
            <w:gridSpan w:val="4"/>
            <w:shd w:val="clear" w:color="auto" w:fill="auto"/>
            <w:vAlign w:val="center"/>
          </w:tcPr>
          <w:p w14:paraId="2829230B" w14:textId="77777777" w:rsidR="007E31E3" w:rsidRPr="00524435" w:rsidRDefault="007E31E3" w:rsidP="00820229">
            <w:pPr>
              <w:ind w:firstLine="720"/>
              <w:jc w:val="center"/>
              <w:rPr>
                <w:rFonts w:ascii="Cambria" w:eastAsia="MS Mincho" w:hAnsi="Cambria" w:cs="Arial"/>
                <w:b/>
                <w:sz w:val="18"/>
                <w:szCs w:val="18"/>
                <w:lang w:eastAsia="es-ES_tradnl"/>
              </w:rPr>
            </w:pPr>
            <w:r w:rsidRPr="00524435">
              <w:rPr>
                <w:rFonts w:ascii="Cambria" w:eastAsia="MS Mincho" w:hAnsi="Cambria" w:cs="Arial"/>
                <w:b/>
                <w:sz w:val="18"/>
                <w:szCs w:val="18"/>
                <w:lang w:eastAsia="es-ES_tradnl"/>
              </w:rPr>
              <w:t>Number of measures where progress was achieved</w:t>
            </w:r>
          </w:p>
        </w:tc>
        <w:tc>
          <w:tcPr>
            <w:tcW w:w="5453" w:type="dxa"/>
            <w:gridSpan w:val="2"/>
            <w:shd w:val="clear" w:color="auto" w:fill="auto"/>
            <w:vAlign w:val="center"/>
          </w:tcPr>
          <w:p w14:paraId="4D321CC2" w14:textId="77777777" w:rsidR="007E31E3" w:rsidRPr="00524435" w:rsidRDefault="007E31E3" w:rsidP="00820229">
            <w:pPr>
              <w:ind w:firstLine="720"/>
              <w:jc w:val="center"/>
              <w:rPr>
                <w:rFonts w:ascii="Cambria" w:eastAsia="MS Mincho" w:hAnsi="Cambria" w:cs="Arial"/>
                <w:b/>
                <w:sz w:val="18"/>
                <w:szCs w:val="18"/>
                <w:lang w:eastAsia="es-ES_tradnl"/>
              </w:rPr>
            </w:pPr>
            <w:r w:rsidRPr="00524435">
              <w:rPr>
                <w:rFonts w:ascii="Cambria" w:eastAsia="MS Mincho" w:hAnsi="Cambria" w:cs="Arial"/>
                <w:b/>
                <w:sz w:val="18"/>
                <w:szCs w:val="18"/>
                <w:lang w:eastAsia="es-ES_tradnl"/>
              </w:rPr>
              <w:t>132</w:t>
            </w:r>
          </w:p>
        </w:tc>
      </w:tr>
      <w:tr w:rsidR="007E31E3" w:rsidRPr="00524435" w14:paraId="2D7E6900" w14:textId="77777777" w:rsidTr="00820229">
        <w:tblPrEx>
          <w:jc w:val="center"/>
          <w:tblCellMar>
            <w:left w:w="108" w:type="dxa"/>
            <w:right w:w="108" w:type="dxa"/>
          </w:tblCellMar>
          <w:tblLook w:val="0020" w:firstRow="1" w:lastRow="0" w:firstColumn="0" w:lastColumn="0" w:noHBand="0" w:noVBand="0"/>
        </w:tblPrEx>
        <w:trPr>
          <w:gridAfter w:val="1"/>
          <w:wAfter w:w="29" w:type="dxa"/>
          <w:trHeight w:val="314"/>
          <w:jc w:val="center"/>
        </w:trPr>
        <w:tc>
          <w:tcPr>
            <w:tcW w:w="4323" w:type="dxa"/>
            <w:gridSpan w:val="4"/>
            <w:shd w:val="clear" w:color="auto" w:fill="auto"/>
            <w:vAlign w:val="center"/>
          </w:tcPr>
          <w:p w14:paraId="34AFA6F3" w14:textId="77777777" w:rsidR="007E31E3" w:rsidRPr="00524435" w:rsidRDefault="007E31E3" w:rsidP="00820229">
            <w:pPr>
              <w:ind w:firstLine="720"/>
              <w:jc w:val="center"/>
              <w:rPr>
                <w:rFonts w:ascii="Cambria" w:eastAsia="MS Mincho" w:hAnsi="Cambria" w:cs="Arial"/>
                <w:b/>
                <w:sz w:val="18"/>
                <w:szCs w:val="18"/>
                <w:lang w:eastAsia="es-ES_tradnl"/>
              </w:rPr>
            </w:pPr>
            <w:r w:rsidRPr="00524435">
              <w:rPr>
                <w:rFonts w:ascii="Cambria" w:eastAsia="MS Mincho" w:hAnsi="Cambria" w:cs="Arial"/>
                <w:b/>
                <w:sz w:val="18"/>
                <w:szCs w:val="18"/>
                <w:lang w:eastAsia="es-ES_tradnl"/>
              </w:rPr>
              <w:t>Total number of measures where total compliance was achieved</w:t>
            </w:r>
          </w:p>
        </w:tc>
        <w:tc>
          <w:tcPr>
            <w:tcW w:w="5453" w:type="dxa"/>
            <w:gridSpan w:val="2"/>
            <w:shd w:val="clear" w:color="auto" w:fill="auto"/>
            <w:vAlign w:val="center"/>
          </w:tcPr>
          <w:p w14:paraId="51A47737" w14:textId="77777777" w:rsidR="007E31E3" w:rsidRPr="00524435" w:rsidRDefault="007E31E3" w:rsidP="00820229">
            <w:pPr>
              <w:ind w:firstLine="720"/>
              <w:jc w:val="center"/>
              <w:rPr>
                <w:rFonts w:ascii="Cambria" w:eastAsia="MS Mincho" w:hAnsi="Cambria" w:cs="Arial"/>
                <w:b/>
                <w:sz w:val="18"/>
                <w:szCs w:val="18"/>
                <w:lang w:eastAsia="es-ES_tradnl"/>
              </w:rPr>
            </w:pPr>
            <w:r w:rsidRPr="00524435">
              <w:rPr>
                <w:rFonts w:ascii="Cambria" w:eastAsia="MS Mincho" w:hAnsi="Cambria" w:cs="Arial"/>
                <w:b/>
                <w:sz w:val="18"/>
                <w:szCs w:val="18"/>
                <w:lang w:eastAsia="es-ES_tradnl"/>
              </w:rPr>
              <w:t>94</w:t>
            </w:r>
          </w:p>
        </w:tc>
      </w:tr>
      <w:tr w:rsidR="007E31E3" w:rsidRPr="00524435" w14:paraId="55ABA5B8" w14:textId="77777777" w:rsidTr="00820229">
        <w:tblPrEx>
          <w:jc w:val="center"/>
          <w:tblCellMar>
            <w:left w:w="108" w:type="dxa"/>
            <w:right w:w="108" w:type="dxa"/>
          </w:tblCellMar>
          <w:tblLook w:val="0020" w:firstRow="1" w:lastRow="0" w:firstColumn="0" w:lastColumn="0" w:noHBand="0" w:noVBand="0"/>
        </w:tblPrEx>
        <w:trPr>
          <w:gridAfter w:val="1"/>
          <w:wAfter w:w="29" w:type="dxa"/>
          <w:trHeight w:val="440"/>
          <w:jc w:val="center"/>
        </w:trPr>
        <w:tc>
          <w:tcPr>
            <w:tcW w:w="4323" w:type="dxa"/>
            <w:gridSpan w:val="4"/>
            <w:shd w:val="clear" w:color="auto" w:fill="auto"/>
            <w:vAlign w:val="center"/>
          </w:tcPr>
          <w:p w14:paraId="658EEDAE" w14:textId="77777777" w:rsidR="007E31E3" w:rsidRPr="00524435" w:rsidRDefault="007E31E3" w:rsidP="00820229">
            <w:pPr>
              <w:ind w:firstLine="720"/>
              <w:jc w:val="center"/>
              <w:rPr>
                <w:rFonts w:ascii="Cambria" w:eastAsia="MS Mincho" w:hAnsi="Cambria" w:cs="Arial"/>
                <w:b/>
                <w:sz w:val="18"/>
                <w:szCs w:val="18"/>
                <w:lang w:eastAsia="es-ES_tradnl"/>
              </w:rPr>
            </w:pPr>
            <w:r w:rsidRPr="00524435">
              <w:rPr>
                <w:rFonts w:ascii="Cambria" w:eastAsia="MS Mincho" w:hAnsi="Cambria" w:cs="Arial"/>
                <w:b/>
                <w:sz w:val="18"/>
                <w:szCs w:val="18"/>
                <w:lang w:eastAsia="es-ES_tradnl"/>
              </w:rPr>
              <w:t>Total number of measures where partial substantial compliance was achieved</w:t>
            </w:r>
          </w:p>
        </w:tc>
        <w:tc>
          <w:tcPr>
            <w:tcW w:w="5453" w:type="dxa"/>
            <w:gridSpan w:val="2"/>
            <w:shd w:val="clear" w:color="auto" w:fill="auto"/>
            <w:vAlign w:val="center"/>
          </w:tcPr>
          <w:p w14:paraId="37410D65" w14:textId="77777777" w:rsidR="007E31E3" w:rsidRPr="00524435" w:rsidRDefault="007E31E3" w:rsidP="00820229">
            <w:pPr>
              <w:ind w:firstLine="720"/>
              <w:jc w:val="center"/>
              <w:rPr>
                <w:rFonts w:ascii="Cambria" w:eastAsia="MS Mincho" w:hAnsi="Cambria" w:cs="Arial"/>
                <w:b/>
                <w:sz w:val="18"/>
                <w:szCs w:val="18"/>
                <w:lang w:eastAsia="es-ES_tradnl"/>
              </w:rPr>
            </w:pPr>
            <w:r w:rsidRPr="00524435">
              <w:rPr>
                <w:rFonts w:ascii="Cambria" w:eastAsia="MS Mincho" w:hAnsi="Cambria" w:cs="Arial"/>
                <w:b/>
                <w:sz w:val="18"/>
                <w:szCs w:val="18"/>
                <w:lang w:eastAsia="es-ES_tradnl"/>
              </w:rPr>
              <w:t>12</w:t>
            </w:r>
          </w:p>
        </w:tc>
      </w:tr>
      <w:tr w:rsidR="007E31E3" w:rsidRPr="00524435" w14:paraId="6F8BEC78" w14:textId="77777777" w:rsidTr="00820229">
        <w:tblPrEx>
          <w:jc w:val="center"/>
          <w:tblCellMar>
            <w:left w:w="108" w:type="dxa"/>
            <w:right w:w="108" w:type="dxa"/>
          </w:tblCellMar>
          <w:tblLook w:val="0020" w:firstRow="1" w:lastRow="0" w:firstColumn="0" w:lastColumn="0" w:noHBand="0" w:noVBand="0"/>
        </w:tblPrEx>
        <w:trPr>
          <w:gridAfter w:val="1"/>
          <w:wAfter w:w="29" w:type="dxa"/>
          <w:trHeight w:val="233"/>
          <w:jc w:val="center"/>
        </w:trPr>
        <w:tc>
          <w:tcPr>
            <w:tcW w:w="4323" w:type="dxa"/>
            <w:gridSpan w:val="4"/>
            <w:shd w:val="clear" w:color="auto" w:fill="auto"/>
            <w:vAlign w:val="center"/>
          </w:tcPr>
          <w:p w14:paraId="35016F5E" w14:textId="77777777" w:rsidR="007E31E3" w:rsidRPr="00524435" w:rsidRDefault="007E31E3" w:rsidP="00820229">
            <w:pPr>
              <w:ind w:firstLine="720"/>
              <w:jc w:val="center"/>
              <w:rPr>
                <w:rFonts w:ascii="Cambria" w:eastAsia="MS Mincho" w:hAnsi="Cambria" w:cs="Arial"/>
                <w:b/>
                <w:sz w:val="18"/>
                <w:szCs w:val="18"/>
                <w:lang w:eastAsia="es-ES_tradnl"/>
              </w:rPr>
            </w:pPr>
            <w:r w:rsidRPr="00524435">
              <w:rPr>
                <w:rFonts w:ascii="Cambria" w:eastAsia="MS Mincho" w:hAnsi="Cambria" w:cs="Arial"/>
                <w:b/>
                <w:sz w:val="18"/>
                <w:szCs w:val="18"/>
                <w:lang w:eastAsia="es-ES_tradnl"/>
              </w:rPr>
              <w:t>Total number of measures where partial compliance was achieved</w:t>
            </w:r>
          </w:p>
        </w:tc>
        <w:tc>
          <w:tcPr>
            <w:tcW w:w="5453" w:type="dxa"/>
            <w:gridSpan w:val="2"/>
            <w:shd w:val="clear" w:color="auto" w:fill="auto"/>
            <w:vAlign w:val="center"/>
          </w:tcPr>
          <w:p w14:paraId="131A35BA" w14:textId="77777777" w:rsidR="007E31E3" w:rsidRPr="00524435" w:rsidRDefault="007E31E3" w:rsidP="00820229">
            <w:pPr>
              <w:ind w:firstLine="720"/>
              <w:jc w:val="center"/>
              <w:rPr>
                <w:rFonts w:ascii="Cambria" w:eastAsia="MS Mincho" w:hAnsi="Cambria" w:cs="Arial"/>
                <w:b/>
                <w:sz w:val="18"/>
                <w:szCs w:val="18"/>
                <w:lang w:eastAsia="es-ES_tradnl"/>
              </w:rPr>
            </w:pPr>
            <w:r w:rsidRPr="00524435">
              <w:rPr>
                <w:rFonts w:ascii="Cambria" w:eastAsia="MS Mincho" w:hAnsi="Cambria" w:cs="Arial"/>
                <w:b/>
                <w:sz w:val="18"/>
                <w:szCs w:val="18"/>
                <w:lang w:eastAsia="es-ES_tradnl"/>
              </w:rPr>
              <w:t>26</w:t>
            </w:r>
          </w:p>
        </w:tc>
      </w:tr>
      <w:tr w:rsidR="007E31E3" w:rsidRPr="00524435" w14:paraId="4AA3E1F0" w14:textId="77777777" w:rsidTr="00820229">
        <w:tblPrEx>
          <w:jc w:val="center"/>
          <w:tblCellMar>
            <w:left w:w="108" w:type="dxa"/>
            <w:right w:w="108" w:type="dxa"/>
          </w:tblCellMar>
          <w:tblLook w:val="0020" w:firstRow="1" w:lastRow="0" w:firstColumn="0" w:lastColumn="0" w:noHBand="0" w:noVBand="0"/>
        </w:tblPrEx>
        <w:trPr>
          <w:gridAfter w:val="1"/>
          <w:wAfter w:w="29" w:type="dxa"/>
          <w:trHeight w:val="260"/>
          <w:jc w:val="center"/>
        </w:trPr>
        <w:tc>
          <w:tcPr>
            <w:tcW w:w="4323" w:type="dxa"/>
            <w:gridSpan w:val="4"/>
            <w:shd w:val="clear" w:color="auto" w:fill="auto"/>
            <w:vAlign w:val="center"/>
          </w:tcPr>
          <w:p w14:paraId="65FBB7DE" w14:textId="77777777" w:rsidR="007E31E3" w:rsidRPr="00524435" w:rsidRDefault="007E31E3" w:rsidP="00820229">
            <w:pPr>
              <w:ind w:firstLine="720"/>
              <w:jc w:val="center"/>
              <w:rPr>
                <w:rFonts w:ascii="Cambria" w:eastAsia="MS Mincho" w:hAnsi="Cambria" w:cs="Arial"/>
                <w:b/>
                <w:sz w:val="18"/>
                <w:szCs w:val="18"/>
                <w:lang w:eastAsia="es-ES_tradnl"/>
              </w:rPr>
            </w:pPr>
            <w:r w:rsidRPr="00524435">
              <w:rPr>
                <w:rFonts w:ascii="Cambria" w:eastAsia="MS Mincho" w:hAnsi="Cambria" w:cs="Arial"/>
                <w:b/>
                <w:sz w:val="18"/>
                <w:szCs w:val="18"/>
                <w:lang w:eastAsia="es-ES_tradnl"/>
              </w:rPr>
              <w:t>Total number of structural measures where progress was achieved</w:t>
            </w:r>
          </w:p>
        </w:tc>
        <w:tc>
          <w:tcPr>
            <w:tcW w:w="5453" w:type="dxa"/>
            <w:gridSpan w:val="2"/>
            <w:shd w:val="clear" w:color="auto" w:fill="auto"/>
            <w:vAlign w:val="center"/>
          </w:tcPr>
          <w:p w14:paraId="04C9BEA8" w14:textId="77777777" w:rsidR="007E31E3" w:rsidRPr="00524435" w:rsidRDefault="007E31E3" w:rsidP="00820229">
            <w:pPr>
              <w:ind w:firstLine="720"/>
              <w:jc w:val="center"/>
              <w:rPr>
                <w:rFonts w:ascii="Cambria" w:eastAsia="MS Mincho" w:hAnsi="Cambria" w:cs="Arial"/>
                <w:b/>
                <w:sz w:val="18"/>
                <w:szCs w:val="18"/>
                <w:lang w:eastAsia="es-ES_tradnl"/>
              </w:rPr>
            </w:pPr>
            <w:r w:rsidRPr="00524435">
              <w:rPr>
                <w:rFonts w:ascii="Cambria" w:eastAsia="MS Mincho" w:hAnsi="Cambria" w:cs="Arial"/>
                <w:b/>
                <w:sz w:val="18"/>
                <w:szCs w:val="18"/>
                <w:lang w:eastAsia="es-ES_tradnl"/>
              </w:rPr>
              <w:t>42</w:t>
            </w:r>
          </w:p>
        </w:tc>
      </w:tr>
      <w:tr w:rsidR="007E31E3" w:rsidRPr="00524435" w14:paraId="236D2FC6" w14:textId="77777777" w:rsidTr="00820229">
        <w:tblPrEx>
          <w:jc w:val="center"/>
          <w:tblCellMar>
            <w:left w:w="108" w:type="dxa"/>
            <w:right w:w="108" w:type="dxa"/>
          </w:tblCellMar>
          <w:tblLook w:val="0020" w:firstRow="1" w:lastRow="0" w:firstColumn="0" w:lastColumn="0" w:noHBand="0" w:noVBand="0"/>
        </w:tblPrEx>
        <w:trPr>
          <w:gridAfter w:val="1"/>
          <w:wAfter w:w="29" w:type="dxa"/>
          <w:trHeight w:val="260"/>
          <w:jc w:val="center"/>
        </w:trPr>
        <w:tc>
          <w:tcPr>
            <w:tcW w:w="4323" w:type="dxa"/>
            <w:gridSpan w:val="4"/>
            <w:shd w:val="clear" w:color="auto" w:fill="auto"/>
            <w:vAlign w:val="center"/>
          </w:tcPr>
          <w:p w14:paraId="0C1F82CA" w14:textId="77777777" w:rsidR="007E31E3" w:rsidRPr="00524435" w:rsidRDefault="007E31E3" w:rsidP="00820229">
            <w:pPr>
              <w:ind w:firstLine="720"/>
              <w:jc w:val="center"/>
              <w:rPr>
                <w:rFonts w:ascii="Cambria" w:eastAsia="MS Mincho" w:hAnsi="Cambria" w:cs="Arial"/>
                <w:b/>
                <w:sz w:val="18"/>
                <w:szCs w:val="18"/>
                <w:lang w:eastAsia="es-ES_tradnl"/>
              </w:rPr>
            </w:pPr>
            <w:r w:rsidRPr="00524435">
              <w:rPr>
                <w:rFonts w:ascii="Cambria" w:eastAsia="MS Mincho" w:hAnsi="Cambria" w:cs="Arial"/>
                <w:b/>
                <w:sz w:val="18"/>
                <w:szCs w:val="18"/>
                <w:lang w:eastAsia="es-ES_tradnl"/>
              </w:rPr>
              <w:t>Total number of individual measures where progress was achieved</w:t>
            </w:r>
          </w:p>
        </w:tc>
        <w:tc>
          <w:tcPr>
            <w:tcW w:w="5453" w:type="dxa"/>
            <w:gridSpan w:val="2"/>
            <w:shd w:val="clear" w:color="auto" w:fill="auto"/>
            <w:vAlign w:val="center"/>
          </w:tcPr>
          <w:p w14:paraId="2FE9479D" w14:textId="77777777" w:rsidR="007E31E3" w:rsidRPr="00524435" w:rsidRDefault="007E31E3" w:rsidP="00820229">
            <w:pPr>
              <w:ind w:firstLine="720"/>
              <w:jc w:val="center"/>
              <w:rPr>
                <w:rFonts w:ascii="Cambria" w:eastAsia="MS Mincho" w:hAnsi="Cambria" w:cs="Arial"/>
                <w:b/>
                <w:sz w:val="18"/>
                <w:szCs w:val="18"/>
                <w:lang w:eastAsia="es-ES_tradnl"/>
              </w:rPr>
            </w:pPr>
            <w:r w:rsidRPr="00524435">
              <w:rPr>
                <w:rFonts w:ascii="Cambria" w:eastAsia="MS Mincho" w:hAnsi="Cambria" w:cs="Arial"/>
                <w:b/>
                <w:sz w:val="18"/>
                <w:szCs w:val="18"/>
                <w:lang w:eastAsia="es-ES_tradnl"/>
              </w:rPr>
              <w:t>90</w:t>
            </w:r>
          </w:p>
        </w:tc>
      </w:tr>
    </w:tbl>
    <w:p w14:paraId="425DE210" w14:textId="77777777" w:rsidR="007E31E3" w:rsidRPr="00524435" w:rsidRDefault="007E31E3" w:rsidP="005860F4">
      <w:pPr>
        <w:ind w:firstLine="720"/>
        <w:rPr>
          <w:rFonts w:ascii="Cambria" w:hAnsi="Cambria"/>
          <w:sz w:val="18"/>
          <w:szCs w:val="18"/>
        </w:rPr>
      </w:pPr>
    </w:p>
    <w:p w14:paraId="26B66185" w14:textId="77777777" w:rsidR="007E31E3" w:rsidRPr="00524435" w:rsidRDefault="007E31E3" w:rsidP="007E31E3">
      <w:pPr>
        <w:pStyle w:val="ListParagraph"/>
        <w:rPr>
          <w:rFonts w:cs="Calibri Light"/>
        </w:rPr>
      </w:pPr>
      <w:r w:rsidRPr="00524435">
        <w:rPr>
          <w:rFonts w:cs="Calibri Light"/>
        </w:rPr>
        <w:t xml:space="preserve">The Commission values the efforts of the states of Argentina, Brazil, Colombia, Ecuador, Guatemala, Honduras, Mexico, Paraguay, and Peru, and welcomes </w:t>
      </w:r>
      <w:r w:rsidRPr="00524435">
        <w:t xml:space="preserve">the progress they have made with implementing the clauses in the friendly settlement agreements that contain commitments to victims and their next of kin and on their compliance with the settlement agreements approved by the Inter-American Commission on Human Rights. The Commission reiterates that said compliance is vital for legitimization of the friendly settlement mechanism and for forging trust in the agreements and in the good faith of States wishing to comply with their international commitments. At the same time, the Commission wishes to take this opportunity to urge all States using the friendly settlement mechanism to complete compliance with measures currently being implemented, so that the IACHR can certify total compliance with the friendly settlement agreements and stop monitoring them. </w:t>
      </w:r>
    </w:p>
    <w:p w14:paraId="53629077" w14:textId="77777777" w:rsidR="007E31E3" w:rsidRPr="00524435" w:rsidRDefault="007E31E3" w:rsidP="005860F4">
      <w:pPr>
        <w:pStyle w:val="Heading4"/>
        <w:rPr>
          <w:szCs w:val="20"/>
        </w:rPr>
      </w:pPr>
      <w:r w:rsidRPr="00524435">
        <w:t xml:space="preserve">Charts on progress with friendly settlement agreements </w:t>
      </w:r>
    </w:p>
    <w:p w14:paraId="2FA00A30" w14:textId="60200081" w:rsidR="007E31E3" w:rsidRPr="00524435" w:rsidRDefault="007E31E3" w:rsidP="007E31E3">
      <w:pPr>
        <w:pStyle w:val="ListParagraph"/>
        <w:rPr>
          <w:rFonts w:cs="Calibri Light"/>
        </w:rPr>
      </w:pPr>
      <w:bookmarkStart w:id="1" w:name="_Hlk99534914"/>
      <w:r w:rsidRPr="00524435">
        <w:t xml:space="preserve">Based on the above, following is a graphic description of progress observed with the implementation of friendly settlement agreements in 2021: </w:t>
      </w:r>
    </w:p>
    <w:p w14:paraId="46C04C99" w14:textId="77777777" w:rsidR="00F0077A" w:rsidRPr="00524435" w:rsidRDefault="00F0077A" w:rsidP="00FE76BD">
      <w:pPr>
        <w:pStyle w:val="ListParagraph"/>
        <w:numPr>
          <w:ilvl w:val="0"/>
          <w:numId w:val="0"/>
        </w:numPr>
        <w:spacing w:after="0"/>
        <w:ind w:left="720"/>
        <w:rPr>
          <w:rFonts w:cs="Calibri Light"/>
        </w:rPr>
      </w:pPr>
    </w:p>
    <w:p w14:paraId="139D70E9" w14:textId="6E511327" w:rsidR="007E31E3" w:rsidRPr="00524435" w:rsidRDefault="00B01E5F" w:rsidP="007E31E3">
      <w:pPr>
        <w:jc w:val="center"/>
        <w:rPr>
          <w:rFonts w:ascii="Cambria" w:hAnsi="Cambria"/>
        </w:rPr>
      </w:pPr>
      <w:r w:rsidRPr="00524435">
        <w:rPr>
          <w:rFonts w:ascii="Cambria" w:hAnsi="Cambria"/>
          <w:noProof/>
        </w:rPr>
        <w:lastRenderedPageBreak/>
        <w:drawing>
          <wp:inline distT="0" distB="0" distL="0" distR="0" wp14:anchorId="2C9FBB13" wp14:editId="46D29321">
            <wp:extent cx="4735845" cy="3508744"/>
            <wp:effectExtent l="0" t="0" r="7620" b="0"/>
            <wp:docPr id="3"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2856" cy="3513939"/>
                    </a:xfrm>
                    <a:prstGeom prst="rect">
                      <a:avLst/>
                    </a:prstGeom>
                    <a:noFill/>
                    <a:ln>
                      <a:noFill/>
                    </a:ln>
                  </pic:spPr>
                </pic:pic>
              </a:graphicData>
            </a:graphic>
          </wp:inline>
        </w:drawing>
      </w:r>
    </w:p>
    <w:bookmarkEnd w:id="1"/>
    <w:p w14:paraId="1A014DD3" w14:textId="77777777" w:rsidR="007E31E3" w:rsidRPr="00524435" w:rsidRDefault="007E31E3" w:rsidP="00D14D6E">
      <w:pPr>
        <w:spacing w:after="0" w:line="240" w:lineRule="auto"/>
        <w:rPr>
          <w:rFonts w:ascii="Cambria" w:hAnsi="Cambria"/>
        </w:rPr>
      </w:pPr>
    </w:p>
    <w:p w14:paraId="3F134D74" w14:textId="77777777" w:rsidR="007E31E3" w:rsidRPr="00524435" w:rsidRDefault="007E31E3" w:rsidP="007E31E3">
      <w:pPr>
        <w:jc w:val="center"/>
        <w:rPr>
          <w:rFonts w:ascii="Cambria" w:hAnsi="Cambria"/>
        </w:rPr>
      </w:pPr>
      <w:r w:rsidRPr="00524435">
        <w:rPr>
          <w:rFonts w:ascii="Cambria" w:hAnsi="Cambria"/>
          <w:noProof/>
        </w:rPr>
        <w:drawing>
          <wp:inline distT="0" distB="0" distL="0" distR="0" wp14:anchorId="4E2304F0" wp14:editId="308154FD">
            <wp:extent cx="4602480" cy="2714625"/>
            <wp:effectExtent l="0" t="0" r="7620" b="9525"/>
            <wp:docPr id="11" name="Chart 11">
              <a:extLst xmlns:a="http://schemas.openxmlformats.org/drawingml/2006/main">
                <a:ext uri="{FF2B5EF4-FFF2-40B4-BE49-F238E27FC236}">
                  <a16:creationId xmlns:a16="http://schemas.microsoft.com/office/drawing/2014/main" id="{5C59E709-4457-4681-A0F0-FC2021B72D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B03189" w14:textId="7C19E57A" w:rsidR="007E31E3" w:rsidRPr="00524435" w:rsidRDefault="007E31E3" w:rsidP="00D14D6E">
      <w:pPr>
        <w:spacing w:after="0" w:line="240" w:lineRule="auto"/>
        <w:rPr>
          <w:rFonts w:ascii="Cambria" w:hAnsi="Cambria"/>
        </w:rPr>
      </w:pPr>
    </w:p>
    <w:p w14:paraId="08858524" w14:textId="77777777" w:rsidR="00CF2CA7" w:rsidRPr="00524435" w:rsidRDefault="00CF2CA7" w:rsidP="00D14D6E">
      <w:pPr>
        <w:spacing w:after="0" w:line="240" w:lineRule="auto"/>
        <w:rPr>
          <w:rFonts w:ascii="Cambria" w:hAnsi="Cambria"/>
        </w:rPr>
      </w:pPr>
    </w:p>
    <w:p w14:paraId="3C690014" w14:textId="77777777" w:rsidR="007E31E3" w:rsidRPr="00524435" w:rsidRDefault="007E31E3" w:rsidP="007E31E3">
      <w:pPr>
        <w:jc w:val="center"/>
        <w:rPr>
          <w:rFonts w:ascii="Cambria" w:hAnsi="Cambria"/>
        </w:rPr>
      </w:pPr>
      <w:r w:rsidRPr="00524435">
        <w:rPr>
          <w:rFonts w:ascii="Cambria" w:hAnsi="Cambria"/>
          <w:noProof/>
        </w:rPr>
        <w:lastRenderedPageBreak/>
        <w:drawing>
          <wp:inline distT="0" distB="0" distL="0" distR="0" wp14:anchorId="6CA633AA" wp14:editId="3F190515">
            <wp:extent cx="4167963" cy="2466754"/>
            <wp:effectExtent l="0" t="0" r="4445" b="10160"/>
            <wp:docPr id="12" name="Chart 12">
              <a:extLst xmlns:a="http://schemas.openxmlformats.org/drawingml/2006/main">
                <a:ext uri="{FF2B5EF4-FFF2-40B4-BE49-F238E27FC236}">
                  <a16:creationId xmlns:a16="http://schemas.microsoft.com/office/drawing/2014/main" id="{7D53C2CD-6C3C-4FDF-96B0-8D38700B2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334D8A9" w14:textId="77777777" w:rsidR="007E31E3" w:rsidRPr="00524435" w:rsidRDefault="007E31E3" w:rsidP="00D14D6E">
      <w:pPr>
        <w:spacing w:after="0" w:line="240" w:lineRule="auto"/>
        <w:rPr>
          <w:rFonts w:ascii="Cambria" w:hAnsi="Cambria"/>
        </w:rPr>
      </w:pPr>
    </w:p>
    <w:p w14:paraId="6E8CEF06" w14:textId="77777777" w:rsidR="007E31E3" w:rsidRPr="00524435" w:rsidRDefault="007E31E3" w:rsidP="00CF2CA7">
      <w:pPr>
        <w:pStyle w:val="Heading4"/>
      </w:pPr>
      <w:r w:rsidRPr="00524435">
        <w:t>New friendly settlement agreements signed</w:t>
      </w:r>
    </w:p>
    <w:p w14:paraId="27728CDA" w14:textId="77777777" w:rsidR="007E31E3" w:rsidRPr="00524435" w:rsidRDefault="007E31E3" w:rsidP="007E31E3">
      <w:pPr>
        <w:pStyle w:val="ListParagraph"/>
        <w:rPr>
          <w:rStyle w:val="Nenhum"/>
          <w:rFonts w:cs="Calibri Light"/>
        </w:rPr>
      </w:pPr>
      <w:r w:rsidRPr="00524435">
        <w:rPr>
          <w:rStyle w:val="Nenhum"/>
          <w:rFonts w:cs="Calibri Light"/>
        </w:rPr>
        <w:t xml:space="preserve">In 2021, </w:t>
      </w:r>
      <w:r w:rsidRPr="00524435">
        <w:t>a</w:t>
      </w:r>
      <w:r w:rsidRPr="00524435">
        <w:rPr>
          <w:rStyle w:val="Nenhum"/>
          <w:rFonts w:cs="Calibri Light"/>
        </w:rPr>
        <w:t xml:space="preserve"> total of </w:t>
      </w:r>
      <w:r w:rsidRPr="00524435">
        <w:rPr>
          <w:rStyle w:val="Nenhum"/>
          <w:rFonts w:cs="Calibri Light"/>
          <w:b/>
          <w:bCs/>
        </w:rPr>
        <w:t>21</w:t>
      </w:r>
      <w:r w:rsidRPr="00524435">
        <w:rPr>
          <w:rStyle w:val="Nenhum"/>
          <w:rFonts w:cs="Calibri Light"/>
        </w:rPr>
        <w:t xml:space="preserve"> new friendly settlement agreements were signed. They are listed next, in chronological order by the date they </w:t>
      </w:r>
      <w:r w:rsidRPr="00524435">
        <w:t>were</w:t>
      </w:r>
      <w:r w:rsidRPr="00524435">
        <w:rPr>
          <w:rStyle w:val="Nenhum"/>
          <w:rFonts w:cs="Calibri Light"/>
        </w:rPr>
        <w:t xml:space="preserve"> signed: </w:t>
      </w:r>
    </w:p>
    <w:tbl>
      <w:tblPr>
        <w:tblW w:w="9943" w:type="dxa"/>
        <w:jc w:val="center"/>
        <w:tblLayout w:type="fixed"/>
        <w:tblLook w:val="04A0" w:firstRow="1" w:lastRow="0" w:firstColumn="1" w:lastColumn="0" w:noHBand="0" w:noVBand="1"/>
      </w:tblPr>
      <w:tblGrid>
        <w:gridCol w:w="990"/>
        <w:gridCol w:w="1462"/>
        <w:gridCol w:w="4419"/>
        <w:gridCol w:w="1044"/>
        <w:gridCol w:w="1787"/>
        <w:gridCol w:w="241"/>
      </w:tblGrid>
      <w:tr w:rsidR="007E31E3" w:rsidRPr="00524435" w14:paraId="2E714E84" w14:textId="77777777" w:rsidTr="00820229">
        <w:trPr>
          <w:gridAfter w:val="1"/>
          <w:wAfter w:w="241" w:type="dxa"/>
          <w:trHeight w:val="413"/>
          <w:jc w:val="center"/>
        </w:trPr>
        <w:tc>
          <w:tcPr>
            <w:tcW w:w="990" w:type="dxa"/>
            <w:vMerge w:val="restart"/>
            <w:tcBorders>
              <w:top w:val="single" w:sz="4" w:space="0" w:color="auto"/>
              <w:left w:val="single" w:sz="4" w:space="0" w:color="auto"/>
              <w:right w:val="single" w:sz="4" w:space="0" w:color="auto"/>
            </w:tcBorders>
            <w:shd w:val="clear" w:color="auto" w:fill="002060"/>
          </w:tcPr>
          <w:p w14:paraId="39D55120" w14:textId="77777777" w:rsidR="007E31E3" w:rsidRPr="00524435" w:rsidRDefault="007E31E3" w:rsidP="00820229">
            <w:pPr>
              <w:jc w:val="center"/>
              <w:rPr>
                <w:rFonts w:ascii="Cambria" w:eastAsia="Times New Roman" w:hAnsi="Cambria" w:cs="Calibri"/>
                <w:b/>
                <w:bCs/>
                <w:color w:val="FFFFFF"/>
                <w:sz w:val="20"/>
                <w:szCs w:val="20"/>
              </w:rPr>
            </w:pPr>
          </w:p>
          <w:p w14:paraId="479603C7" w14:textId="77777777" w:rsidR="007E31E3" w:rsidRPr="00524435" w:rsidRDefault="007E31E3" w:rsidP="00820229">
            <w:pPr>
              <w:jc w:val="center"/>
              <w:rPr>
                <w:rFonts w:ascii="Cambria" w:eastAsia="Times New Roman" w:hAnsi="Cambria" w:cs="Calibri"/>
                <w:b/>
                <w:bCs/>
                <w:color w:val="FFFFFF"/>
                <w:sz w:val="20"/>
                <w:szCs w:val="20"/>
              </w:rPr>
            </w:pPr>
            <w:r w:rsidRPr="00524435">
              <w:rPr>
                <w:rFonts w:ascii="Cambria" w:eastAsia="Times New Roman" w:hAnsi="Cambria" w:cs="Calibri"/>
                <w:b/>
                <w:bCs/>
                <w:color w:val="FFFFFF"/>
                <w:sz w:val="20"/>
                <w:szCs w:val="20"/>
              </w:rPr>
              <w:t>No.</w:t>
            </w:r>
          </w:p>
        </w:tc>
        <w:tc>
          <w:tcPr>
            <w:tcW w:w="1462" w:type="dxa"/>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611BCA40" w14:textId="77777777" w:rsidR="007E31E3" w:rsidRPr="00524435" w:rsidRDefault="007E31E3" w:rsidP="00820229">
            <w:pPr>
              <w:jc w:val="center"/>
              <w:rPr>
                <w:rFonts w:ascii="Cambria" w:eastAsia="Times New Roman" w:hAnsi="Cambria" w:cs="Calibri"/>
                <w:b/>
                <w:bCs/>
                <w:color w:val="FFFFFF"/>
                <w:sz w:val="20"/>
                <w:szCs w:val="20"/>
              </w:rPr>
            </w:pPr>
            <w:r w:rsidRPr="00524435">
              <w:rPr>
                <w:rFonts w:ascii="Cambria" w:eastAsia="Times New Roman" w:hAnsi="Cambria" w:cs="Calibri"/>
                <w:b/>
                <w:bCs/>
                <w:color w:val="FFFFFF"/>
                <w:sz w:val="20"/>
                <w:szCs w:val="20"/>
              </w:rPr>
              <w:t>Case or Petition Number</w:t>
            </w:r>
          </w:p>
        </w:tc>
        <w:tc>
          <w:tcPr>
            <w:tcW w:w="4419" w:type="dxa"/>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022AD4BE" w14:textId="77777777" w:rsidR="007E31E3" w:rsidRPr="00524435" w:rsidRDefault="007E31E3" w:rsidP="00820229">
            <w:pPr>
              <w:jc w:val="center"/>
              <w:rPr>
                <w:rFonts w:ascii="Cambria" w:eastAsia="Times New Roman" w:hAnsi="Cambria" w:cs="Calibri"/>
                <w:b/>
                <w:bCs/>
                <w:color w:val="FFFFFF"/>
                <w:sz w:val="20"/>
                <w:szCs w:val="20"/>
              </w:rPr>
            </w:pPr>
            <w:r w:rsidRPr="00524435">
              <w:rPr>
                <w:rFonts w:ascii="Cambria" w:eastAsia="Times New Roman" w:hAnsi="Cambria" w:cs="Calibri"/>
                <w:b/>
                <w:bCs/>
                <w:color w:val="FFFFFF"/>
                <w:sz w:val="20"/>
                <w:szCs w:val="20"/>
              </w:rPr>
              <w:t>Name</w:t>
            </w:r>
          </w:p>
        </w:tc>
        <w:tc>
          <w:tcPr>
            <w:tcW w:w="1044" w:type="dxa"/>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4030282F" w14:textId="77777777" w:rsidR="007E31E3" w:rsidRPr="00524435" w:rsidRDefault="007E31E3" w:rsidP="00820229">
            <w:pPr>
              <w:jc w:val="center"/>
              <w:rPr>
                <w:rFonts w:ascii="Cambria" w:eastAsia="Times New Roman" w:hAnsi="Cambria" w:cs="Calibri"/>
                <w:b/>
                <w:bCs/>
                <w:color w:val="FFFFFF"/>
                <w:sz w:val="20"/>
                <w:szCs w:val="20"/>
              </w:rPr>
            </w:pPr>
            <w:r w:rsidRPr="00524435">
              <w:rPr>
                <w:rFonts w:ascii="Cambria" w:eastAsia="Times New Roman" w:hAnsi="Cambria" w:cs="Calibri"/>
                <w:b/>
                <w:bCs/>
                <w:color w:val="FFFFFF"/>
                <w:sz w:val="20"/>
                <w:szCs w:val="20"/>
              </w:rPr>
              <w:t>Country</w:t>
            </w:r>
          </w:p>
        </w:tc>
        <w:tc>
          <w:tcPr>
            <w:tcW w:w="1787" w:type="dxa"/>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12825E88" w14:textId="77777777" w:rsidR="007E31E3" w:rsidRPr="00524435" w:rsidRDefault="007E31E3" w:rsidP="00820229">
            <w:pPr>
              <w:jc w:val="center"/>
              <w:rPr>
                <w:rFonts w:ascii="Cambria" w:eastAsia="Times New Roman" w:hAnsi="Cambria" w:cs="Calibri"/>
                <w:b/>
                <w:bCs/>
                <w:color w:val="FFFFFF"/>
                <w:sz w:val="20"/>
                <w:szCs w:val="20"/>
              </w:rPr>
            </w:pPr>
            <w:r w:rsidRPr="00524435">
              <w:rPr>
                <w:rFonts w:ascii="Cambria" w:eastAsia="Times New Roman" w:hAnsi="Cambria" w:cs="Calibri"/>
                <w:b/>
                <w:bCs/>
                <w:color w:val="FFFFFF"/>
                <w:sz w:val="20"/>
                <w:szCs w:val="20"/>
              </w:rPr>
              <w:t>Date of signature</w:t>
            </w:r>
          </w:p>
        </w:tc>
      </w:tr>
      <w:tr w:rsidR="007E31E3" w:rsidRPr="00524435" w14:paraId="0F70B9CD" w14:textId="77777777" w:rsidTr="00820229">
        <w:trPr>
          <w:trHeight w:val="555"/>
          <w:jc w:val="center"/>
        </w:trPr>
        <w:tc>
          <w:tcPr>
            <w:tcW w:w="990" w:type="dxa"/>
            <w:vMerge/>
            <w:tcBorders>
              <w:left w:val="single" w:sz="4" w:space="0" w:color="auto"/>
              <w:bottom w:val="single" w:sz="4" w:space="0" w:color="000000"/>
              <w:right w:val="single" w:sz="4" w:space="0" w:color="auto"/>
            </w:tcBorders>
            <w:shd w:val="clear" w:color="auto" w:fill="002060"/>
          </w:tcPr>
          <w:p w14:paraId="4BDDDFE4" w14:textId="77777777" w:rsidR="007E31E3" w:rsidRPr="00524435" w:rsidRDefault="007E31E3" w:rsidP="00820229">
            <w:pPr>
              <w:rPr>
                <w:rFonts w:ascii="Cambria" w:eastAsia="Times New Roman" w:hAnsi="Cambria" w:cs="Calibri"/>
                <w:b/>
                <w:bCs/>
                <w:color w:val="000000"/>
                <w:sz w:val="20"/>
                <w:szCs w:val="20"/>
              </w:rPr>
            </w:pPr>
          </w:p>
        </w:tc>
        <w:tc>
          <w:tcPr>
            <w:tcW w:w="1462" w:type="dxa"/>
            <w:vMerge/>
            <w:tcBorders>
              <w:top w:val="single" w:sz="4" w:space="0" w:color="auto"/>
              <w:left w:val="single" w:sz="4" w:space="0" w:color="auto"/>
              <w:bottom w:val="single" w:sz="4" w:space="0" w:color="000000"/>
              <w:right w:val="single" w:sz="4" w:space="0" w:color="auto"/>
            </w:tcBorders>
            <w:shd w:val="clear" w:color="auto" w:fill="002060"/>
            <w:vAlign w:val="center"/>
            <w:hideMark/>
          </w:tcPr>
          <w:p w14:paraId="19E301AD" w14:textId="77777777" w:rsidR="007E31E3" w:rsidRPr="00524435" w:rsidRDefault="007E31E3" w:rsidP="00820229">
            <w:pPr>
              <w:rPr>
                <w:rFonts w:ascii="Cambria" w:eastAsia="Times New Roman" w:hAnsi="Cambria" w:cs="Calibri"/>
                <w:b/>
                <w:bCs/>
                <w:color w:val="000000"/>
                <w:sz w:val="20"/>
                <w:szCs w:val="20"/>
              </w:rPr>
            </w:pPr>
          </w:p>
        </w:tc>
        <w:tc>
          <w:tcPr>
            <w:tcW w:w="4419" w:type="dxa"/>
            <w:vMerge/>
            <w:tcBorders>
              <w:top w:val="single" w:sz="4" w:space="0" w:color="auto"/>
              <w:left w:val="single" w:sz="4" w:space="0" w:color="auto"/>
              <w:bottom w:val="single" w:sz="4" w:space="0" w:color="000000"/>
              <w:right w:val="single" w:sz="4" w:space="0" w:color="auto"/>
            </w:tcBorders>
            <w:shd w:val="clear" w:color="auto" w:fill="002060"/>
            <w:vAlign w:val="center"/>
            <w:hideMark/>
          </w:tcPr>
          <w:p w14:paraId="34C40724" w14:textId="77777777" w:rsidR="007E31E3" w:rsidRPr="00524435" w:rsidRDefault="007E31E3" w:rsidP="00820229">
            <w:pPr>
              <w:rPr>
                <w:rFonts w:ascii="Cambria" w:eastAsia="Times New Roman" w:hAnsi="Cambria" w:cs="Calibri"/>
                <w:b/>
                <w:bCs/>
                <w:color w:val="000000"/>
                <w:sz w:val="20"/>
                <w:szCs w:val="20"/>
              </w:rPr>
            </w:pPr>
          </w:p>
        </w:tc>
        <w:tc>
          <w:tcPr>
            <w:tcW w:w="1044" w:type="dxa"/>
            <w:vMerge/>
            <w:tcBorders>
              <w:top w:val="single" w:sz="4" w:space="0" w:color="auto"/>
              <w:left w:val="single" w:sz="4" w:space="0" w:color="auto"/>
              <w:bottom w:val="single" w:sz="4" w:space="0" w:color="000000"/>
              <w:right w:val="single" w:sz="4" w:space="0" w:color="auto"/>
            </w:tcBorders>
            <w:shd w:val="clear" w:color="auto" w:fill="002060"/>
            <w:vAlign w:val="center"/>
            <w:hideMark/>
          </w:tcPr>
          <w:p w14:paraId="5F52B9E2" w14:textId="77777777" w:rsidR="007E31E3" w:rsidRPr="00524435" w:rsidRDefault="007E31E3" w:rsidP="00820229">
            <w:pPr>
              <w:rPr>
                <w:rFonts w:ascii="Cambria" w:eastAsia="Times New Roman" w:hAnsi="Cambria" w:cs="Calibri"/>
                <w:b/>
                <w:bCs/>
                <w:color w:val="000000"/>
                <w:sz w:val="20"/>
                <w:szCs w:val="20"/>
              </w:rPr>
            </w:pPr>
          </w:p>
        </w:tc>
        <w:tc>
          <w:tcPr>
            <w:tcW w:w="1787" w:type="dxa"/>
            <w:vMerge/>
            <w:tcBorders>
              <w:top w:val="single" w:sz="4" w:space="0" w:color="auto"/>
              <w:left w:val="single" w:sz="4" w:space="0" w:color="auto"/>
              <w:bottom w:val="single" w:sz="4" w:space="0" w:color="000000"/>
              <w:right w:val="single" w:sz="4" w:space="0" w:color="auto"/>
            </w:tcBorders>
            <w:shd w:val="clear" w:color="auto" w:fill="002060"/>
            <w:vAlign w:val="center"/>
            <w:hideMark/>
          </w:tcPr>
          <w:p w14:paraId="03B1E9B9" w14:textId="77777777" w:rsidR="007E31E3" w:rsidRPr="00524435" w:rsidRDefault="007E31E3" w:rsidP="00820229">
            <w:pPr>
              <w:rPr>
                <w:rFonts w:ascii="Cambria" w:eastAsia="Times New Roman" w:hAnsi="Cambria" w:cs="Calibri"/>
                <w:b/>
                <w:bCs/>
                <w:color w:val="000000"/>
                <w:sz w:val="20"/>
                <w:szCs w:val="20"/>
              </w:rPr>
            </w:pPr>
          </w:p>
        </w:tc>
        <w:tc>
          <w:tcPr>
            <w:tcW w:w="241" w:type="dxa"/>
            <w:tcBorders>
              <w:top w:val="nil"/>
              <w:left w:val="nil"/>
              <w:bottom w:val="nil"/>
              <w:right w:val="nil"/>
            </w:tcBorders>
            <w:shd w:val="clear" w:color="auto" w:fill="auto"/>
            <w:noWrap/>
            <w:vAlign w:val="bottom"/>
            <w:hideMark/>
          </w:tcPr>
          <w:p w14:paraId="5B6010C8" w14:textId="77777777" w:rsidR="007E31E3" w:rsidRPr="00524435" w:rsidRDefault="007E31E3" w:rsidP="00820229">
            <w:pPr>
              <w:jc w:val="center"/>
              <w:rPr>
                <w:rFonts w:ascii="Cambria" w:eastAsia="Times New Roman" w:hAnsi="Cambria" w:cs="Calibri"/>
                <w:b/>
                <w:bCs/>
                <w:color w:val="000000"/>
                <w:sz w:val="20"/>
                <w:szCs w:val="20"/>
              </w:rPr>
            </w:pPr>
          </w:p>
        </w:tc>
      </w:tr>
      <w:tr w:rsidR="007E31E3" w:rsidRPr="00524435" w14:paraId="26DDC5E9" w14:textId="77777777" w:rsidTr="00820229">
        <w:trPr>
          <w:trHeight w:val="300"/>
          <w:jc w:val="center"/>
        </w:trPr>
        <w:tc>
          <w:tcPr>
            <w:tcW w:w="990" w:type="dxa"/>
            <w:tcBorders>
              <w:top w:val="nil"/>
              <w:left w:val="single" w:sz="4" w:space="0" w:color="auto"/>
              <w:bottom w:val="single" w:sz="4" w:space="0" w:color="auto"/>
              <w:right w:val="single" w:sz="4" w:space="0" w:color="auto"/>
            </w:tcBorders>
          </w:tcPr>
          <w:p w14:paraId="7294AB96" w14:textId="77777777" w:rsidR="007E31E3" w:rsidRPr="00524435" w:rsidRDefault="007E31E3" w:rsidP="0009324C">
            <w:pPr>
              <w:numPr>
                <w:ilvl w:val="0"/>
                <w:numId w:val="21"/>
              </w:numPr>
              <w:tabs>
                <w:tab w:val="left" w:pos="360"/>
              </w:tabs>
              <w:spacing w:after="0" w:line="240" w:lineRule="auto"/>
              <w:rPr>
                <w:rFonts w:ascii="Cambria" w:eastAsia="Times New Roman" w:hAnsi="Cambria" w:cs="Calibri"/>
                <w:color w:val="000000"/>
                <w:sz w:val="20"/>
                <w:szCs w:val="20"/>
              </w:rPr>
            </w:pPr>
          </w:p>
        </w:tc>
        <w:tc>
          <w:tcPr>
            <w:tcW w:w="1462" w:type="dxa"/>
            <w:tcBorders>
              <w:top w:val="nil"/>
              <w:left w:val="single" w:sz="4" w:space="0" w:color="auto"/>
              <w:bottom w:val="single" w:sz="4" w:space="0" w:color="auto"/>
              <w:right w:val="single" w:sz="4" w:space="0" w:color="auto"/>
            </w:tcBorders>
            <w:shd w:val="clear" w:color="auto" w:fill="auto"/>
            <w:noWrap/>
            <w:vAlign w:val="center"/>
            <w:hideMark/>
          </w:tcPr>
          <w:p w14:paraId="4C878996"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13.571</w:t>
            </w:r>
          </w:p>
        </w:tc>
        <w:tc>
          <w:tcPr>
            <w:tcW w:w="4419" w:type="dxa"/>
            <w:tcBorders>
              <w:top w:val="nil"/>
              <w:left w:val="nil"/>
              <w:bottom w:val="single" w:sz="4" w:space="0" w:color="auto"/>
              <w:right w:val="single" w:sz="4" w:space="0" w:color="auto"/>
            </w:tcBorders>
            <w:shd w:val="clear" w:color="auto" w:fill="auto"/>
            <w:noWrap/>
            <w:vAlign w:val="center"/>
            <w:hideMark/>
          </w:tcPr>
          <w:p w14:paraId="06B60F25"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Carlos Mario Muñoz Gómez</w:t>
            </w:r>
          </w:p>
        </w:tc>
        <w:tc>
          <w:tcPr>
            <w:tcW w:w="1044" w:type="dxa"/>
            <w:tcBorders>
              <w:top w:val="nil"/>
              <w:left w:val="nil"/>
              <w:bottom w:val="single" w:sz="4" w:space="0" w:color="auto"/>
              <w:right w:val="single" w:sz="4" w:space="0" w:color="auto"/>
            </w:tcBorders>
            <w:shd w:val="clear" w:color="auto" w:fill="auto"/>
            <w:noWrap/>
            <w:vAlign w:val="center"/>
            <w:hideMark/>
          </w:tcPr>
          <w:p w14:paraId="116FB524"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CO</w:t>
            </w:r>
          </w:p>
        </w:tc>
        <w:tc>
          <w:tcPr>
            <w:tcW w:w="1787" w:type="dxa"/>
            <w:tcBorders>
              <w:top w:val="nil"/>
              <w:left w:val="nil"/>
              <w:bottom w:val="single" w:sz="4" w:space="0" w:color="auto"/>
              <w:right w:val="single" w:sz="4" w:space="0" w:color="auto"/>
            </w:tcBorders>
            <w:shd w:val="clear" w:color="auto" w:fill="auto"/>
            <w:noWrap/>
            <w:vAlign w:val="center"/>
            <w:hideMark/>
          </w:tcPr>
          <w:p w14:paraId="0584F07C"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2021.03.04</w:t>
            </w:r>
          </w:p>
        </w:tc>
        <w:tc>
          <w:tcPr>
            <w:tcW w:w="241" w:type="dxa"/>
            <w:vAlign w:val="center"/>
            <w:hideMark/>
          </w:tcPr>
          <w:p w14:paraId="580A86AF" w14:textId="77777777" w:rsidR="007E31E3" w:rsidRPr="00524435" w:rsidRDefault="007E31E3" w:rsidP="00820229">
            <w:pPr>
              <w:rPr>
                <w:rFonts w:ascii="Cambria" w:eastAsia="Times New Roman" w:hAnsi="Cambria"/>
                <w:sz w:val="20"/>
                <w:szCs w:val="20"/>
              </w:rPr>
            </w:pPr>
          </w:p>
        </w:tc>
      </w:tr>
      <w:tr w:rsidR="007E31E3" w:rsidRPr="00524435" w14:paraId="2DC69240" w14:textId="77777777" w:rsidTr="00820229">
        <w:trPr>
          <w:trHeight w:val="300"/>
          <w:jc w:val="center"/>
        </w:trPr>
        <w:tc>
          <w:tcPr>
            <w:tcW w:w="990" w:type="dxa"/>
            <w:tcBorders>
              <w:top w:val="nil"/>
              <w:left w:val="single" w:sz="4" w:space="0" w:color="auto"/>
              <w:bottom w:val="single" w:sz="4" w:space="0" w:color="auto"/>
              <w:right w:val="single" w:sz="4" w:space="0" w:color="auto"/>
            </w:tcBorders>
          </w:tcPr>
          <w:p w14:paraId="24FE496C" w14:textId="77777777" w:rsidR="007E31E3" w:rsidRPr="00524435" w:rsidRDefault="007E31E3" w:rsidP="0009324C">
            <w:pPr>
              <w:numPr>
                <w:ilvl w:val="0"/>
                <w:numId w:val="21"/>
              </w:numPr>
              <w:tabs>
                <w:tab w:val="left" w:pos="360"/>
              </w:tabs>
              <w:spacing w:after="0" w:line="240" w:lineRule="auto"/>
              <w:rPr>
                <w:rFonts w:ascii="Cambria" w:eastAsia="Times New Roman" w:hAnsi="Cambria" w:cs="Calibri"/>
                <w:color w:val="000000"/>
                <w:sz w:val="20"/>
                <w:szCs w:val="20"/>
              </w:rPr>
            </w:pPr>
          </w:p>
        </w:tc>
        <w:tc>
          <w:tcPr>
            <w:tcW w:w="1462" w:type="dxa"/>
            <w:tcBorders>
              <w:top w:val="nil"/>
              <w:left w:val="single" w:sz="4" w:space="0" w:color="auto"/>
              <w:bottom w:val="single" w:sz="4" w:space="0" w:color="auto"/>
              <w:right w:val="single" w:sz="4" w:space="0" w:color="auto"/>
            </w:tcBorders>
            <w:shd w:val="clear" w:color="auto" w:fill="auto"/>
            <w:noWrap/>
            <w:vAlign w:val="center"/>
          </w:tcPr>
          <w:p w14:paraId="4A537C8A"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12.289</w:t>
            </w:r>
          </w:p>
        </w:tc>
        <w:tc>
          <w:tcPr>
            <w:tcW w:w="4419" w:type="dxa"/>
            <w:tcBorders>
              <w:top w:val="nil"/>
              <w:left w:val="nil"/>
              <w:bottom w:val="single" w:sz="4" w:space="0" w:color="auto"/>
              <w:right w:val="single" w:sz="4" w:space="0" w:color="auto"/>
            </w:tcBorders>
            <w:shd w:val="clear" w:color="auto" w:fill="auto"/>
            <w:noWrap/>
            <w:vAlign w:val="center"/>
          </w:tcPr>
          <w:p w14:paraId="7FDD9ED5"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 xml:space="preserve">Guillermo Santiago </w:t>
            </w:r>
            <w:proofErr w:type="spellStart"/>
            <w:r w:rsidRPr="00524435">
              <w:rPr>
                <w:rFonts w:ascii="Cambria" w:eastAsia="Times New Roman" w:hAnsi="Cambria" w:cs="Calibri"/>
                <w:color w:val="000000"/>
                <w:sz w:val="20"/>
                <w:szCs w:val="20"/>
              </w:rPr>
              <w:t>Zaldívar</w:t>
            </w:r>
            <w:proofErr w:type="spellEnd"/>
          </w:p>
        </w:tc>
        <w:tc>
          <w:tcPr>
            <w:tcW w:w="1044" w:type="dxa"/>
            <w:tcBorders>
              <w:top w:val="nil"/>
              <w:left w:val="nil"/>
              <w:bottom w:val="single" w:sz="4" w:space="0" w:color="auto"/>
              <w:right w:val="single" w:sz="4" w:space="0" w:color="auto"/>
            </w:tcBorders>
            <w:shd w:val="clear" w:color="auto" w:fill="auto"/>
            <w:noWrap/>
            <w:vAlign w:val="center"/>
          </w:tcPr>
          <w:p w14:paraId="74235660"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AR</w:t>
            </w:r>
          </w:p>
        </w:tc>
        <w:tc>
          <w:tcPr>
            <w:tcW w:w="1787" w:type="dxa"/>
            <w:tcBorders>
              <w:top w:val="nil"/>
              <w:left w:val="nil"/>
              <w:bottom w:val="single" w:sz="4" w:space="0" w:color="auto"/>
              <w:right w:val="single" w:sz="4" w:space="0" w:color="auto"/>
            </w:tcBorders>
            <w:shd w:val="clear" w:color="auto" w:fill="auto"/>
            <w:noWrap/>
            <w:vAlign w:val="center"/>
          </w:tcPr>
          <w:p w14:paraId="0AB58A9A"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2021.03.18</w:t>
            </w:r>
          </w:p>
        </w:tc>
        <w:tc>
          <w:tcPr>
            <w:tcW w:w="241" w:type="dxa"/>
            <w:vAlign w:val="center"/>
          </w:tcPr>
          <w:p w14:paraId="7192F4CF" w14:textId="77777777" w:rsidR="007E31E3" w:rsidRPr="00524435" w:rsidRDefault="007E31E3" w:rsidP="00820229">
            <w:pPr>
              <w:rPr>
                <w:rFonts w:ascii="Cambria" w:eastAsia="Times New Roman" w:hAnsi="Cambria"/>
                <w:sz w:val="20"/>
                <w:szCs w:val="20"/>
              </w:rPr>
            </w:pPr>
          </w:p>
        </w:tc>
      </w:tr>
      <w:tr w:rsidR="007E31E3" w:rsidRPr="00524435" w14:paraId="784382CB" w14:textId="77777777" w:rsidTr="00820229">
        <w:trPr>
          <w:trHeight w:val="458"/>
          <w:jc w:val="center"/>
        </w:trPr>
        <w:tc>
          <w:tcPr>
            <w:tcW w:w="990" w:type="dxa"/>
            <w:tcBorders>
              <w:top w:val="nil"/>
              <w:left w:val="single" w:sz="4" w:space="0" w:color="auto"/>
              <w:bottom w:val="single" w:sz="4" w:space="0" w:color="auto"/>
              <w:right w:val="single" w:sz="4" w:space="0" w:color="auto"/>
            </w:tcBorders>
            <w:shd w:val="clear" w:color="000000" w:fill="FFFFFF"/>
          </w:tcPr>
          <w:p w14:paraId="35E56E34" w14:textId="77777777" w:rsidR="007E31E3" w:rsidRPr="00524435" w:rsidRDefault="007E31E3" w:rsidP="0009324C">
            <w:pPr>
              <w:numPr>
                <w:ilvl w:val="0"/>
                <w:numId w:val="21"/>
              </w:numPr>
              <w:tabs>
                <w:tab w:val="left" w:pos="360"/>
              </w:tabs>
              <w:spacing w:after="0" w:line="240" w:lineRule="auto"/>
              <w:rPr>
                <w:rFonts w:ascii="Cambria" w:eastAsia="Times New Roman" w:hAnsi="Cambria" w:cs="Calibri"/>
                <w:color w:val="000000"/>
                <w:sz w:val="20"/>
                <w:szCs w:val="20"/>
              </w:rPr>
            </w:pPr>
          </w:p>
        </w:tc>
        <w:tc>
          <w:tcPr>
            <w:tcW w:w="1462" w:type="dxa"/>
            <w:tcBorders>
              <w:top w:val="nil"/>
              <w:left w:val="single" w:sz="4" w:space="0" w:color="auto"/>
              <w:bottom w:val="single" w:sz="4" w:space="0" w:color="auto"/>
              <w:right w:val="single" w:sz="4" w:space="0" w:color="auto"/>
            </w:tcBorders>
            <w:shd w:val="clear" w:color="000000" w:fill="FFFFFF"/>
            <w:noWrap/>
            <w:vAlign w:val="center"/>
            <w:hideMark/>
          </w:tcPr>
          <w:p w14:paraId="3DC18946"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13.654</w:t>
            </w:r>
          </w:p>
        </w:tc>
        <w:tc>
          <w:tcPr>
            <w:tcW w:w="4419" w:type="dxa"/>
            <w:tcBorders>
              <w:top w:val="nil"/>
              <w:left w:val="nil"/>
              <w:bottom w:val="single" w:sz="4" w:space="0" w:color="auto"/>
              <w:right w:val="single" w:sz="4" w:space="0" w:color="auto"/>
            </w:tcBorders>
            <w:shd w:val="clear" w:color="000000" w:fill="FFFFFF"/>
            <w:vAlign w:val="center"/>
            <w:hideMark/>
          </w:tcPr>
          <w:p w14:paraId="44BC07BD"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 xml:space="preserve">Juan Simón </w:t>
            </w:r>
            <w:proofErr w:type="spellStart"/>
            <w:r w:rsidRPr="00524435">
              <w:rPr>
                <w:rFonts w:ascii="Cambria" w:eastAsia="Times New Roman" w:hAnsi="Cambria" w:cs="Calibri"/>
                <w:color w:val="000000"/>
                <w:sz w:val="20"/>
                <w:szCs w:val="20"/>
              </w:rPr>
              <w:t>Cantillo</w:t>
            </w:r>
            <w:proofErr w:type="spellEnd"/>
            <w:r w:rsidRPr="00524435">
              <w:rPr>
                <w:rFonts w:ascii="Cambria" w:eastAsia="Times New Roman" w:hAnsi="Cambria" w:cs="Calibri"/>
                <w:color w:val="000000"/>
                <w:sz w:val="20"/>
                <w:szCs w:val="20"/>
              </w:rPr>
              <w:t xml:space="preserve"> </w:t>
            </w:r>
            <w:proofErr w:type="spellStart"/>
            <w:r w:rsidRPr="00524435">
              <w:rPr>
                <w:rFonts w:ascii="Cambria" w:eastAsia="Times New Roman" w:hAnsi="Cambria" w:cs="Calibri"/>
                <w:color w:val="000000"/>
                <w:sz w:val="20"/>
                <w:szCs w:val="20"/>
              </w:rPr>
              <w:t>Raigoza</w:t>
            </w:r>
            <w:proofErr w:type="spellEnd"/>
            <w:r w:rsidRPr="00524435">
              <w:rPr>
                <w:rFonts w:ascii="Cambria" w:eastAsia="Times New Roman" w:hAnsi="Cambria" w:cs="Calibri"/>
                <w:color w:val="000000"/>
                <w:sz w:val="20"/>
                <w:szCs w:val="20"/>
              </w:rPr>
              <w:t xml:space="preserve">, Keyla </w:t>
            </w:r>
            <w:proofErr w:type="spellStart"/>
            <w:r w:rsidRPr="00524435">
              <w:rPr>
                <w:rFonts w:ascii="Cambria" w:eastAsia="Times New Roman" w:hAnsi="Cambria" w:cs="Calibri"/>
                <w:color w:val="000000"/>
                <w:sz w:val="20"/>
                <w:szCs w:val="20"/>
              </w:rPr>
              <w:t>Sandrith</w:t>
            </w:r>
            <w:proofErr w:type="spellEnd"/>
            <w:r w:rsidRPr="00524435">
              <w:rPr>
                <w:rFonts w:ascii="Cambria" w:eastAsia="Times New Roman" w:hAnsi="Cambria" w:cs="Calibri"/>
                <w:color w:val="000000"/>
                <w:sz w:val="20"/>
                <w:szCs w:val="20"/>
              </w:rPr>
              <w:t xml:space="preserve"> and Family</w:t>
            </w:r>
          </w:p>
        </w:tc>
        <w:tc>
          <w:tcPr>
            <w:tcW w:w="1044" w:type="dxa"/>
            <w:tcBorders>
              <w:top w:val="nil"/>
              <w:left w:val="nil"/>
              <w:bottom w:val="single" w:sz="4" w:space="0" w:color="auto"/>
              <w:right w:val="single" w:sz="4" w:space="0" w:color="auto"/>
            </w:tcBorders>
            <w:shd w:val="clear" w:color="000000" w:fill="FFFFFF"/>
            <w:noWrap/>
            <w:vAlign w:val="center"/>
            <w:hideMark/>
          </w:tcPr>
          <w:p w14:paraId="7C81B82C"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CO</w:t>
            </w:r>
          </w:p>
        </w:tc>
        <w:tc>
          <w:tcPr>
            <w:tcW w:w="1787" w:type="dxa"/>
            <w:tcBorders>
              <w:top w:val="nil"/>
              <w:left w:val="nil"/>
              <w:bottom w:val="single" w:sz="4" w:space="0" w:color="auto"/>
              <w:right w:val="single" w:sz="4" w:space="0" w:color="auto"/>
            </w:tcBorders>
            <w:shd w:val="clear" w:color="000000" w:fill="FFFFFF"/>
            <w:noWrap/>
            <w:vAlign w:val="center"/>
            <w:hideMark/>
          </w:tcPr>
          <w:p w14:paraId="17835A03"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2021.06.29</w:t>
            </w:r>
          </w:p>
        </w:tc>
        <w:tc>
          <w:tcPr>
            <w:tcW w:w="241" w:type="dxa"/>
            <w:vAlign w:val="center"/>
            <w:hideMark/>
          </w:tcPr>
          <w:p w14:paraId="2520D977" w14:textId="77777777" w:rsidR="007E31E3" w:rsidRPr="00524435" w:rsidRDefault="007E31E3" w:rsidP="00820229">
            <w:pPr>
              <w:rPr>
                <w:rFonts w:ascii="Cambria" w:eastAsia="Times New Roman" w:hAnsi="Cambria"/>
                <w:sz w:val="20"/>
                <w:szCs w:val="20"/>
              </w:rPr>
            </w:pPr>
          </w:p>
        </w:tc>
      </w:tr>
      <w:tr w:rsidR="007E31E3" w:rsidRPr="00524435" w14:paraId="44975819" w14:textId="77777777" w:rsidTr="00820229">
        <w:trPr>
          <w:trHeight w:val="377"/>
          <w:jc w:val="center"/>
        </w:trPr>
        <w:tc>
          <w:tcPr>
            <w:tcW w:w="990" w:type="dxa"/>
            <w:tcBorders>
              <w:top w:val="nil"/>
              <w:left w:val="single" w:sz="4" w:space="0" w:color="auto"/>
              <w:bottom w:val="single" w:sz="4" w:space="0" w:color="auto"/>
              <w:right w:val="single" w:sz="4" w:space="0" w:color="auto"/>
            </w:tcBorders>
            <w:shd w:val="clear" w:color="000000" w:fill="FFFFFF"/>
          </w:tcPr>
          <w:p w14:paraId="50FD9A69" w14:textId="77777777" w:rsidR="007E31E3" w:rsidRPr="00524435" w:rsidRDefault="007E31E3" w:rsidP="0009324C">
            <w:pPr>
              <w:numPr>
                <w:ilvl w:val="0"/>
                <w:numId w:val="21"/>
              </w:numPr>
              <w:tabs>
                <w:tab w:val="left" w:pos="360"/>
              </w:tabs>
              <w:spacing w:after="0" w:line="240" w:lineRule="auto"/>
              <w:rPr>
                <w:rFonts w:ascii="Cambria" w:eastAsia="Times New Roman" w:hAnsi="Cambria" w:cs="Calibri"/>
                <w:color w:val="000000"/>
                <w:sz w:val="20"/>
                <w:szCs w:val="20"/>
              </w:rPr>
            </w:pPr>
          </w:p>
        </w:tc>
        <w:tc>
          <w:tcPr>
            <w:tcW w:w="1462" w:type="dxa"/>
            <w:tcBorders>
              <w:top w:val="nil"/>
              <w:left w:val="single" w:sz="4" w:space="0" w:color="auto"/>
              <w:bottom w:val="single" w:sz="4" w:space="0" w:color="auto"/>
              <w:right w:val="single" w:sz="4" w:space="0" w:color="auto"/>
            </w:tcBorders>
            <w:shd w:val="clear" w:color="000000" w:fill="FFFFFF"/>
            <w:noWrap/>
            <w:vAlign w:val="center"/>
            <w:hideMark/>
          </w:tcPr>
          <w:p w14:paraId="2C1980F1"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13.595</w:t>
            </w:r>
          </w:p>
        </w:tc>
        <w:tc>
          <w:tcPr>
            <w:tcW w:w="4419" w:type="dxa"/>
            <w:tcBorders>
              <w:top w:val="nil"/>
              <w:left w:val="nil"/>
              <w:bottom w:val="single" w:sz="4" w:space="0" w:color="auto"/>
              <w:right w:val="single" w:sz="4" w:space="0" w:color="auto"/>
            </w:tcBorders>
            <w:shd w:val="clear" w:color="000000" w:fill="FFFFFF"/>
            <w:noWrap/>
            <w:vAlign w:val="center"/>
            <w:hideMark/>
          </w:tcPr>
          <w:p w14:paraId="69746C60"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 xml:space="preserve">Amanda Graciela </w:t>
            </w:r>
            <w:proofErr w:type="spellStart"/>
            <w:r w:rsidRPr="00524435">
              <w:rPr>
                <w:rFonts w:ascii="Cambria" w:eastAsia="Times New Roman" w:hAnsi="Cambria" w:cs="Calibri"/>
                <w:color w:val="000000"/>
                <w:sz w:val="20"/>
                <w:szCs w:val="20"/>
              </w:rPr>
              <w:t>Encaje</w:t>
            </w:r>
            <w:proofErr w:type="spellEnd"/>
          </w:p>
        </w:tc>
        <w:tc>
          <w:tcPr>
            <w:tcW w:w="1044" w:type="dxa"/>
            <w:tcBorders>
              <w:top w:val="nil"/>
              <w:left w:val="nil"/>
              <w:bottom w:val="single" w:sz="4" w:space="0" w:color="auto"/>
              <w:right w:val="single" w:sz="4" w:space="0" w:color="auto"/>
            </w:tcBorders>
            <w:shd w:val="clear" w:color="000000" w:fill="FFFFFF"/>
            <w:noWrap/>
            <w:vAlign w:val="center"/>
            <w:hideMark/>
          </w:tcPr>
          <w:p w14:paraId="326E7C03"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AR</w:t>
            </w:r>
          </w:p>
        </w:tc>
        <w:tc>
          <w:tcPr>
            <w:tcW w:w="1787" w:type="dxa"/>
            <w:tcBorders>
              <w:top w:val="nil"/>
              <w:left w:val="nil"/>
              <w:bottom w:val="single" w:sz="4" w:space="0" w:color="auto"/>
              <w:right w:val="single" w:sz="4" w:space="0" w:color="auto"/>
            </w:tcBorders>
            <w:shd w:val="clear" w:color="000000" w:fill="FFFFFF"/>
            <w:noWrap/>
            <w:vAlign w:val="center"/>
            <w:hideMark/>
          </w:tcPr>
          <w:p w14:paraId="53985076"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2021.07.12</w:t>
            </w:r>
          </w:p>
        </w:tc>
        <w:tc>
          <w:tcPr>
            <w:tcW w:w="241" w:type="dxa"/>
            <w:vAlign w:val="center"/>
            <w:hideMark/>
          </w:tcPr>
          <w:p w14:paraId="1553A2C0" w14:textId="77777777" w:rsidR="007E31E3" w:rsidRPr="00524435" w:rsidRDefault="007E31E3" w:rsidP="00820229">
            <w:pPr>
              <w:rPr>
                <w:rFonts w:ascii="Cambria" w:eastAsia="Times New Roman" w:hAnsi="Cambria"/>
                <w:sz w:val="20"/>
                <w:szCs w:val="20"/>
              </w:rPr>
            </w:pPr>
          </w:p>
        </w:tc>
      </w:tr>
      <w:tr w:rsidR="007E31E3" w:rsidRPr="00524435" w14:paraId="30457DE8" w14:textId="77777777" w:rsidTr="00820229">
        <w:trPr>
          <w:trHeight w:val="300"/>
          <w:jc w:val="center"/>
        </w:trPr>
        <w:tc>
          <w:tcPr>
            <w:tcW w:w="990" w:type="dxa"/>
            <w:tcBorders>
              <w:top w:val="nil"/>
              <w:left w:val="single" w:sz="4" w:space="0" w:color="auto"/>
              <w:bottom w:val="single" w:sz="4" w:space="0" w:color="auto"/>
              <w:right w:val="single" w:sz="4" w:space="0" w:color="auto"/>
            </w:tcBorders>
            <w:shd w:val="clear" w:color="000000" w:fill="FFFFFF"/>
          </w:tcPr>
          <w:p w14:paraId="7D1B8155" w14:textId="77777777" w:rsidR="007E31E3" w:rsidRPr="00524435" w:rsidRDefault="007E31E3" w:rsidP="0009324C">
            <w:pPr>
              <w:numPr>
                <w:ilvl w:val="0"/>
                <w:numId w:val="21"/>
              </w:numPr>
              <w:tabs>
                <w:tab w:val="left" w:pos="360"/>
              </w:tabs>
              <w:spacing w:after="0" w:line="240" w:lineRule="auto"/>
              <w:rPr>
                <w:rFonts w:ascii="Cambria" w:eastAsia="Times New Roman" w:hAnsi="Cambria" w:cs="Calibri"/>
                <w:color w:val="000000"/>
                <w:sz w:val="20"/>
                <w:szCs w:val="20"/>
              </w:rPr>
            </w:pPr>
          </w:p>
        </w:tc>
        <w:tc>
          <w:tcPr>
            <w:tcW w:w="1462" w:type="dxa"/>
            <w:tcBorders>
              <w:top w:val="nil"/>
              <w:left w:val="single" w:sz="4" w:space="0" w:color="auto"/>
              <w:bottom w:val="single" w:sz="4" w:space="0" w:color="auto"/>
              <w:right w:val="single" w:sz="4" w:space="0" w:color="auto"/>
            </w:tcBorders>
            <w:shd w:val="clear" w:color="000000" w:fill="FFFFFF"/>
            <w:noWrap/>
            <w:vAlign w:val="center"/>
            <w:hideMark/>
          </w:tcPr>
          <w:p w14:paraId="233D9A4F"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12.956</w:t>
            </w:r>
          </w:p>
        </w:tc>
        <w:tc>
          <w:tcPr>
            <w:tcW w:w="4419" w:type="dxa"/>
            <w:tcBorders>
              <w:top w:val="nil"/>
              <w:left w:val="nil"/>
              <w:bottom w:val="single" w:sz="4" w:space="0" w:color="auto"/>
              <w:right w:val="single" w:sz="4" w:space="0" w:color="auto"/>
            </w:tcBorders>
            <w:shd w:val="clear" w:color="000000" w:fill="FFFFFF"/>
            <w:noWrap/>
            <w:vAlign w:val="center"/>
            <w:hideMark/>
          </w:tcPr>
          <w:p w14:paraId="0D558911"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F.S.</w:t>
            </w:r>
          </w:p>
        </w:tc>
        <w:tc>
          <w:tcPr>
            <w:tcW w:w="1044" w:type="dxa"/>
            <w:tcBorders>
              <w:top w:val="nil"/>
              <w:left w:val="nil"/>
              <w:bottom w:val="single" w:sz="4" w:space="0" w:color="auto"/>
              <w:right w:val="single" w:sz="4" w:space="0" w:color="auto"/>
            </w:tcBorders>
            <w:shd w:val="clear" w:color="000000" w:fill="FFFFFF"/>
            <w:noWrap/>
            <w:vAlign w:val="center"/>
            <w:hideMark/>
          </w:tcPr>
          <w:p w14:paraId="257805C7"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CH</w:t>
            </w:r>
          </w:p>
        </w:tc>
        <w:tc>
          <w:tcPr>
            <w:tcW w:w="1787" w:type="dxa"/>
            <w:tcBorders>
              <w:top w:val="nil"/>
              <w:left w:val="nil"/>
              <w:bottom w:val="single" w:sz="4" w:space="0" w:color="auto"/>
              <w:right w:val="single" w:sz="4" w:space="0" w:color="auto"/>
            </w:tcBorders>
            <w:shd w:val="clear" w:color="000000" w:fill="FFFFFF"/>
            <w:noWrap/>
            <w:vAlign w:val="center"/>
            <w:hideMark/>
          </w:tcPr>
          <w:p w14:paraId="08826A67"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2021.08.03</w:t>
            </w:r>
          </w:p>
        </w:tc>
        <w:tc>
          <w:tcPr>
            <w:tcW w:w="241" w:type="dxa"/>
            <w:vAlign w:val="center"/>
            <w:hideMark/>
          </w:tcPr>
          <w:p w14:paraId="0E38B35C" w14:textId="77777777" w:rsidR="007E31E3" w:rsidRPr="00524435" w:rsidRDefault="007E31E3" w:rsidP="00820229">
            <w:pPr>
              <w:rPr>
                <w:rFonts w:ascii="Cambria" w:eastAsia="Times New Roman" w:hAnsi="Cambria"/>
                <w:sz w:val="20"/>
                <w:szCs w:val="20"/>
              </w:rPr>
            </w:pPr>
          </w:p>
        </w:tc>
      </w:tr>
      <w:tr w:rsidR="007E31E3" w:rsidRPr="00524435" w14:paraId="215F1713" w14:textId="77777777" w:rsidTr="00820229">
        <w:trPr>
          <w:trHeight w:val="368"/>
          <w:jc w:val="center"/>
        </w:trPr>
        <w:tc>
          <w:tcPr>
            <w:tcW w:w="990" w:type="dxa"/>
            <w:tcBorders>
              <w:top w:val="nil"/>
              <w:left w:val="single" w:sz="4" w:space="0" w:color="auto"/>
              <w:bottom w:val="single" w:sz="4" w:space="0" w:color="auto"/>
              <w:right w:val="single" w:sz="4" w:space="0" w:color="auto"/>
            </w:tcBorders>
            <w:shd w:val="clear" w:color="000000" w:fill="FFFFFF"/>
          </w:tcPr>
          <w:p w14:paraId="74FBEA92" w14:textId="77777777" w:rsidR="007E31E3" w:rsidRPr="00524435" w:rsidRDefault="007E31E3" w:rsidP="0009324C">
            <w:pPr>
              <w:numPr>
                <w:ilvl w:val="0"/>
                <w:numId w:val="21"/>
              </w:numPr>
              <w:tabs>
                <w:tab w:val="left" w:pos="360"/>
              </w:tabs>
              <w:spacing w:after="0" w:line="240" w:lineRule="auto"/>
              <w:rPr>
                <w:rFonts w:ascii="Cambria" w:eastAsia="Times New Roman" w:hAnsi="Cambria" w:cs="Calibri"/>
                <w:sz w:val="20"/>
                <w:szCs w:val="20"/>
              </w:rPr>
            </w:pPr>
          </w:p>
        </w:tc>
        <w:tc>
          <w:tcPr>
            <w:tcW w:w="1462" w:type="dxa"/>
            <w:tcBorders>
              <w:top w:val="nil"/>
              <w:left w:val="single" w:sz="4" w:space="0" w:color="auto"/>
              <w:bottom w:val="single" w:sz="4" w:space="0" w:color="auto"/>
              <w:right w:val="single" w:sz="4" w:space="0" w:color="auto"/>
            </w:tcBorders>
            <w:shd w:val="clear" w:color="000000" w:fill="FFFFFF"/>
            <w:noWrap/>
            <w:vAlign w:val="center"/>
            <w:hideMark/>
          </w:tcPr>
          <w:p w14:paraId="7F62D334"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13.226</w:t>
            </w:r>
          </w:p>
        </w:tc>
        <w:tc>
          <w:tcPr>
            <w:tcW w:w="4419" w:type="dxa"/>
            <w:tcBorders>
              <w:top w:val="nil"/>
              <w:left w:val="nil"/>
              <w:bottom w:val="single" w:sz="4" w:space="0" w:color="auto"/>
              <w:right w:val="single" w:sz="4" w:space="0" w:color="auto"/>
            </w:tcBorders>
            <w:shd w:val="clear" w:color="000000" w:fill="FFFFFF"/>
            <w:noWrap/>
            <w:vAlign w:val="center"/>
            <w:hideMark/>
          </w:tcPr>
          <w:p w14:paraId="0D4D6EF3"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 xml:space="preserve">Dora Inés </w:t>
            </w:r>
            <w:proofErr w:type="spellStart"/>
            <w:r w:rsidRPr="00524435">
              <w:rPr>
                <w:rFonts w:ascii="Cambria" w:eastAsia="Times New Roman" w:hAnsi="Cambria" w:cs="Calibri"/>
                <w:sz w:val="20"/>
                <w:szCs w:val="20"/>
              </w:rPr>
              <w:t>Meneses</w:t>
            </w:r>
            <w:proofErr w:type="spellEnd"/>
          </w:p>
        </w:tc>
        <w:tc>
          <w:tcPr>
            <w:tcW w:w="1044" w:type="dxa"/>
            <w:tcBorders>
              <w:top w:val="nil"/>
              <w:left w:val="nil"/>
              <w:bottom w:val="single" w:sz="4" w:space="0" w:color="auto"/>
              <w:right w:val="single" w:sz="4" w:space="0" w:color="auto"/>
            </w:tcBorders>
            <w:shd w:val="clear" w:color="000000" w:fill="FFFFFF"/>
            <w:noWrap/>
            <w:vAlign w:val="center"/>
            <w:hideMark/>
          </w:tcPr>
          <w:p w14:paraId="6EA619E5"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CO</w:t>
            </w:r>
          </w:p>
        </w:tc>
        <w:tc>
          <w:tcPr>
            <w:tcW w:w="1787" w:type="dxa"/>
            <w:tcBorders>
              <w:top w:val="nil"/>
              <w:left w:val="nil"/>
              <w:bottom w:val="single" w:sz="4" w:space="0" w:color="auto"/>
              <w:right w:val="single" w:sz="4" w:space="0" w:color="auto"/>
            </w:tcBorders>
            <w:shd w:val="clear" w:color="000000" w:fill="FFFFFF"/>
            <w:noWrap/>
            <w:vAlign w:val="center"/>
            <w:hideMark/>
          </w:tcPr>
          <w:p w14:paraId="753C5A2D"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2021.08.04</w:t>
            </w:r>
          </w:p>
        </w:tc>
        <w:tc>
          <w:tcPr>
            <w:tcW w:w="241" w:type="dxa"/>
            <w:vAlign w:val="center"/>
            <w:hideMark/>
          </w:tcPr>
          <w:p w14:paraId="275C7772" w14:textId="77777777" w:rsidR="007E31E3" w:rsidRPr="00524435" w:rsidRDefault="007E31E3" w:rsidP="00820229">
            <w:pPr>
              <w:rPr>
                <w:rFonts w:ascii="Cambria" w:eastAsia="Times New Roman" w:hAnsi="Cambria"/>
                <w:sz w:val="20"/>
                <w:szCs w:val="20"/>
              </w:rPr>
            </w:pPr>
          </w:p>
        </w:tc>
      </w:tr>
      <w:tr w:rsidR="007E31E3" w:rsidRPr="00524435" w14:paraId="6E9BC77F" w14:textId="77777777" w:rsidTr="00820229">
        <w:trPr>
          <w:trHeight w:val="300"/>
          <w:jc w:val="center"/>
        </w:trPr>
        <w:tc>
          <w:tcPr>
            <w:tcW w:w="990" w:type="dxa"/>
            <w:tcBorders>
              <w:top w:val="nil"/>
              <w:left w:val="single" w:sz="4" w:space="0" w:color="auto"/>
              <w:bottom w:val="single" w:sz="4" w:space="0" w:color="auto"/>
              <w:right w:val="single" w:sz="4" w:space="0" w:color="auto"/>
            </w:tcBorders>
            <w:shd w:val="clear" w:color="000000" w:fill="FFFFFF"/>
          </w:tcPr>
          <w:p w14:paraId="5804F264" w14:textId="77777777" w:rsidR="007E31E3" w:rsidRPr="00524435" w:rsidRDefault="007E31E3" w:rsidP="0009324C">
            <w:pPr>
              <w:numPr>
                <w:ilvl w:val="0"/>
                <w:numId w:val="21"/>
              </w:numPr>
              <w:tabs>
                <w:tab w:val="left" w:pos="360"/>
              </w:tabs>
              <w:spacing w:after="0" w:line="240" w:lineRule="auto"/>
              <w:rPr>
                <w:rFonts w:ascii="Cambria" w:eastAsia="Times New Roman" w:hAnsi="Cambria" w:cs="Calibri"/>
                <w:sz w:val="20"/>
                <w:szCs w:val="20"/>
              </w:rPr>
            </w:pPr>
          </w:p>
        </w:tc>
        <w:tc>
          <w:tcPr>
            <w:tcW w:w="1462" w:type="dxa"/>
            <w:tcBorders>
              <w:top w:val="nil"/>
              <w:left w:val="single" w:sz="4" w:space="0" w:color="auto"/>
              <w:bottom w:val="single" w:sz="4" w:space="0" w:color="auto"/>
              <w:right w:val="single" w:sz="4" w:space="0" w:color="auto"/>
            </w:tcBorders>
            <w:shd w:val="clear" w:color="000000" w:fill="FFFFFF"/>
            <w:noWrap/>
            <w:vAlign w:val="center"/>
            <w:hideMark/>
          </w:tcPr>
          <w:p w14:paraId="50D3D2E6"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12.961 J</w:t>
            </w:r>
          </w:p>
        </w:tc>
        <w:tc>
          <w:tcPr>
            <w:tcW w:w="4419" w:type="dxa"/>
            <w:tcBorders>
              <w:top w:val="nil"/>
              <w:left w:val="nil"/>
              <w:bottom w:val="single" w:sz="4" w:space="0" w:color="auto"/>
              <w:right w:val="single" w:sz="4" w:space="0" w:color="auto"/>
            </w:tcBorders>
            <w:shd w:val="clear" w:color="000000" w:fill="FFFFFF"/>
            <w:noWrap/>
            <w:vAlign w:val="center"/>
            <w:hideMark/>
          </w:tcPr>
          <w:p w14:paraId="694EA2F6" w14:textId="77777777" w:rsidR="007E31E3" w:rsidRPr="00E42B49" w:rsidRDefault="007E31E3" w:rsidP="00820229">
            <w:pPr>
              <w:jc w:val="center"/>
              <w:rPr>
                <w:rFonts w:ascii="Cambria" w:eastAsia="Times New Roman" w:hAnsi="Cambria" w:cs="Calibri"/>
                <w:sz w:val="20"/>
                <w:szCs w:val="20"/>
                <w:lang w:val="es-US"/>
              </w:rPr>
            </w:pPr>
            <w:r w:rsidRPr="00E42B49">
              <w:rPr>
                <w:rFonts w:ascii="Cambria" w:eastAsia="Times New Roman" w:hAnsi="Cambria" w:cs="Calibri"/>
                <w:sz w:val="20"/>
                <w:szCs w:val="20"/>
                <w:lang w:val="es-US"/>
              </w:rPr>
              <w:t xml:space="preserve">Faustino Garcia Cárdenas, </w:t>
            </w:r>
            <w:proofErr w:type="spellStart"/>
            <w:r w:rsidRPr="00E42B49">
              <w:rPr>
                <w:rFonts w:ascii="Cambria" w:eastAsia="Times New Roman" w:hAnsi="Cambria" w:cs="Calibri"/>
                <w:sz w:val="20"/>
                <w:szCs w:val="20"/>
                <w:lang w:val="es-US"/>
              </w:rPr>
              <w:t>et.al</w:t>
            </w:r>
            <w:proofErr w:type="spellEnd"/>
            <w:r w:rsidRPr="00E42B49">
              <w:rPr>
                <w:rFonts w:ascii="Cambria" w:eastAsia="Times New Roman" w:hAnsi="Cambria" w:cs="Calibri"/>
                <w:sz w:val="20"/>
                <w:szCs w:val="20"/>
                <w:lang w:val="es-US"/>
              </w:rPr>
              <w:t>.</w:t>
            </w:r>
          </w:p>
        </w:tc>
        <w:tc>
          <w:tcPr>
            <w:tcW w:w="1044" w:type="dxa"/>
            <w:tcBorders>
              <w:top w:val="nil"/>
              <w:left w:val="nil"/>
              <w:bottom w:val="single" w:sz="4" w:space="0" w:color="auto"/>
              <w:right w:val="single" w:sz="4" w:space="0" w:color="auto"/>
            </w:tcBorders>
            <w:shd w:val="clear" w:color="000000" w:fill="FFFFFF"/>
            <w:noWrap/>
            <w:vAlign w:val="center"/>
            <w:hideMark/>
          </w:tcPr>
          <w:p w14:paraId="08CE964E"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HO</w:t>
            </w:r>
          </w:p>
        </w:tc>
        <w:tc>
          <w:tcPr>
            <w:tcW w:w="1787" w:type="dxa"/>
            <w:tcBorders>
              <w:top w:val="nil"/>
              <w:left w:val="nil"/>
              <w:bottom w:val="single" w:sz="4" w:space="0" w:color="auto"/>
              <w:right w:val="single" w:sz="4" w:space="0" w:color="auto"/>
            </w:tcBorders>
            <w:shd w:val="clear" w:color="000000" w:fill="FFFFFF"/>
            <w:noWrap/>
            <w:vAlign w:val="center"/>
            <w:hideMark/>
          </w:tcPr>
          <w:p w14:paraId="7868E721"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2021.06.29</w:t>
            </w:r>
          </w:p>
        </w:tc>
        <w:tc>
          <w:tcPr>
            <w:tcW w:w="241" w:type="dxa"/>
            <w:vAlign w:val="center"/>
            <w:hideMark/>
          </w:tcPr>
          <w:p w14:paraId="6B77D10D" w14:textId="77777777" w:rsidR="007E31E3" w:rsidRPr="00524435" w:rsidRDefault="007E31E3" w:rsidP="00820229">
            <w:pPr>
              <w:rPr>
                <w:rFonts w:ascii="Cambria" w:eastAsia="Times New Roman" w:hAnsi="Cambria"/>
                <w:sz w:val="20"/>
                <w:szCs w:val="20"/>
              </w:rPr>
            </w:pPr>
          </w:p>
        </w:tc>
      </w:tr>
      <w:tr w:rsidR="007E31E3" w:rsidRPr="00524435" w14:paraId="1FD87D0E" w14:textId="77777777" w:rsidTr="00820229">
        <w:trPr>
          <w:trHeight w:val="300"/>
          <w:jc w:val="center"/>
        </w:trPr>
        <w:tc>
          <w:tcPr>
            <w:tcW w:w="990" w:type="dxa"/>
            <w:tcBorders>
              <w:top w:val="nil"/>
              <w:left w:val="single" w:sz="4" w:space="0" w:color="auto"/>
              <w:bottom w:val="single" w:sz="4" w:space="0" w:color="auto"/>
              <w:right w:val="single" w:sz="4" w:space="0" w:color="auto"/>
            </w:tcBorders>
            <w:shd w:val="clear" w:color="000000" w:fill="FFFFFF"/>
          </w:tcPr>
          <w:p w14:paraId="69414301" w14:textId="77777777" w:rsidR="007E31E3" w:rsidRPr="00524435" w:rsidRDefault="007E31E3" w:rsidP="0009324C">
            <w:pPr>
              <w:numPr>
                <w:ilvl w:val="0"/>
                <w:numId w:val="21"/>
              </w:numPr>
              <w:tabs>
                <w:tab w:val="left" w:pos="360"/>
              </w:tabs>
              <w:spacing w:after="0" w:line="240" w:lineRule="auto"/>
              <w:rPr>
                <w:rFonts w:ascii="Cambria" w:eastAsia="Times New Roman" w:hAnsi="Cambria" w:cs="Calibri"/>
                <w:sz w:val="20"/>
                <w:szCs w:val="20"/>
              </w:rPr>
            </w:pPr>
          </w:p>
        </w:tc>
        <w:tc>
          <w:tcPr>
            <w:tcW w:w="1462" w:type="dxa"/>
            <w:tcBorders>
              <w:top w:val="nil"/>
              <w:left w:val="single" w:sz="4" w:space="0" w:color="auto"/>
              <w:bottom w:val="single" w:sz="4" w:space="0" w:color="auto"/>
              <w:right w:val="single" w:sz="4" w:space="0" w:color="auto"/>
            </w:tcBorders>
            <w:shd w:val="clear" w:color="000000" w:fill="FFFFFF"/>
            <w:noWrap/>
            <w:vAlign w:val="center"/>
            <w:hideMark/>
          </w:tcPr>
          <w:p w14:paraId="07B45E8D"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535-17</w:t>
            </w:r>
          </w:p>
        </w:tc>
        <w:tc>
          <w:tcPr>
            <w:tcW w:w="4419" w:type="dxa"/>
            <w:tcBorders>
              <w:top w:val="nil"/>
              <w:left w:val="nil"/>
              <w:bottom w:val="single" w:sz="4" w:space="0" w:color="auto"/>
              <w:right w:val="single" w:sz="4" w:space="0" w:color="auto"/>
            </w:tcBorders>
            <w:shd w:val="clear" w:color="000000" w:fill="FFFFFF"/>
            <w:noWrap/>
            <w:vAlign w:val="center"/>
            <w:hideMark/>
          </w:tcPr>
          <w:p w14:paraId="2D9BEAE4"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 xml:space="preserve">Luis Gerardo </w:t>
            </w:r>
            <w:proofErr w:type="spellStart"/>
            <w:r w:rsidRPr="00524435">
              <w:rPr>
                <w:rFonts w:ascii="Cambria" w:eastAsia="Times New Roman" w:hAnsi="Cambria" w:cs="Calibri"/>
                <w:sz w:val="20"/>
                <w:szCs w:val="20"/>
              </w:rPr>
              <w:t>Bermúdez</w:t>
            </w:r>
            <w:proofErr w:type="spellEnd"/>
          </w:p>
        </w:tc>
        <w:tc>
          <w:tcPr>
            <w:tcW w:w="1044" w:type="dxa"/>
            <w:tcBorders>
              <w:top w:val="nil"/>
              <w:left w:val="nil"/>
              <w:bottom w:val="single" w:sz="4" w:space="0" w:color="auto"/>
              <w:right w:val="single" w:sz="4" w:space="0" w:color="auto"/>
            </w:tcBorders>
            <w:shd w:val="clear" w:color="000000" w:fill="FFFFFF"/>
            <w:noWrap/>
            <w:vAlign w:val="center"/>
            <w:hideMark/>
          </w:tcPr>
          <w:p w14:paraId="518EF1FC"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CO</w:t>
            </w:r>
          </w:p>
        </w:tc>
        <w:tc>
          <w:tcPr>
            <w:tcW w:w="1787" w:type="dxa"/>
            <w:tcBorders>
              <w:top w:val="nil"/>
              <w:left w:val="nil"/>
              <w:bottom w:val="single" w:sz="4" w:space="0" w:color="auto"/>
              <w:right w:val="single" w:sz="4" w:space="0" w:color="auto"/>
            </w:tcBorders>
            <w:shd w:val="clear" w:color="000000" w:fill="FFFFFF"/>
            <w:noWrap/>
            <w:vAlign w:val="center"/>
            <w:hideMark/>
          </w:tcPr>
          <w:p w14:paraId="73E6437C"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2021.08.27</w:t>
            </w:r>
          </w:p>
        </w:tc>
        <w:tc>
          <w:tcPr>
            <w:tcW w:w="241" w:type="dxa"/>
            <w:vAlign w:val="center"/>
            <w:hideMark/>
          </w:tcPr>
          <w:p w14:paraId="63B7DE50" w14:textId="77777777" w:rsidR="007E31E3" w:rsidRPr="00524435" w:rsidRDefault="007E31E3" w:rsidP="00820229">
            <w:pPr>
              <w:rPr>
                <w:rFonts w:ascii="Cambria" w:eastAsia="Times New Roman" w:hAnsi="Cambria"/>
                <w:sz w:val="20"/>
                <w:szCs w:val="20"/>
              </w:rPr>
            </w:pPr>
          </w:p>
        </w:tc>
      </w:tr>
      <w:tr w:rsidR="007E31E3" w:rsidRPr="00524435" w14:paraId="4DDD0F47" w14:textId="77777777" w:rsidTr="00820229">
        <w:trPr>
          <w:trHeight w:val="300"/>
          <w:jc w:val="center"/>
        </w:trPr>
        <w:tc>
          <w:tcPr>
            <w:tcW w:w="990" w:type="dxa"/>
            <w:tcBorders>
              <w:top w:val="nil"/>
              <w:left w:val="single" w:sz="4" w:space="0" w:color="auto"/>
              <w:bottom w:val="single" w:sz="4" w:space="0" w:color="auto"/>
              <w:right w:val="single" w:sz="4" w:space="0" w:color="auto"/>
            </w:tcBorders>
            <w:shd w:val="clear" w:color="000000" w:fill="FFFFFF"/>
          </w:tcPr>
          <w:p w14:paraId="4F423B55" w14:textId="77777777" w:rsidR="007E31E3" w:rsidRPr="00524435" w:rsidRDefault="007E31E3" w:rsidP="0009324C">
            <w:pPr>
              <w:numPr>
                <w:ilvl w:val="0"/>
                <w:numId w:val="21"/>
              </w:numPr>
              <w:tabs>
                <w:tab w:val="left" w:pos="360"/>
              </w:tabs>
              <w:spacing w:after="0" w:line="240" w:lineRule="auto"/>
              <w:rPr>
                <w:rFonts w:ascii="Cambria" w:eastAsia="Times New Roman" w:hAnsi="Cambria" w:cs="Calibri"/>
                <w:sz w:val="20"/>
                <w:szCs w:val="20"/>
              </w:rPr>
            </w:pPr>
          </w:p>
        </w:tc>
        <w:tc>
          <w:tcPr>
            <w:tcW w:w="1462" w:type="dxa"/>
            <w:tcBorders>
              <w:top w:val="nil"/>
              <w:left w:val="single" w:sz="4" w:space="0" w:color="auto"/>
              <w:bottom w:val="single" w:sz="4" w:space="0" w:color="auto"/>
              <w:right w:val="single" w:sz="4" w:space="0" w:color="auto"/>
            </w:tcBorders>
            <w:shd w:val="clear" w:color="000000" w:fill="FFFFFF"/>
            <w:noWrap/>
            <w:vAlign w:val="center"/>
            <w:hideMark/>
          </w:tcPr>
          <w:p w14:paraId="3AEAFD07"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514-11</w:t>
            </w:r>
          </w:p>
        </w:tc>
        <w:tc>
          <w:tcPr>
            <w:tcW w:w="4419" w:type="dxa"/>
            <w:tcBorders>
              <w:top w:val="nil"/>
              <w:left w:val="nil"/>
              <w:bottom w:val="single" w:sz="4" w:space="0" w:color="auto"/>
              <w:right w:val="single" w:sz="4" w:space="0" w:color="auto"/>
            </w:tcBorders>
            <w:shd w:val="clear" w:color="000000" w:fill="FFFFFF"/>
            <w:noWrap/>
            <w:vAlign w:val="center"/>
            <w:hideMark/>
          </w:tcPr>
          <w:p w14:paraId="63F9C484"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 xml:space="preserve">Luis Hernando </w:t>
            </w:r>
            <w:proofErr w:type="spellStart"/>
            <w:r w:rsidRPr="00524435">
              <w:rPr>
                <w:rFonts w:ascii="Cambria" w:eastAsia="Times New Roman" w:hAnsi="Cambria" w:cs="Calibri"/>
                <w:sz w:val="20"/>
                <w:szCs w:val="20"/>
              </w:rPr>
              <w:t>Morera</w:t>
            </w:r>
            <w:proofErr w:type="spellEnd"/>
            <w:r w:rsidRPr="00524435">
              <w:rPr>
                <w:rFonts w:ascii="Cambria" w:eastAsia="Times New Roman" w:hAnsi="Cambria" w:cs="Calibri"/>
                <w:sz w:val="20"/>
                <w:szCs w:val="20"/>
              </w:rPr>
              <w:t xml:space="preserve"> Garzón</w:t>
            </w:r>
          </w:p>
        </w:tc>
        <w:tc>
          <w:tcPr>
            <w:tcW w:w="1044" w:type="dxa"/>
            <w:tcBorders>
              <w:top w:val="nil"/>
              <w:left w:val="nil"/>
              <w:bottom w:val="single" w:sz="4" w:space="0" w:color="auto"/>
              <w:right w:val="single" w:sz="4" w:space="0" w:color="auto"/>
            </w:tcBorders>
            <w:shd w:val="clear" w:color="000000" w:fill="FFFFFF"/>
            <w:noWrap/>
            <w:vAlign w:val="center"/>
            <w:hideMark/>
          </w:tcPr>
          <w:p w14:paraId="7FF4E706"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CO</w:t>
            </w:r>
          </w:p>
        </w:tc>
        <w:tc>
          <w:tcPr>
            <w:tcW w:w="1787" w:type="dxa"/>
            <w:tcBorders>
              <w:top w:val="nil"/>
              <w:left w:val="nil"/>
              <w:bottom w:val="single" w:sz="4" w:space="0" w:color="auto"/>
              <w:right w:val="single" w:sz="4" w:space="0" w:color="auto"/>
            </w:tcBorders>
            <w:shd w:val="clear" w:color="000000" w:fill="FFFFFF"/>
            <w:noWrap/>
            <w:vAlign w:val="center"/>
            <w:hideMark/>
          </w:tcPr>
          <w:p w14:paraId="714FC0AC"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2021.08.25</w:t>
            </w:r>
          </w:p>
        </w:tc>
        <w:tc>
          <w:tcPr>
            <w:tcW w:w="241" w:type="dxa"/>
            <w:vAlign w:val="center"/>
            <w:hideMark/>
          </w:tcPr>
          <w:p w14:paraId="1B9F6B1E" w14:textId="77777777" w:rsidR="007E31E3" w:rsidRPr="00524435" w:rsidRDefault="007E31E3" w:rsidP="00820229">
            <w:pPr>
              <w:rPr>
                <w:rFonts w:ascii="Cambria" w:eastAsia="Times New Roman" w:hAnsi="Cambria"/>
                <w:sz w:val="20"/>
                <w:szCs w:val="20"/>
              </w:rPr>
            </w:pPr>
          </w:p>
        </w:tc>
      </w:tr>
      <w:tr w:rsidR="007E31E3" w:rsidRPr="00524435" w14:paraId="4FB8506F" w14:textId="77777777" w:rsidTr="00820229">
        <w:trPr>
          <w:trHeight w:val="503"/>
          <w:jc w:val="center"/>
        </w:trPr>
        <w:tc>
          <w:tcPr>
            <w:tcW w:w="990" w:type="dxa"/>
            <w:tcBorders>
              <w:top w:val="nil"/>
              <w:left w:val="single" w:sz="4" w:space="0" w:color="auto"/>
              <w:bottom w:val="single" w:sz="4" w:space="0" w:color="auto"/>
              <w:right w:val="single" w:sz="4" w:space="0" w:color="auto"/>
            </w:tcBorders>
            <w:shd w:val="clear" w:color="000000" w:fill="FFFFFF"/>
          </w:tcPr>
          <w:p w14:paraId="349FE52B" w14:textId="77777777" w:rsidR="007E31E3" w:rsidRPr="00524435" w:rsidRDefault="007E31E3" w:rsidP="0009324C">
            <w:pPr>
              <w:numPr>
                <w:ilvl w:val="0"/>
                <w:numId w:val="21"/>
              </w:numPr>
              <w:tabs>
                <w:tab w:val="left" w:pos="360"/>
              </w:tabs>
              <w:spacing w:after="0" w:line="240" w:lineRule="auto"/>
              <w:rPr>
                <w:rFonts w:ascii="Cambria" w:eastAsia="Times New Roman" w:hAnsi="Cambria" w:cs="Calibri"/>
                <w:sz w:val="20"/>
                <w:szCs w:val="20"/>
              </w:rPr>
            </w:pPr>
          </w:p>
        </w:tc>
        <w:tc>
          <w:tcPr>
            <w:tcW w:w="1462" w:type="dxa"/>
            <w:tcBorders>
              <w:top w:val="nil"/>
              <w:left w:val="single" w:sz="4" w:space="0" w:color="auto"/>
              <w:bottom w:val="single" w:sz="4" w:space="0" w:color="auto"/>
              <w:right w:val="single" w:sz="4" w:space="0" w:color="auto"/>
            </w:tcBorders>
            <w:shd w:val="clear" w:color="000000" w:fill="FFFFFF"/>
            <w:noWrap/>
            <w:vAlign w:val="center"/>
            <w:hideMark/>
          </w:tcPr>
          <w:p w14:paraId="75277C4F"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13.775</w:t>
            </w:r>
          </w:p>
        </w:tc>
        <w:tc>
          <w:tcPr>
            <w:tcW w:w="4419" w:type="dxa"/>
            <w:tcBorders>
              <w:top w:val="nil"/>
              <w:left w:val="nil"/>
              <w:bottom w:val="single" w:sz="4" w:space="0" w:color="auto"/>
              <w:right w:val="single" w:sz="4" w:space="0" w:color="auto"/>
            </w:tcBorders>
            <w:shd w:val="clear" w:color="000000" w:fill="FFFFFF"/>
            <w:vAlign w:val="center"/>
            <w:hideMark/>
          </w:tcPr>
          <w:p w14:paraId="06D8CCCD"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 xml:space="preserve">Gabriel </w:t>
            </w:r>
            <w:proofErr w:type="spellStart"/>
            <w:r w:rsidRPr="00524435">
              <w:rPr>
                <w:rFonts w:ascii="Cambria" w:eastAsia="Times New Roman" w:hAnsi="Cambria" w:cs="Calibri"/>
                <w:sz w:val="20"/>
                <w:szCs w:val="20"/>
              </w:rPr>
              <w:t>Ángel</w:t>
            </w:r>
            <w:proofErr w:type="spellEnd"/>
            <w:r w:rsidRPr="00524435">
              <w:rPr>
                <w:rFonts w:ascii="Cambria" w:eastAsia="Times New Roman" w:hAnsi="Cambria" w:cs="Calibri"/>
                <w:sz w:val="20"/>
                <w:szCs w:val="20"/>
              </w:rPr>
              <w:t xml:space="preserve"> Gomez Martinez and Family</w:t>
            </w:r>
          </w:p>
        </w:tc>
        <w:tc>
          <w:tcPr>
            <w:tcW w:w="1044" w:type="dxa"/>
            <w:tcBorders>
              <w:top w:val="nil"/>
              <w:left w:val="nil"/>
              <w:bottom w:val="single" w:sz="4" w:space="0" w:color="auto"/>
              <w:right w:val="single" w:sz="4" w:space="0" w:color="auto"/>
            </w:tcBorders>
            <w:shd w:val="clear" w:color="000000" w:fill="FFFFFF"/>
            <w:noWrap/>
            <w:vAlign w:val="center"/>
            <w:hideMark/>
          </w:tcPr>
          <w:p w14:paraId="46358FBE"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CO</w:t>
            </w:r>
          </w:p>
        </w:tc>
        <w:tc>
          <w:tcPr>
            <w:tcW w:w="1787" w:type="dxa"/>
            <w:tcBorders>
              <w:top w:val="nil"/>
              <w:left w:val="nil"/>
              <w:bottom w:val="single" w:sz="4" w:space="0" w:color="auto"/>
              <w:right w:val="single" w:sz="4" w:space="0" w:color="auto"/>
            </w:tcBorders>
            <w:shd w:val="clear" w:color="000000" w:fill="FFFFFF"/>
            <w:noWrap/>
            <w:vAlign w:val="center"/>
            <w:hideMark/>
          </w:tcPr>
          <w:p w14:paraId="0FD83981"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2021.09.07</w:t>
            </w:r>
          </w:p>
        </w:tc>
        <w:tc>
          <w:tcPr>
            <w:tcW w:w="241" w:type="dxa"/>
            <w:vAlign w:val="center"/>
            <w:hideMark/>
          </w:tcPr>
          <w:p w14:paraId="7522B64B" w14:textId="77777777" w:rsidR="007E31E3" w:rsidRPr="00524435" w:rsidRDefault="007E31E3" w:rsidP="00820229">
            <w:pPr>
              <w:rPr>
                <w:rFonts w:ascii="Cambria" w:eastAsia="Times New Roman" w:hAnsi="Cambria"/>
                <w:sz w:val="20"/>
                <w:szCs w:val="20"/>
              </w:rPr>
            </w:pPr>
          </w:p>
        </w:tc>
      </w:tr>
      <w:tr w:rsidR="007E31E3" w:rsidRPr="00524435" w14:paraId="60098DE1" w14:textId="77777777" w:rsidTr="00820229">
        <w:trPr>
          <w:trHeight w:val="440"/>
          <w:jc w:val="center"/>
        </w:trPr>
        <w:tc>
          <w:tcPr>
            <w:tcW w:w="990" w:type="dxa"/>
            <w:tcBorders>
              <w:top w:val="nil"/>
              <w:left w:val="single" w:sz="4" w:space="0" w:color="auto"/>
              <w:bottom w:val="single" w:sz="4" w:space="0" w:color="auto"/>
              <w:right w:val="single" w:sz="4" w:space="0" w:color="auto"/>
            </w:tcBorders>
            <w:shd w:val="clear" w:color="000000" w:fill="FFFFFF"/>
          </w:tcPr>
          <w:p w14:paraId="6CF28F75" w14:textId="77777777" w:rsidR="007E31E3" w:rsidRPr="00524435" w:rsidRDefault="007E31E3" w:rsidP="0009324C">
            <w:pPr>
              <w:numPr>
                <w:ilvl w:val="0"/>
                <w:numId w:val="21"/>
              </w:numPr>
              <w:tabs>
                <w:tab w:val="left" w:pos="360"/>
              </w:tabs>
              <w:spacing w:after="0" w:line="240" w:lineRule="auto"/>
              <w:rPr>
                <w:rFonts w:ascii="Cambria" w:eastAsia="Times New Roman" w:hAnsi="Cambria" w:cs="Calibri"/>
                <w:sz w:val="20"/>
                <w:szCs w:val="20"/>
              </w:rPr>
            </w:pPr>
          </w:p>
        </w:tc>
        <w:tc>
          <w:tcPr>
            <w:tcW w:w="1462" w:type="dxa"/>
            <w:tcBorders>
              <w:top w:val="nil"/>
              <w:left w:val="single" w:sz="4" w:space="0" w:color="auto"/>
              <w:bottom w:val="single" w:sz="4" w:space="0" w:color="auto"/>
              <w:right w:val="single" w:sz="4" w:space="0" w:color="auto"/>
            </w:tcBorders>
            <w:shd w:val="clear" w:color="000000" w:fill="FFFFFF"/>
            <w:noWrap/>
            <w:vAlign w:val="center"/>
            <w:hideMark/>
          </w:tcPr>
          <w:p w14:paraId="3076733E"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13.758</w:t>
            </w:r>
          </w:p>
        </w:tc>
        <w:tc>
          <w:tcPr>
            <w:tcW w:w="4419" w:type="dxa"/>
            <w:tcBorders>
              <w:top w:val="nil"/>
              <w:left w:val="nil"/>
              <w:bottom w:val="single" w:sz="4" w:space="0" w:color="auto"/>
              <w:right w:val="single" w:sz="4" w:space="0" w:color="auto"/>
            </w:tcBorders>
            <w:shd w:val="clear" w:color="000000" w:fill="FFFFFF"/>
            <w:vAlign w:val="center"/>
            <w:hideMark/>
          </w:tcPr>
          <w:p w14:paraId="4B2FCF30"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Franklin Bustamante Restrepo and Family</w:t>
            </w:r>
          </w:p>
        </w:tc>
        <w:tc>
          <w:tcPr>
            <w:tcW w:w="1044" w:type="dxa"/>
            <w:tcBorders>
              <w:top w:val="nil"/>
              <w:left w:val="nil"/>
              <w:bottom w:val="single" w:sz="4" w:space="0" w:color="auto"/>
              <w:right w:val="single" w:sz="4" w:space="0" w:color="auto"/>
            </w:tcBorders>
            <w:shd w:val="clear" w:color="000000" w:fill="FFFFFF"/>
            <w:noWrap/>
            <w:vAlign w:val="center"/>
            <w:hideMark/>
          </w:tcPr>
          <w:p w14:paraId="042C5116"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CO</w:t>
            </w:r>
          </w:p>
        </w:tc>
        <w:tc>
          <w:tcPr>
            <w:tcW w:w="1787" w:type="dxa"/>
            <w:tcBorders>
              <w:top w:val="nil"/>
              <w:left w:val="nil"/>
              <w:bottom w:val="single" w:sz="4" w:space="0" w:color="auto"/>
              <w:right w:val="single" w:sz="4" w:space="0" w:color="auto"/>
            </w:tcBorders>
            <w:shd w:val="clear" w:color="000000" w:fill="FFFFFF"/>
            <w:noWrap/>
            <w:vAlign w:val="center"/>
            <w:hideMark/>
          </w:tcPr>
          <w:p w14:paraId="332F7B01"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2021.09.13</w:t>
            </w:r>
          </w:p>
        </w:tc>
        <w:tc>
          <w:tcPr>
            <w:tcW w:w="241" w:type="dxa"/>
            <w:vAlign w:val="center"/>
            <w:hideMark/>
          </w:tcPr>
          <w:p w14:paraId="3F8EB02D" w14:textId="77777777" w:rsidR="007E31E3" w:rsidRPr="00524435" w:rsidRDefault="007E31E3" w:rsidP="00820229">
            <w:pPr>
              <w:rPr>
                <w:rFonts w:ascii="Cambria" w:eastAsia="Times New Roman" w:hAnsi="Cambria"/>
                <w:sz w:val="20"/>
                <w:szCs w:val="20"/>
              </w:rPr>
            </w:pPr>
          </w:p>
        </w:tc>
      </w:tr>
      <w:tr w:rsidR="007E31E3" w:rsidRPr="00524435" w14:paraId="3C6C3F3E" w14:textId="77777777" w:rsidTr="00820229">
        <w:trPr>
          <w:trHeight w:val="300"/>
          <w:jc w:val="center"/>
        </w:trPr>
        <w:tc>
          <w:tcPr>
            <w:tcW w:w="990" w:type="dxa"/>
            <w:tcBorders>
              <w:top w:val="nil"/>
              <w:left w:val="single" w:sz="4" w:space="0" w:color="auto"/>
              <w:bottom w:val="single" w:sz="4" w:space="0" w:color="auto"/>
              <w:right w:val="single" w:sz="4" w:space="0" w:color="auto"/>
            </w:tcBorders>
            <w:shd w:val="clear" w:color="000000" w:fill="FFFFFF"/>
          </w:tcPr>
          <w:p w14:paraId="6994E147" w14:textId="77777777" w:rsidR="007E31E3" w:rsidRPr="00524435" w:rsidRDefault="007E31E3" w:rsidP="0009324C">
            <w:pPr>
              <w:numPr>
                <w:ilvl w:val="0"/>
                <w:numId w:val="21"/>
              </w:numPr>
              <w:tabs>
                <w:tab w:val="left" w:pos="360"/>
              </w:tabs>
              <w:spacing w:after="0" w:line="240" w:lineRule="auto"/>
              <w:rPr>
                <w:rFonts w:ascii="Cambria" w:eastAsia="Times New Roman" w:hAnsi="Cambria" w:cs="Calibri"/>
                <w:sz w:val="20"/>
                <w:szCs w:val="20"/>
              </w:rPr>
            </w:pPr>
          </w:p>
        </w:tc>
        <w:tc>
          <w:tcPr>
            <w:tcW w:w="1462" w:type="dxa"/>
            <w:tcBorders>
              <w:top w:val="nil"/>
              <w:left w:val="single" w:sz="4" w:space="0" w:color="auto"/>
              <w:bottom w:val="single" w:sz="4" w:space="0" w:color="auto"/>
              <w:right w:val="single" w:sz="4" w:space="0" w:color="auto"/>
            </w:tcBorders>
            <w:shd w:val="clear" w:color="000000" w:fill="FFFFFF"/>
            <w:noWrap/>
            <w:vAlign w:val="center"/>
            <w:hideMark/>
          </w:tcPr>
          <w:p w14:paraId="0F935A41"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P-1391-15</w:t>
            </w:r>
          </w:p>
        </w:tc>
        <w:tc>
          <w:tcPr>
            <w:tcW w:w="4419" w:type="dxa"/>
            <w:tcBorders>
              <w:top w:val="nil"/>
              <w:left w:val="nil"/>
              <w:bottom w:val="single" w:sz="4" w:space="0" w:color="auto"/>
              <w:right w:val="single" w:sz="4" w:space="0" w:color="auto"/>
            </w:tcBorders>
            <w:shd w:val="clear" w:color="000000" w:fill="FFFFFF"/>
            <w:noWrap/>
            <w:vAlign w:val="center"/>
            <w:hideMark/>
          </w:tcPr>
          <w:p w14:paraId="22FA33F3"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Mario Cardona</w:t>
            </w:r>
          </w:p>
        </w:tc>
        <w:tc>
          <w:tcPr>
            <w:tcW w:w="1044" w:type="dxa"/>
            <w:tcBorders>
              <w:top w:val="nil"/>
              <w:left w:val="nil"/>
              <w:bottom w:val="single" w:sz="4" w:space="0" w:color="auto"/>
              <w:right w:val="single" w:sz="4" w:space="0" w:color="auto"/>
            </w:tcBorders>
            <w:shd w:val="clear" w:color="000000" w:fill="FFFFFF"/>
            <w:noWrap/>
            <w:vAlign w:val="center"/>
            <w:hideMark/>
          </w:tcPr>
          <w:p w14:paraId="73A7BDED"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CO</w:t>
            </w:r>
          </w:p>
        </w:tc>
        <w:tc>
          <w:tcPr>
            <w:tcW w:w="1787" w:type="dxa"/>
            <w:tcBorders>
              <w:top w:val="nil"/>
              <w:left w:val="nil"/>
              <w:bottom w:val="single" w:sz="4" w:space="0" w:color="auto"/>
              <w:right w:val="single" w:sz="4" w:space="0" w:color="auto"/>
            </w:tcBorders>
            <w:shd w:val="clear" w:color="000000" w:fill="FFFFFF"/>
            <w:noWrap/>
            <w:vAlign w:val="center"/>
            <w:hideMark/>
          </w:tcPr>
          <w:p w14:paraId="052E2656"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2021.09.23</w:t>
            </w:r>
          </w:p>
        </w:tc>
        <w:tc>
          <w:tcPr>
            <w:tcW w:w="241" w:type="dxa"/>
            <w:vAlign w:val="center"/>
            <w:hideMark/>
          </w:tcPr>
          <w:p w14:paraId="568160D2" w14:textId="77777777" w:rsidR="007E31E3" w:rsidRPr="00524435" w:rsidRDefault="007E31E3" w:rsidP="00820229">
            <w:pPr>
              <w:rPr>
                <w:rFonts w:ascii="Cambria" w:eastAsia="Times New Roman" w:hAnsi="Cambria"/>
                <w:sz w:val="20"/>
                <w:szCs w:val="20"/>
              </w:rPr>
            </w:pPr>
          </w:p>
        </w:tc>
      </w:tr>
      <w:tr w:rsidR="007E31E3" w:rsidRPr="00524435" w14:paraId="5B828E86" w14:textId="77777777" w:rsidTr="00820229">
        <w:trPr>
          <w:trHeight w:val="485"/>
          <w:jc w:val="center"/>
        </w:trPr>
        <w:tc>
          <w:tcPr>
            <w:tcW w:w="990" w:type="dxa"/>
            <w:tcBorders>
              <w:top w:val="nil"/>
              <w:left w:val="single" w:sz="4" w:space="0" w:color="auto"/>
              <w:bottom w:val="single" w:sz="4" w:space="0" w:color="auto"/>
              <w:right w:val="single" w:sz="4" w:space="0" w:color="auto"/>
            </w:tcBorders>
            <w:shd w:val="clear" w:color="000000" w:fill="FFFFFF"/>
          </w:tcPr>
          <w:p w14:paraId="1FC2F708" w14:textId="77777777" w:rsidR="007E31E3" w:rsidRPr="00524435" w:rsidRDefault="007E31E3" w:rsidP="0009324C">
            <w:pPr>
              <w:numPr>
                <w:ilvl w:val="0"/>
                <w:numId w:val="21"/>
              </w:numPr>
              <w:tabs>
                <w:tab w:val="left" w:pos="360"/>
              </w:tabs>
              <w:spacing w:after="0" w:line="240" w:lineRule="auto"/>
              <w:rPr>
                <w:rFonts w:ascii="Cambria" w:eastAsia="Times New Roman" w:hAnsi="Cambria" w:cs="Calibri"/>
                <w:sz w:val="20"/>
                <w:szCs w:val="20"/>
              </w:rPr>
            </w:pPr>
          </w:p>
        </w:tc>
        <w:tc>
          <w:tcPr>
            <w:tcW w:w="1462" w:type="dxa"/>
            <w:tcBorders>
              <w:top w:val="nil"/>
              <w:left w:val="single" w:sz="4" w:space="0" w:color="auto"/>
              <w:bottom w:val="single" w:sz="4" w:space="0" w:color="auto"/>
              <w:right w:val="single" w:sz="4" w:space="0" w:color="auto"/>
            </w:tcBorders>
            <w:shd w:val="clear" w:color="000000" w:fill="FFFFFF"/>
            <w:noWrap/>
            <w:vAlign w:val="center"/>
            <w:hideMark/>
          </w:tcPr>
          <w:p w14:paraId="158BA8A7"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P-1256-05</w:t>
            </w:r>
          </w:p>
        </w:tc>
        <w:tc>
          <w:tcPr>
            <w:tcW w:w="4419" w:type="dxa"/>
            <w:tcBorders>
              <w:top w:val="nil"/>
              <w:left w:val="nil"/>
              <w:bottom w:val="single" w:sz="4" w:space="0" w:color="auto"/>
              <w:right w:val="single" w:sz="4" w:space="0" w:color="auto"/>
            </w:tcBorders>
            <w:shd w:val="clear" w:color="000000" w:fill="FFFFFF"/>
            <w:noWrap/>
            <w:vAlign w:val="center"/>
            <w:hideMark/>
          </w:tcPr>
          <w:p w14:paraId="29D1D1BB"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 xml:space="preserve">Ivana </w:t>
            </w:r>
            <w:proofErr w:type="spellStart"/>
            <w:r w:rsidRPr="00524435">
              <w:rPr>
                <w:rFonts w:ascii="Cambria" w:eastAsia="Times New Roman" w:hAnsi="Cambria" w:cs="Calibri"/>
                <w:sz w:val="20"/>
                <w:szCs w:val="20"/>
              </w:rPr>
              <w:t>Emilce</w:t>
            </w:r>
            <w:proofErr w:type="spellEnd"/>
            <w:r w:rsidRPr="00524435">
              <w:rPr>
                <w:rFonts w:ascii="Cambria" w:eastAsia="Times New Roman" w:hAnsi="Cambria" w:cs="Calibri"/>
                <w:sz w:val="20"/>
                <w:szCs w:val="20"/>
              </w:rPr>
              <w:t xml:space="preserve"> Rosales</w:t>
            </w:r>
          </w:p>
        </w:tc>
        <w:tc>
          <w:tcPr>
            <w:tcW w:w="1044" w:type="dxa"/>
            <w:tcBorders>
              <w:top w:val="nil"/>
              <w:left w:val="nil"/>
              <w:bottom w:val="single" w:sz="4" w:space="0" w:color="auto"/>
              <w:right w:val="single" w:sz="4" w:space="0" w:color="auto"/>
            </w:tcBorders>
            <w:shd w:val="clear" w:color="000000" w:fill="FFFFFF"/>
            <w:noWrap/>
            <w:vAlign w:val="center"/>
            <w:hideMark/>
          </w:tcPr>
          <w:p w14:paraId="7167BC36"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AR</w:t>
            </w:r>
          </w:p>
        </w:tc>
        <w:tc>
          <w:tcPr>
            <w:tcW w:w="1787" w:type="dxa"/>
            <w:tcBorders>
              <w:top w:val="nil"/>
              <w:left w:val="nil"/>
              <w:bottom w:val="single" w:sz="4" w:space="0" w:color="auto"/>
              <w:right w:val="single" w:sz="4" w:space="0" w:color="auto"/>
            </w:tcBorders>
            <w:shd w:val="clear" w:color="000000" w:fill="FFFFFF"/>
            <w:noWrap/>
            <w:vAlign w:val="center"/>
            <w:hideMark/>
          </w:tcPr>
          <w:p w14:paraId="33AC562F" w14:textId="77777777" w:rsidR="007E31E3" w:rsidRPr="00524435" w:rsidRDefault="007E31E3" w:rsidP="00820229">
            <w:pPr>
              <w:jc w:val="center"/>
              <w:rPr>
                <w:rFonts w:ascii="Cambria" w:eastAsia="Times New Roman" w:hAnsi="Cambria" w:cs="Calibri"/>
                <w:sz w:val="20"/>
                <w:szCs w:val="20"/>
              </w:rPr>
            </w:pPr>
            <w:r w:rsidRPr="00524435">
              <w:rPr>
                <w:rFonts w:ascii="Cambria" w:eastAsia="Times New Roman" w:hAnsi="Cambria" w:cs="Calibri"/>
                <w:sz w:val="20"/>
                <w:szCs w:val="20"/>
              </w:rPr>
              <w:t>2021.09.23</w:t>
            </w:r>
          </w:p>
        </w:tc>
        <w:tc>
          <w:tcPr>
            <w:tcW w:w="241" w:type="dxa"/>
            <w:vAlign w:val="center"/>
            <w:hideMark/>
          </w:tcPr>
          <w:p w14:paraId="75731892" w14:textId="77777777" w:rsidR="007E31E3" w:rsidRPr="00524435" w:rsidRDefault="007E31E3" w:rsidP="00820229">
            <w:pPr>
              <w:rPr>
                <w:rFonts w:ascii="Cambria" w:eastAsia="Times New Roman" w:hAnsi="Cambria"/>
                <w:sz w:val="20"/>
                <w:szCs w:val="20"/>
              </w:rPr>
            </w:pPr>
          </w:p>
        </w:tc>
      </w:tr>
      <w:tr w:rsidR="007E31E3" w:rsidRPr="00524435" w14:paraId="482F49A3" w14:textId="77777777" w:rsidTr="00820229">
        <w:trPr>
          <w:trHeight w:val="300"/>
          <w:jc w:val="center"/>
        </w:trPr>
        <w:tc>
          <w:tcPr>
            <w:tcW w:w="990" w:type="dxa"/>
            <w:tcBorders>
              <w:top w:val="nil"/>
              <w:left w:val="single" w:sz="4" w:space="0" w:color="auto"/>
              <w:bottom w:val="single" w:sz="4" w:space="0" w:color="auto"/>
              <w:right w:val="single" w:sz="4" w:space="0" w:color="auto"/>
            </w:tcBorders>
          </w:tcPr>
          <w:p w14:paraId="3AA2A3B1" w14:textId="77777777" w:rsidR="007E31E3" w:rsidRPr="00524435" w:rsidRDefault="007E31E3" w:rsidP="0009324C">
            <w:pPr>
              <w:numPr>
                <w:ilvl w:val="0"/>
                <w:numId w:val="21"/>
              </w:numPr>
              <w:tabs>
                <w:tab w:val="left" w:pos="360"/>
              </w:tabs>
              <w:spacing w:after="0" w:line="240" w:lineRule="auto"/>
              <w:rPr>
                <w:rFonts w:ascii="Cambria" w:eastAsia="Times New Roman" w:hAnsi="Cambria" w:cs="Calibri"/>
                <w:color w:val="000000"/>
                <w:sz w:val="20"/>
                <w:szCs w:val="20"/>
              </w:rPr>
            </w:pPr>
          </w:p>
        </w:tc>
        <w:tc>
          <w:tcPr>
            <w:tcW w:w="1462" w:type="dxa"/>
            <w:tcBorders>
              <w:top w:val="nil"/>
              <w:left w:val="single" w:sz="4" w:space="0" w:color="auto"/>
              <w:bottom w:val="single" w:sz="4" w:space="0" w:color="auto"/>
              <w:right w:val="single" w:sz="4" w:space="0" w:color="auto"/>
            </w:tcBorders>
            <w:shd w:val="clear" w:color="auto" w:fill="auto"/>
            <w:noWrap/>
            <w:vAlign w:val="center"/>
            <w:hideMark/>
          </w:tcPr>
          <w:p w14:paraId="0C6E7E31"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14.291</w:t>
            </w:r>
          </w:p>
        </w:tc>
        <w:tc>
          <w:tcPr>
            <w:tcW w:w="4419" w:type="dxa"/>
            <w:tcBorders>
              <w:top w:val="nil"/>
              <w:left w:val="nil"/>
              <w:bottom w:val="single" w:sz="4" w:space="0" w:color="auto"/>
              <w:right w:val="single" w:sz="4" w:space="0" w:color="auto"/>
            </w:tcBorders>
            <w:shd w:val="clear" w:color="auto" w:fill="auto"/>
            <w:noWrap/>
            <w:vAlign w:val="center"/>
            <w:hideMark/>
          </w:tcPr>
          <w:p w14:paraId="05EBDCD2"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Captain N</w:t>
            </w:r>
          </w:p>
        </w:tc>
        <w:tc>
          <w:tcPr>
            <w:tcW w:w="1044" w:type="dxa"/>
            <w:tcBorders>
              <w:top w:val="nil"/>
              <w:left w:val="nil"/>
              <w:bottom w:val="single" w:sz="4" w:space="0" w:color="auto"/>
              <w:right w:val="single" w:sz="4" w:space="0" w:color="auto"/>
            </w:tcBorders>
            <w:shd w:val="clear" w:color="auto" w:fill="auto"/>
            <w:noWrap/>
            <w:vAlign w:val="center"/>
            <w:hideMark/>
          </w:tcPr>
          <w:p w14:paraId="44830E8C"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CO</w:t>
            </w:r>
          </w:p>
        </w:tc>
        <w:tc>
          <w:tcPr>
            <w:tcW w:w="1787" w:type="dxa"/>
            <w:tcBorders>
              <w:top w:val="nil"/>
              <w:left w:val="nil"/>
              <w:bottom w:val="single" w:sz="4" w:space="0" w:color="auto"/>
              <w:right w:val="single" w:sz="4" w:space="0" w:color="auto"/>
            </w:tcBorders>
            <w:shd w:val="clear" w:color="auto" w:fill="auto"/>
            <w:noWrap/>
            <w:vAlign w:val="center"/>
            <w:hideMark/>
          </w:tcPr>
          <w:p w14:paraId="72D1FBC7"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2021.10.25</w:t>
            </w:r>
          </w:p>
        </w:tc>
        <w:tc>
          <w:tcPr>
            <w:tcW w:w="241" w:type="dxa"/>
            <w:vAlign w:val="center"/>
            <w:hideMark/>
          </w:tcPr>
          <w:p w14:paraId="7CB50936" w14:textId="77777777" w:rsidR="007E31E3" w:rsidRPr="00524435" w:rsidRDefault="007E31E3" w:rsidP="00820229">
            <w:pPr>
              <w:rPr>
                <w:rFonts w:ascii="Cambria" w:eastAsia="Times New Roman" w:hAnsi="Cambria"/>
                <w:sz w:val="20"/>
                <w:szCs w:val="20"/>
              </w:rPr>
            </w:pPr>
          </w:p>
        </w:tc>
      </w:tr>
      <w:tr w:rsidR="007E31E3" w:rsidRPr="00524435" w14:paraId="59DF6C79" w14:textId="77777777" w:rsidTr="00820229">
        <w:trPr>
          <w:trHeight w:val="323"/>
          <w:jc w:val="center"/>
        </w:trPr>
        <w:tc>
          <w:tcPr>
            <w:tcW w:w="990" w:type="dxa"/>
            <w:tcBorders>
              <w:top w:val="single" w:sz="4" w:space="0" w:color="auto"/>
              <w:left w:val="single" w:sz="4" w:space="0" w:color="auto"/>
              <w:bottom w:val="single" w:sz="4" w:space="0" w:color="auto"/>
              <w:right w:val="single" w:sz="4" w:space="0" w:color="auto"/>
            </w:tcBorders>
          </w:tcPr>
          <w:p w14:paraId="5928D724" w14:textId="77777777" w:rsidR="007E31E3" w:rsidRPr="00524435" w:rsidRDefault="007E31E3" w:rsidP="0009324C">
            <w:pPr>
              <w:numPr>
                <w:ilvl w:val="0"/>
                <w:numId w:val="21"/>
              </w:numPr>
              <w:tabs>
                <w:tab w:val="left" w:pos="360"/>
              </w:tabs>
              <w:spacing w:after="0" w:line="240" w:lineRule="auto"/>
              <w:rPr>
                <w:rFonts w:ascii="Cambria" w:eastAsia="Times New Roman" w:hAnsi="Cambria" w:cs="Calibri"/>
                <w:color w:val="000000"/>
                <w:sz w:val="20"/>
                <w:szCs w:val="20"/>
              </w:rPr>
            </w:pP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2739F"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12.490</w:t>
            </w:r>
          </w:p>
        </w:tc>
        <w:tc>
          <w:tcPr>
            <w:tcW w:w="4419" w:type="dxa"/>
            <w:tcBorders>
              <w:top w:val="single" w:sz="4" w:space="0" w:color="auto"/>
              <w:left w:val="nil"/>
              <w:bottom w:val="single" w:sz="4" w:space="0" w:color="auto"/>
              <w:right w:val="single" w:sz="4" w:space="0" w:color="auto"/>
            </w:tcBorders>
            <w:shd w:val="clear" w:color="auto" w:fill="auto"/>
            <w:vAlign w:val="center"/>
            <w:hideMark/>
          </w:tcPr>
          <w:p w14:paraId="3AAA51AF" w14:textId="77777777" w:rsidR="007E31E3" w:rsidRPr="00524435" w:rsidRDefault="007E31E3" w:rsidP="00820229">
            <w:pPr>
              <w:jc w:val="center"/>
              <w:rPr>
                <w:rFonts w:ascii="Cambria" w:eastAsia="Times New Roman" w:hAnsi="Cambria" w:cs="Calibri"/>
                <w:color w:val="000000"/>
                <w:sz w:val="20"/>
                <w:szCs w:val="20"/>
              </w:rPr>
            </w:pPr>
            <w:proofErr w:type="spellStart"/>
            <w:r w:rsidRPr="00524435">
              <w:rPr>
                <w:rFonts w:ascii="Cambria" w:eastAsia="Times New Roman" w:hAnsi="Cambria" w:cs="Calibri"/>
                <w:color w:val="000000"/>
                <w:sz w:val="20"/>
                <w:szCs w:val="20"/>
              </w:rPr>
              <w:t>Asmeth</w:t>
            </w:r>
            <w:proofErr w:type="spellEnd"/>
            <w:r w:rsidRPr="00524435">
              <w:rPr>
                <w:rFonts w:ascii="Cambria" w:eastAsia="Times New Roman" w:hAnsi="Cambria" w:cs="Calibri"/>
                <w:color w:val="000000"/>
                <w:sz w:val="20"/>
                <w:szCs w:val="20"/>
              </w:rPr>
              <w:t xml:space="preserve"> </w:t>
            </w:r>
            <w:proofErr w:type="spellStart"/>
            <w:r w:rsidRPr="00524435">
              <w:rPr>
                <w:rFonts w:ascii="Cambria" w:eastAsia="Times New Roman" w:hAnsi="Cambria" w:cs="Calibri"/>
                <w:color w:val="000000"/>
                <w:sz w:val="20"/>
                <w:szCs w:val="20"/>
              </w:rPr>
              <w:t>Yamith</w:t>
            </w:r>
            <w:proofErr w:type="spellEnd"/>
            <w:r w:rsidRPr="00524435">
              <w:rPr>
                <w:rFonts w:ascii="Cambria" w:eastAsia="Times New Roman" w:hAnsi="Cambria" w:cs="Calibri"/>
                <w:color w:val="000000"/>
                <w:sz w:val="20"/>
                <w:szCs w:val="20"/>
              </w:rPr>
              <w:t xml:space="preserve"> Salazar Palencia</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14:paraId="330C85E2"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CO</w:t>
            </w:r>
          </w:p>
        </w:tc>
        <w:tc>
          <w:tcPr>
            <w:tcW w:w="1787" w:type="dxa"/>
            <w:tcBorders>
              <w:top w:val="single" w:sz="4" w:space="0" w:color="auto"/>
              <w:left w:val="nil"/>
              <w:bottom w:val="single" w:sz="4" w:space="0" w:color="auto"/>
              <w:right w:val="single" w:sz="4" w:space="0" w:color="auto"/>
            </w:tcBorders>
            <w:shd w:val="clear" w:color="auto" w:fill="auto"/>
            <w:noWrap/>
            <w:vAlign w:val="center"/>
            <w:hideMark/>
          </w:tcPr>
          <w:p w14:paraId="02790ABE"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2021.11.11</w:t>
            </w:r>
          </w:p>
        </w:tc>
        <w:tc>
          <w:tcPr>
            <w:tcW w:w="241" w:type="dxa"/>
            <w:vAlign w:val="center"/>
            <w:hideMark/>
          </w:tcPr>
          <w:p w14:paraId="789DD41E" w14:textId="77777777" w:rsidR="007E31E3" w:rsidRPr="00524435" w:rsidRDefault="007E31E3" w:rsidP="00820229">
            <w:pPr>
              <w:rPr>
                <w:rFonts w:ascii="Cambria" w:eastAsia="Times New Roman" w:hAnsi="Cambria"/>
                <w:sz w:val="20"/>
                <w:szCs w:val="20"/>
              </w:rPr>
            </w:pPr>
          </w:p>
        </w:tc>
      </w:tr>
      <w:tr w:rsidR="007E31E3" w:rsidRPr="00524435" w14:paraId="0463F3CB" w14:textId="77777777" w:rsidTr="00820229">
        <w:trPr>
          <w:trHeight w:val="323"/>
          <w:jc w:val="center"/>
        </w:trPr>
        <w:tc>
          <w:tcPr>
            <w:tcW w:w="990" w:type="dxa"/>
            <w:tcBorders>
              <w:top w:val="single" w:sz="4" w:space="0" w:color="auto"/>
              <w:left w:val="single" w:sz="4" w:space="0" w:color="auto"/>
              <w:bottom w:val="single" w:sz="4" w:space="0" w:color="auto"/>
              <w:right w:val="single" w:sz="4" w:space="0" w:color="auto"/>
            </w:tcBorders>
          </w:tcPr>
          <w:p w14:paraId="6B514C2D" w14:textId="77777777" w:rsidR="007E31E3" w:rsidRPr="00524435" w:rsidRDefault="007E31E3" w:rsidP="0009324C">
            <w:pPr>
              <w:numPr>
                <w:ilvl w:val="0"/>
                <w:numId w:val="21"/>
              </w:numPr>
              <w:tabs>
                <w:tab w:val="left" w:pos="360"/>
              </w:tabs>
              <w:spacing w:after="0" w:line="240" w:lineRule="auto"/>
              <w:rPr>
                <w:rFonts w:ascii="Cambria" w:eastAsia="Times New Roman" w:hAnsi="Cambria" w:cs="Calibri"/>
                <w:color w:val="000000"/>
                <w:sz w:val="20"/>
                <w:szCs w:val="20"/>
              </w:rPr>
            </w:pP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43B9B"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14.312</w:t>
            </w:r>
          </w:p>
        </w:tc>
        <w:tc>
          <w:tcPr>
            <w:tcW w:w="4419" w:type="dxa"/>
            <w:tcBorders>
              <w:top w:val="single" w:sz="4" w:space="0" w:color="auto"/>
              <w:left w:val="nil"/>
              <w:bottom w:val="single" w:sz="4" w:space="0" w:color="auto"/>
              <w:right w:val="single" w:sz="4" w:space="0" w:color="auto"/>
            </w:tcBorders>
            <w:shd w:val="clear" w:color="auto" w:fill="auto"/>
            <w:vAlign w:val="center"/>
          </w:tcPr>
          <w:p w14:paraId="56CF7A74" w14:textId="77777777" w:rsidR="007E31E3" w:rsidRPr="00E42B49" w:rsidRDefault="007E31E3" w:rsidP="00820229">
            <w:pPr>
              <w:jc w:val="center"/>
              <w:rPr>
                <w:rFonts w:ascii="Cambria" w:eastAsia="Times New Roman" w:hAnsi="Cambria" w:cs="Calibri"/>
                <w:color w:val="000000"/>
                <w:sz w:val="20"/>
                <w:szCs w:val="20"/>
                <w:lang w:val="es-US"/>
              </w:rPr>
            </w:pPr>
            <w:r w:rsidRPr="00E42B49">
              <w:rPr>
                <w:rFonts w:ascii="Cambria" w:eastAsia="Times New Roman" w:hAnsi="Cambria" w:cs="Calibri"/>
                <w:color w:val="000000"/>
                <w:sz w:val="20"/>
                <w:szCs w:val="20"/>
                <w:lang w:val="es-US"/>
              </w:rPr>
              <w:t xml:space="preserve">Juan Carlos de la Calle Jiménez, </w:t>
            </w:r>
            <w:proofErr w:type="spellStart"/>
            <w:r w:rsidRPr="00E42B49">
              <w:rPr>
                <w:rFonts w:ascii="Cambria" w:eastAsia="Times New Roman" w:hAnsi="Cambria" w:cs="Calibri"/>
                <w:color w:val="000000"/>
                <w:sz w:val="20"/>
                <w:szCs w:val="20"/>
                <w:lang w:val="es-US"/>
              </w:rPr>
              <w:t>et.al</w:t>
            </w:r>
            <w:proofErr w:type="spellEnd"/>
            <w:r w:rsidRPr="00E42B49">
              <w:rPr>
                <w:rFonts w:ascii="Cambria" w:eastAsia="Times New Roman" w:hAnsi="Cambria" w:cs="Calibri"/>
                <w:color w:val="000000"/>
                <w:sz w:val="20"/>
                <w:szCs w:val="20"/>
                <w:lang w:val="es-US"/>
              </w:rPr>
              <w:t>.</w:t>
            </w:r>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7099A97A"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CO</w:t>
            </w:r>
          </w:p>
        </w:tc>
        <w:tc>
          <w:tcPr>
            <w:tcW w:w="1787" w:type="dxa"/>
            <w:tcBorders>
              <w:top w:val="single" w:sz="4" w:space="0" w:color="auto"/>
              <w:left w:val="nil"/>
              <w:bottom w:val="single" w:sz="4" w:space="0" w:color="auto"/>
              <w:right w:val="single" w:sz="4" w:space="0" w:color="auto"/>
            </w:tcBorders>
            <w:shd w:val="clear" w:color="auto" w:fill="auto"/>
            <w:noWrap/>
            <w:vAlign w:val="center"/>
          </w:tcPr>
          <w:p w14:paraId="52079864"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2021.11.26</w:t>
            </w:r>
          </w:p>
        </w:tc>
        <w:tc>
          <w:tcPr>
            <w:tcW w:w="241" w:type="dxa"/>
            <w:vAlign w:val="center"/>
          </w:tcPr>
          <w:p w14:paraId="086E23E6" w14:textId="77777777" w:rsidR="007E31E3" w:rsidRPr="00524435" w:rsidRDefault="007E31E3" w:rsidP="00820229">
            <w:pPr>
              <w:rPr>
                <w:rFonts w:ascii="Cambria" w:eastAsia="Times New Roman" w:hAnsi="Cambria"/>
                <w:sz w:val="20"/>
                <w:szCs w:val="20"/>
              </w:rPr>
            </w:pPr>
          </w:p>
        </w:tc>
      </w:tr>
      <w:tr w:rsidR="007E31E3" w:rsidRPr="00524435" w14:paraId="526546FD" w14:textId="77777777" w:rsidTr="00820229">
        <w:trPr>
          <w:trHeight w:val="323"/>
          <w:jc w:val="center"/>
        </w:trPr>
        <w:tc>
          <w:tcPr>
            <w:tcW w:w="990" w:type="dxa"/>
            <w:tcBorders>
              <w:top w:val="single" w:sz="4" w:space="0" w:color="auto"/>
              <w:left w:val="single" w:sz="4" w:space="0" w:color="auto"/>
              <w:bottom w:val="single" w:sz="4" w:space="0" w:color="auto"/>
              <w:right w:val="single" w:sz="4" w:space="0" w:color="auto"/>
            </w:tcBorders>
          </w:tcPr>
          <w:p w14:paraId="098C5FEE" w14:textId="77777777" w:rsidR="007E31E3" w:rsidRPr="00524435" w:rsidRDefault="007E31E3" w:rsidP="0009324C">
            <w:pPr>
              <w:numPr>
                <w:ilvl w:val="0"/>
                <w:numId w:val="21"/>
              </w:numPr>
              <w:tabs>
                <w:tab w:val="left" w:pos="360"/>
              </w:tabs>
              <w:spacing w:after="0" w:line="240" w:lineRule="auto"/>
              <w:rPr>
                <w:rFonts w:ascii="Cambria" w:eastAsia="Times New Roman" w:hAnsi="Cambria" w:cs="Calibri"/>
                <w:color w:val="000000"/>
                <w:sz w:val="20"/>
                <w:szCs w:val="20"/>
              </w:rPr>
            </w:pP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8F53D"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P-1617-12</w:t>
            </w:r>
          </w:p>
        </w:tc>
        <w:tc>
          <w:tcPr>
            <w:tcW w:w="4419" w:type="dxa"/>
            <w:tcBorders>
              <w:top w:val="single" w:sz="4" w:space="0" w:color="auto"/>
              <w:left w:val="nil"/>
              <w:bottom w:val="single" w:sz="4" w:space="0" w:color="auto"/>
              <w:right w:val="single" w:sz="4" w:space="0" w:color="auto"/>
            </w:tcBorders>
            <w:shd w:val="clear" w:color="auto" w:fill="auto"/>
            <w:vAlign w:val="center"/>
          </w:tcPr>
          <w:p w14:paraId="2EF525D0"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Domingo José Rivas Coronado</w:t>
            </w:r>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0DB871AF"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CO</w:t>
            </w:r>
          </w:p>
        </w:tc>
        <w:tc>
          <w:tcPr>
            <w:tcW w:w="1787" w:type="dxa"/>
            <w:tcBorders>
              <w:top w:val="single" w:sz="4" w:space="0" w:color="auto"/>
              <w:left w:val="nil"/>
              <w:bottom w:val="single" w:sz="4" w:space="0" w:color="auto"/>
              <w:right w:val="single" w:sz="4" w:space="0" w:color="auto"/>
            </w:tcBorders>
            <w:shd w:val="clear" w:color="auto" w:fill="auto"/>
            <w:noWrap/>
            <w:vAlign w:val="center"/>
          </w:tcPr>
          <w:p w14:paraId="77EE073C"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2021.12.20</w:t>
            </w:r>
          </w:p>
        </w:tc>
        <w:tc>
          <w:tcPr>
            <w:tcW w:w="241" w:type="dxa"/>
            <w:vAlign w:val="center"/>
          </w:tcPr>
          <w:p w14:paraId="01987FA3" w14:textId="77777777" w:rsidR="007E31E3" w:rsidRPr="00524435" w:rsidRDefault="007E31E3" w:rsidP="00820229">
            <w:pPr>
              <w:rPr>
                <w:rFonts w:ascii="Cambria" w:eastAsia="Times New Roman" w:hAnsi="Cambria"/>
                <w:sz w:val="20"/>
                <w:szCs w:val="20"/>
              </w:rPr>
            </w:pPr>
          </w:p>
        </w:tc>
      </w:tr>
      <w:tr w:rsidR="007E31E3" w:rsidRPr="00524435" w14:paraId="39720F3A" w14:textId="77777777" w:rsidTr="00820229">
        <w:trPr>
          <w:trHeight w:val="323"/>
          <w:jc w:val="center"/>
        </w:trPr>
        <w:tc>
          <w:tcPr>
            <w:tcW w:w="990" w:type="dxa"/>
            <w:tcBorders>
              <w:top w:val="single" w:sz="4" w:space="0" w:color="auto"/>
              <w:left w:val="single" w:sz="4" w:space="0" w:color="auto"/>
              <w:bottom w:val="single" w:sz="4" w:space="0" w:color="auto"/>
              <w:right w:val="single" w:sz="4" w:space="0" w:color="auto"/>
            </w:tcBorders>
          </w:tcPr>
          <w:p w14:paraId="12612949" w14:textId="77777777" w:rsidR="007E31E3" w:rsidRPr="00524435" w:rsidRDefault="007E31E3" w:rsidP="0009324C">
            <w:pPr>
              <w:numPr>
                <w:ilvl w:val="0"/>
                <w:numId w:val="21"/>
              </w:numPr>
              <w:tabs>
                <w:tab w:val="left" w:pos="360"/>
              </w:tabs>
              <w:spacing w:after="0" w:line="240" w:lineRule="auto"/>
              <w:rPr>
                <w:rFonts w:ascii="Cambria" w:eastAsia="Times New Roman" w:hAnsi="Cambria" w:cs="Calibri"/>
                <w:color w:val="000000"/>
                <w:sz w:val="20"/>
                <w:szCs w:val="20"/>
              </w:rPr>
            </w:pP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99E80"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14.036</w:t>
            </w:r>
          </w:p>
        </w:tc>
        <w:tc>
          <w:tcPr>
            <w:tcW w:w="4419" w:type="dxa"/>
            <w:tcBorders>
              <w:top w:val="single" w:sz="4" w:space="0" w:color="auto"/>
              <w:left w:val="nil"/>
              <w:bottom w:val="single" w:sz="4" w:space="0" w:color="auto"/>
              <w:right w:val="single" w:sz="4" w:space="0" w:color="auto"/>
            </w:tcBorders>
            <w:shd w:val="clear" w:color="auto" w:fill="auto"/>
            <w:vAlign w:val="center"/>
          </w:tcPr>
          <w:p w14:paraId="38C26B31" w14:textId="77777777" w:rsidR="007E31E3" w:rsidRPr="00E42B49" w:rsidRDefault="007E31E3" w:rsidP="00820229">
            <w:pPr>
              <w:jc w:val="center"/>
              <w:rPr>
                <w:rFonts w:ascii="Cambria" w:eastAsia="Times New Roman" w:hAnsi="Cambria" w:cs="Calibri"/>
                <w:color w:val="000000"/>
                <w:sz w:val="20"/>
                <w:szCs w:val="20"/>
                <w:lang w:val="es-US"/>
              </w:rPr>
            </w:pPr>
            <w:r w:rsidRPr="00E42B49">
              <w:rPr>
                <w:rFonts w:ascii="Cambria" w:eastAsia="Times New Roman" w:hAnsi="Cambria" w:cs="Calibri"/>
                <w:color w:val="000000"/>
                <w:sz w:val="20"/>
                <w:szCs w:val="20"/>
                <w:lang w:val="es-US"/>
              </w:rPr>
              <w:t>José Ramón Ochoa Salazar y Familia</w:t>
            </w:r>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159716B6"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CO</w:t>
            </w:r>
          </w:p>
        </w:tc>
        <w:tc>
          <w:tcPr>
            <w:tcW w:w="1787" w:type="dxa"/>
            <w:tcBorders>
              <w:top w:val="single" w:sz="4" w:space="0" w:color="auto"/>
              <w:left w:val="nil"/>
              <w:bottom w:val="single" w:sz="4" w:space="0" w:color="auto"/>
              <w:right w:val="single" w:sz="4" w:space="0" w:color="auto"/>
            </w:tcBorders>
            <w:shd w:val="clear" w:color="auto" w:fill="auto"/>
            <w:noWrap/>
            <w:vAlign w:val="center"/>
          </w:tcPr>
          <w:p w14:paraId="604F0AC6"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2021.12.21</w:t>
            </w:r>
          </w:p>
        </w:tc>
        <w:tc>
          <w:tcPr>
            <w:tcW w:w="241" w:type="dxa"/>
            <w:vAlign w:val="center"/>
          </w:tcPr>
          <w:p w14:paraId="535D32C8" w14:textId="77777777" w:rsidR="007E31E3" w:rsidRPr="00524435" w:rsidRDefault="007E31E3" w:rsidP="00820229">
            <w:pPr>
              <w:rPr>
                <w:rFonts w:ascii="Cambria" w:eastAsia="Times New Roman" w:hAnsi="Cambria"/>
                <w:sz w:val="20"/>
                <w:szCs w:val="20"/>
              </w:rPr>
            </w:pPr>
          </w:p>
        </w:tc>
      </w:tr>
      <w:tr w:rsidR="007E31E3" w:rsidRPr="00524435" w14:paraId="2103F39A" w14:textId="77777777" w:rsidTr="00820229">
        <w:trPr>
          <w:trHeight w:val="323"/>
          <w:jc w:val="center"/>
        </w:trPr>
        <w:tc>
          <w:tcPr>
            <w:tcW w:w="990" w:type="dxa"/>
            <w:tcBorders>
              <w:top w:val="single" w:sz="4" w:space="0" w:color="auto"/>
              <w:left w:val="single" w:sz="4" w:space="0" w:color="auto"/>
              <w:bottom w:val="single" w:sz="4" w:space="0" w:color="auto"/>
              <w:right w:val="single" w:sz="4" w:space="0" w:color="auto"/>
            </w:tcBorders>
          </w:tcPr>
          <w:p w14:paraId="67BF057A" w14:textId="77777777" w:rsidR="007E31E3" w:rsidRPr="00524435" w:rsidRDefault="007E31E3" w:rsidP="0009324C">
            <w:pPr>
              <w:numPr>
                <w:ilvl w:val="0"/>
                <w:numId w:val="21"/>
              </w:numPr>
              <w:tabs>
                <w:tab w:val="left" w:pos="360"/>
              </w:tabs>
              <w:spacing w:after="0" w:line="240" w:lineRule="auto"/>
              <w:rPr>
                <w:rFonts w:ascii="Cambria" w:eastAsia="Times New Roman" w:hAnsi="Cambria" w:cs="Calibri"/>
                <w:color w:val="000000"/>
                <w:sz w:val="20"/>
                <w:szCs w:val="20"/>
              </w:rPr>
            </w:pP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1F842"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13.964</w:t>
            </w:r>
          </w:p>
        </w:tc>
        <w:tc>
          <w:tcPr>
            <w:tcW w:w="4419" w:type="dxa"/>
            <w:tcBorders>
              <w:top w:val="single" w:sz="4" w:space="0" w:color="auto"/>
              <w:left w:val="nil"/>
              <w:bottom w:val="single" w:sz="4" w:space="0" w:color="auto"/>
              <w:right w:val="single" w:sz="4" w:space="0" w:color="auto"/>
            </w:tcBorders>
            <w:shd w:val="clear" w:color="auto" w:fill="auto"/>
            <w:vAlign w:val="center"/>
          </w:tcPr>
          <w:p w14:paraId="4BDDB4C6" w14:textId="77777777" w:rsidR="007E31E3" w:rsidRPr="00E42B49" w:rsidRDefault="007E31E3" w:rsidP="00820229">
            <w:pPr>
              <w:jc w:val="center"/>
              <w:rPr>
                <w:rFonts w:ascii="Cambria" w:eastAsia="Times New Roman" w:hAnsi="Cambria" w:cs="Calibri"/>
                <w:color w:val="000000"/>
                <w:sz w:val="20"/>
                <w:szCs w:val="20"/>
                <w:lang w:val="es-US"/>
              </w:rPr>
            </w:pPr>
            <w:r w:rsidRPr="00E42B49">
              <w:rPr>
                <w:rFonts w:ascii="Cambria" w:eastAsia="Times New Roman" w:hAnsi="Cambria" w:cs="Calibri"/>
                <w:color w:val="000000"/>
                <w:sz w:val="20"/>
                <w:szCs w:val="20"/>
                <w:lang w:val="es-US"/>
              </w:rPr>
              <w:t>Darío Gómez Cartagena y Familia</w:t>
            </w:r>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136CDDA2"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CO</w:t>
            </w:r>
          </w:p>
        </w:tc>
        <w:tc>
          <w:tcPr>
            <w:tcW w:w="1787" w:type="dxa"/>
            <w:tcBorders>
              <w:top w:val="single" w:sz="4" w:space="0" w:color="auto"/>
              <w:left w:val="nil"/>
              <w:bottom w:val="single" w:sz="4" w:space="0" w:color="auto"/>
              <w:right w:val="single" w:sz="4" w:space="0" w:color="auto"/>
            </w:tcBorders>
            <w:shd w:val="clear" w:color="auto" w:fill="auto"/>
            <w:noWrap/>
            <w:vAlign w:val="center"/>
          </w:tcPr>
          <w:p w14:paraId="527F5130"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2021.12.23</w:t>
            </w:r>
          </w:p>
        </w:tc>
        <w:tc>
          <w:tcPr>
            <w:tcW w:w="241" w:type="dxa"/>
            <w:vAlign w:val="center"/>
          </w:tcPr>
          <w:p w14:paraId="795A8742" w14:textId="77777777" w:rsidR="007E31E3" w:rsidRPr="00524435" w:rsidRDefault="007E31E3" w:rsidP="00820229">
            <w:pPr>
              <w:rPr>
                <w:rFonts w:ascii="Cambria" w:eastAsia="Times New Roman" w:hAnsi="Cambria"/>
                <w:sz w:val="20"/>
                <w:szCs w:val="20"/>
              </w:rPr>
            </w:pPr>
          </w:p>
        </w:tc>
      </w:tr>
      <w:tr w:rsidR="007E31E3" w:rsidRPr="00524435" w14:paraId="6F6B130B" w14:textId="77777777" w:rsidTr="00820229">
        <w:trPr>
          <w:trHeight w:val="323"/>
          <w:jc w:val="center"/>
        </w:trPr>
        <w:tc>
          <w:tcPr>
            <w:tcW w:w="990" w:type="dxa"/>
            <w:tcBorders>
              <w:top w:val="single" w:sz="4" w:space="0" w:color="auto"/>
              <w:left w:val="single" w:sz="4" w:space="0" w:color="auto"/>
              <w:bottom w:val="single" w:sz="4" w:space="0" w:color="auto"/>
              <w:right w:val="single" w:sz="4" w:space="0" w:color="auto"/>
            </w:tcBorders>
          </w:tcPr>
          <w:p w14:paraId="2FA521E7" w14:textId="77777777" w:rsidR="007E31E3" w:rsidRPr="00524435" w:rsidRDefault="007E31E3" w:rsidP="0009324C">
            <w:pPr>
              <w:numPr>
                <w:ilvl w:val="0"/>
                <w:numId w:val="21"/>
              </w:numPr>
              <w:tabs>
                <w:tab w:val="left" w:pos="360"/>
              </w:tabs>
              <w:spacing w:after="0" w:line="240" w:lineRule="auto"/>
              <w:rPr>
                <w:rFonts w:ascii="Cambria" w:eastAsia="Times New Roman" w:hAnsi="Cambria" w:cs="Calibri"/>
                <w:color w:val="000000"/>
                <w:sz w:val="20"/>
                <w:szCs w:val="20"/>
              </w:rPr>
            </w:pP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27547"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13.436</w:t>
            </w:r>
          </w:p>
        </w:tc>
        <w:tc>
          <w:tcPr>
            <w:tcW w:w="4419" w:type="dxa"/>
            <w:tcBorders>
              <w:top w:val="single" w:sz="4" w:space="0" w:color="auto"/>
              <w:left w:val="nil"/>
              <w:bottom w:val="single" w:sz="4" w:space="0" w:color="auto"/>
              <w:right w:val="single" w:sz="4" w:space="0" w:color="auto"/>
            </w:tcBorders>
            <w:shd w:val="clear" w:color="auto" w:fill="auto"/>
            <w:vAlign w:val="center"/>
          </w:tcPr>
          <w:p w14:paraId="782A273D"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 xml:space="preserve">José </w:t>
            </w:r>
            <w:proofErr w:type="spellStart"/>
            <w:r w:rsidRPr="00524435">
              <w:rPr>
                <w:rFonts w:ascii="Cambria" w:eastAsia="Times New Roman" w:hAnsi="Cambria" w:cs="Calibri"/>
                <w:color w:val="000000"/>
                <w:sz w:val="20"/>
                <w:szCs w:val="20"/>
              </w:rPr>
              <w:t>Oleaguer</w:t>
            </w:r>
            <w:proofErr w:type="spellEnd"/>
            <w:r w:rsidRPr="00524435">
              <w:rPr>
                <w:rFonts w:ascii="Cambria" w:eastAsia="Times New Roman" w:hAnsi="Cambria" w:cs="Calibri"/>
                <w:color w:val="000000"/>
                <w:sz w:val="20"/>
                <w:szCs w:val="20"/>
              </w:rPr>
              <w:t xml:space="preserve"> Correa </w:t>
            </w:r>
            <w:proofErr w:type="spellStart"/>
            <w:r w:rsidRPr="00524435">
              <w:rPr>
                <w:rFonts w:ascii="Cambria" w:eastAsia="Times New Roman" w:hAnsi="Cambria" w:cs="Calibri"/>
                <w:color w:val="000000"/>
                <w:sz w:val="20"/>
                <w:szCs w:val="20"/>
              </w:rPr>
              <w:t>Castrillón</w:t>
            </w:r>
            <w:proofErr w:type="spellEnd"/>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04305882"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CO</w:t>
            </w:r>
          </w:p>
        </w:tc>
        <w:tc>
          <w:tcPr>
            <w:tcW w:w="1787" w:type="dxa"/>
            <w:tcBorders>
              <w:top w:val="single" w:sz="4" w:space="0" w:color="auto"/>
              <w:left w:val="nil"/>
              <w:bottom w:val="single" w:sz="4" w:space="0" w:color="auto"/>
              <w:right w:val="single" w:sz="4" w:space="0" w:color="auto"/>
            </w:tcBorders>
            <w:shd w:val="clear" w:color="auto" w:fill="auto"/>
            <w:noWrap/>
            <w:vAlign w:val="center"/>
          </w:tcPr>
          <w:p w14:paraId="4DC024C1"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2021.12.23</w:t>
            </w:r>
          </w:p>
        </w:tc>
        <w:tc>
          <w:tcPr>
            <w:tcW w:w="241" w:type="dxa"/>
            <w:vAlign w:val="center"/>
          </w:tcPr>
          <w:p w14:paraId="5F4EDC6C" w14:textId="77777777" w:rsidR="007E31E3" w:rsidRPr="00524435" w:rsidRDefault="007E31E3" w:rsidP="00820229">
            <w:pPr>
              <w:rPr>
                <w:rFonts w:ascii="Cambria" w:eastAsia="Times New Roman" w:hAnsi="Cambria"/>
                <w:sz w:val="20"/>
                <w:szCs w:val="20"/>
              </w:rPr>
            </w:pPr>
          </w:p>
        </w:tc>
      </w:tr>
      <w:tr w:rsidR="007E31E3" w:rsidRPr="00524435" w14:paraId="73C2B363" w14:textId="77777777" w:rsidTr="00820229">
        <w:trPr>
          <w:trHeight w:val="323"/>
          <w:jc w:val="center"/>
        </w:trPr>
        <w:tc>
          <w:tcPr>
            <w:tcW w:w="990" w:type="dxa"/>
            <w:tcBorders>
              <w:top w:val="single" w:sz="4" w:space="0" w:color="auto"/>
              <w:left w:val="single" w:sz="4" w:space="0" w:color="auto"/>
              <w:bottom w:val="single" w:sz="4" w:space="0" w:color="auto"/>
              <w:right w:val="single" w:sz="4" w:space="0" w:color="auto"/>
            </w:tcBorders>
          </w:tcPr>
          <w:p w14:paraId="79C677D7" w14:textId="77777777" w:rsidR="007E31E3" w:rsidRPr="00524435" w:rsidRDefault="007E31E3" w:rsidP="0009324C">
            <w:pPr>
              <w:numPr>
                <w:ilvl w:val="0"/>
                <w:numId w:val="21"/>
              </w:numPr>
              <w:tabs>
                <w:tab w:val="left" w:pos="360"/>
              </w:tabs>
              <w:spacing w:after="0" w:line="240" w:lineRule="auto"/>
              <w:rPr>
                <w:rFonts w:ascii="Cambria" w:eastAsia="Times New Roman" w:hAnsi="Cambria" w:cs="Calibri"/>
                <w:color w:val="000000"/>
                <w:sz w:val="20"/>
                <w:szCs w:val="20"/>
              </w:rPr>
            </w:pP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07435"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P-1279-19</w:t>
            </w:r>
          </w:p>
        </w:tc>
        <w:tc>
          <w:tcPr>
            <w:tcW w:w="4419" w:type="dxa"/>
            <w:tcBorders>
              <w:top w:val="single" w:sz="4" w:space="0" w:color="auto"/>
              <w:left w:val="nil"/>
              <w:bottom w:val="single" w:sz="4" w:space="0" w:color="auto"/>
              <w:right w:val="single" w:sz="4" w:space="0" w:color="auto"/>
            </w:tcBorders>
            <w:shd w:val="clear" w:color="auto" w:fill="auto"/>
            <w:vAlign w:val="center"/>
          </w:tcPr>
          <w:p w14:paraId="1CA6EDE6" w14:textId="77777777" w:rsidR="007E31E3" w:rsidRPr="00E42B49" w:rsidRDefault="007E31E3" w:rsidP="00820229">
            <w:pPr>
              <w:jc w:val="center"/>
              <w:rPr>
                <w:rFonts w:ascii="Cambria" w:eastAsia="Times New Roman" w:hAnsi="Cambria" w:cs="Calibri"/>
                <w:color w:val="000000"/>
                <w:sz w:val="20"/>
                <w:szCs w:val="20"/>
                <w:lang w:val="es-US"/>
              </w:rPr>
            </w:pPr>
            <w:r w:rsidRPr="00E42B49">
              <w:rPr>
                <w:rFonts w:ascii="Cambria" w:eastAsia="Times New Roman" w:hAnsi="Cambria" w:cs="Calibri"/>
                <w:color w:val="000000"/>
                <w:sz w:val="20"/>
                <w:szCs w:val="20"/>
                <w:lang w:val="es-US"/>
              </w:rPr>
              <w:t>Zury Mayte Ríos Sosa e hija</w:t>
            </w:r>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4B013F76"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GU</w:t>
            </w:r>
          </w:p>
        </w:tc>
        <w:tc>
          <w:tcPr>
            <w:tcW w:w="1787" w:type="dxa"/>
            <w:tcBorders>
              <w:top w:val="single" w:sz="4" w:space="0" w:color="auto"/>
              <w:left w:val="nil"/>
              <w:bottom w:val="single" w:sz="4" w:space="0" w:color="auto"/>
              <w:right w:val="single" w:sz="4" w:space="0" w:color="auto"/>
            </w:tcBorders>
            <w:shd w:val="clear" w:color="auto" w:fill="auto"/>
            <w:noWrap/>
            <w:vAlign w:val="center"/>
          </w:tcPr>
          <w:p w14:paraId="09EC6078" w14:textId="77777777" w:rsidR="007E31E3" w:rsidRPr="00524435" w:rsidRDefault="007E31E3" w:rsidP="00820229">
            <w:pPr>
              <w:jc w:val="center"/>
              <w:rPr>
                <w:rFonts w:ascii="Cambria" w:eastAsia="Times New Roman" w:hAnsi="Cambria" w:cs="Calibri"/>
                <w:color w:val="000000"/>
                <w:sz w:val="20"/>
                <w:szCs w:val="20"/>
              </w:rPr>
            </w:pPr>
            <w:r w:rsidRPr="00524435">
              <w:rPr>
                <w:rFonts w:ascii="Cambria" w:eastAsia="Times New Roman" w:hAnsi="Cambria" w:cs="Calibri"/>
                <w:color w:val="000000"/>
                <w:sz w:val="20"/>
                <w:szCs w:val="20"/>
              </w:rPr>
              <w:t>2021.12.25</w:t>
            </w:r>
          </w:p>
        </w:tc>
        <w:tc>
          <w:tcPr>
            <w:tcW w:w="241" w:type="dxa"/>
            <w:vAlign w:val="center"/>
          </w:tcPr>
          <w:p w14:paraId="4C3DA3D3" w14:textId="77777777" w:rsidR="007E31E3" w:rsidRPr="00524435" w:rsidRDefault="007E31E3" w:rsidP="00820229">
            <w:pPr>
              <w:rPr>
                <w:rFonts w:ascii="Cambria" w:eastAsia="Times New Roman" w:hAnsi="Cambria"/>
                <w:sz w:val="20"/>
                <w:szCs w:val="20"/>
              </w:rPr>
            </w:pPr>
          </w:p>
        </w:tc>
      </w:tr>
    </w:tbl>
    <w:p w14:paraId="0F68BFB9" w14:textId="77777777" w:rsidR="007E31E3" w:rsidRPr="00524435" w:rsidRDefault="007E31E3" w:rsidP="00CF2CA7">
      <w:pPr>
        <w:pStyle w:val="NormalWeb"/>
        <w:shd w:val="clear" w:color="auto" w:fill="FFFFFF"/>
        <w:spacing w:before="0" w:beforeAutospacing="0" w:after="0" w:afterAutospacing="0"/>
        <w:jc w:val="both"/>
        <w:rPr>
          <w:rStyle w:val="Nenhum"/>
          <w:rFonts w:ascii="Cambria" w:hAnsi="Cambria" w:cs="Calibri Light"/>
          <w:sz w:val="20"/>
          <w:szCs w:val="20"/>
        </w:rPr>
      </w:pPr>
    </w:p>
    <w:p w14:paraId="408FDF45" w14:textId="77777777" w:rsidR="007E31E3" w:rsidRPr="00524435" w:rsidRDefault="007E31E3" w:rsidP="00CF2CA7">
      <w:pPr>
        <w:pBdr>
          <w:top w:val="nil"/>
          <w:left w:val="nil"/>
          <w:bottom w:val="nil"/>
          <w:right w:val="nil"/>
          <w:between w:val="nil"/>
          <w:bar w:val="nil"/>
        </w:pBdr>
        <w:spacing w:after="0" w:line="240" w:lineRule="auto"/>
        <w:jc w:val="both"/>
        <w:rPr>
          <w:rStyle w:val="Nenhum"/>
          <w:rFonts w:ascii="Cambria" w:hAnsi="Cambria" w:cs="Calibri Light"/>
          <w:sz w:val="20"/>
          <w:szCs w:val="20"/>
        </w:rPr>
      </w:pPr>
    </w:p>
    <w:p w14:paraId="6A752358" w14:textId="77777777" w:rsidR="007E31E3" w:rsidRPr="00524435" w:rsidRDefault="007E31E3" w:rsidP="007E31E3">
      <w:pPr>
        <w:pStyle w:val="ListParagraph"/>
        <w:rPr>
          <w:rStyle w:val="Nenhum"/>
          <w:rFonts w:cs="Calibri Light"/>
        </w:rPr>
      </w:pPr>
      <w:r w:rsidRPr="00524435">
        <w:rPr>
          <w:rStyle w:val="Nenhum"/>
          <w:rFonts w:cs="Calibri Light"/>
        </w:rPr>
        <w:t xml:space="preserve">The Commission commends the states of Argentina, Chile, Colombia, and Honduras for their openness to engage with dialogue with the various victims and their representatives to find, together, formulas for making reparation to the victims of human rights violations in the </w:t>
      </w:r>
      <w:proofErr w:type="gramStart"/>
      <w:r w:rsidRPr="00524435">
        <w:rPr>
          <w:rStyle w:val="Nenhum"/>
          <w:rFonts w:cs="Calibri Light"/>
        </w:rPr>
        <w:t>aforementioned matters</w:t>
      </w:r>
      <w:proofErr w:type="gramEnd"/>
      <w:r w:rsidRPr="00524435">
        <w:rPr>
          <w:rStyle w:val="Nenhum"/>
          <w:rFonts w:cs="Calibri Light"/>
        </w:rPr>
        <w:t xml:space="preserve">, taking account of their needs and interests by reaching a friendly settlement. </w:t>
      </w:r>
    </w:p>
    <w:p w14:paraId="4A5B4252" w14:textId="77777777" w:rsidR="007E31E3" w:rsidRPr="00524435" w:rsidRDefault="007E31E3" w:rsidP="00CF2CA7">
      <w:pPr>
        <w:pStyle w:val="Heading4"/>
      </w:pPr>
      <w:r w:rsidRPr="00524435">
        <w:t xml:space="preserve">New Friendly Settlement Monitoring Processes </w:t>
      </w:r>
    </w:p>
    <w:p w14:paraId="2D63B778" w14:textId="77777777" w:rsidR="007E31E3" w:rsidRPr="00524435" w:rsidRDefault="007E31E3" w:rsidP="007E31E3">
      <w:pPr>
        <w:pStyle w:val="ListParagraph"/>
        <w:rPr>
          <w:rFonts w:cs="Calibri Light"/>
        </w:rPr>
      </w:pPr>
      <w:r w:rsidRPr="00524435">
        <w:rPr>
          <w:rFonts w:cs="Calibri Light"/>
        </w:rPr>
        <w:t xml:space="preserve">The Commission announces with satisfaction that in 2021 </w:t>
      </w:r>
      <w:r w:rsidRPr="00524435">
        <w:rPr>
          <w:rFonts w:cs="Calibri Light"/>
          <w:b/>
          <w:bCs/>
        </w:rPr>
        <w:t>15</w:t>
      </w:r>
      <w:r w:rsidRPr="00524435">
        <w:rPr>
          <w:rFonts w:cs="Calibri Light"/>
        </w:rPr>
        <w:t xml:space="preserve"> reports approving friendly settlements were published, four of which, as noted above (Report 39/21, in Petition 245-03, Walter Mauro </w:t>
      </w:r>
      <w:proofErr w:type="spellStart"/>
      <w:r w:rsidRPr="00524435">
        <w:rPr>
          <w:rFonts w:cs="Calibri Light"/>
        </w:rPr>
        <w:t>Yáñez</w:t>
      </w:r>
      <w:proofErr w:type="spellEnd"/>
      <w:r w:rsidRPr="00524435">
        <w:rPr>
          <w:rFonts w:cs="Calibri Light"/>
        </w:rPr>
        <w:t xml:space="preserve"> Report; Report No. 42/21, in Case 12.961E, </w:t>
      </w:r>
      <w:proofErr w:type="spellStart"/>
      <w:r w:rsidRPr="00524435">
        <w:rPr>
          <w:rFonts w:cs="Calibri Light"/>
        </w:rPr>
        <w:t>Ecar</w:t>
      </w:r>
      <w:proofErr w:type="spellEnd"/>
      <w:r w:rsidRPr="00524435">
        <w:rPr>
          <w:rFonts w:cs="Calibri Light"/>
        </w:rPr>
        <w:t xml:space="preserve"> Fernando Zavala Valladares; Report 205/2, in Case12.961 J, Faustino García Cárdenas and Others and Report No. 269/21, in Case 12.960, Ronald Jared Martínez and Other), as detailed </w:t>
      </w:r>
      <w:r w:rsidRPr="00524435">
        <w:t>supra</w:t>
      </w:r>
      <w:r w:rsidRPr="00524435">
        <w:rPr>
          <w:rFonts w:cs="Calibri Light"/>
        </w:rPr>
        <w:t xml:space="preserve">, were published with total compliance, thus they will not be subject to supervision by the IACHR. Accordingly, </w:t>
      </w:r>
      <w:r w:rsidRPr="00524435">
        <w:rPr>
          <w:rFonts w:cs="Calibri Light"/>
          <w:b/>
        </w:rPr>
        <w:t>11</w:t>
      </w:r>
      <w:r w:rsidRPr="00524435">
        <w:rPr>
          <w:rFonts w:cs="Calibri Light"/>
        </w:rPr>
        <w:t xml:space="preserve"> new matters came to be monitored for the first time, in the Annual Report of the IACHR on this occasion. They are listed next, in alphabetical order by the state concerned and chronological order based on the date the Commission’s decisions were issued: </w:t>
      </w:r>
    </w:p>
    <w:p w14:paraId="4E7ABBDD" w14:textId="77777777" w:rsidR="007E31E3" w:rsidRPr="00524435" w:rsidRDefault="007E31E3" w:rsidP="0009324C">
      <w:pPr>
        <w:numPr>
          <w:ilvl w:val="0"/>
          <w:numId w:val="22"/>
        </w:numPr>
        <w:spacing w:after="0" w:line="240" w:lineRule="auto"/>
        <w:jc w:val="both"/>
        <w:rPr>
          <w:rFonts w:ascii="Cambria" w:hAnsi="Cambria" w:cs="Calibri Light"/>
          <w:sz w:val="20"/>
          <w:szCs w:val="20"/>
        </w:rPr>
      </w:pPr>
      <w:r w:rsidRPr="00524435">
        <w:rPr>
          <w:rFonts w:ascii="Cambria" w:hAnsi="Cambria" w:cs="Calibri Light"/>
          <w:sz w:val="20"/>
          <w:szCs w:val="20"/>
        </w:rPr>
        <w:t xml:space="preserve">Report No. 207/21, Case 13.595, Amanda Graciela </w:t>
      </w:r>
      <w:proofErr w:type="spellStart"/>
      <w:r w:rsidRPr="00524435">
        <w:rPr>
          <w:rFonts w:ascii="Cambria" w:hAnsi="Cambria" w:cs="Calibri Light"/>
          <w:sz w:val="20"/>
          <w:szCs w:val="20"/>
        </w:rPr>
        <w:t>Encaje</w:t>
      </w:r>
      <w:proofErr w:type="spellEnd"/>
      <w:r w:rsidRPr="00524435">
        <w:rPr>
          <w:rFonts w:ascii="Cambria" w:hAnsi="Cambria" w:cs="Calibri Light"/>
          <w:sz w:val="20"/>
          <w:szCs w:val="20"/>
        </w:rPr>
        <w:t xml:space="preserve"> and family (Argentina)</w:t>
      </w:r>
    </w:p>
    <w:p w14:paraId="5585F642" w14:textId="77777777" w:rsidR="007E31E3" w:rsidRPr="007A5442" w:rsidRDefault="007E31E3" w:rsidP="0009324C">
      <w:pPr>
        <w:numPr>
          <w:ilvl w:val="0"/>
          <w:numId w:val="22"/>
        </w:numPr>
        <w:spacing w:after="0" w:line="240" w:lineRule="auto"/>
        <w:jc w:val="both"/>
        <w:rPr>
          <w:rFonts w:ascii="Cambria" w:hAnsi="Cambria" w:cs="Calibri Light"/>
          <w:sz w:val="20"/>
          <w:szCs w:val="20"/>
          <w:lang w:val="pt-PT"/>
        </w:rPr>
      </w:pPr>
      <w:r w:rsidRPr="007A5442">
        <w:rPr>
          <w:rFonts w:ascii="Cambria" w:hAnsi="Cambria" w:cs="Calibri Light"/>
          <w:sz w:val="20"/>
          <w:szCs w:val="20"/>
          <w:lang w:val="pt-PT"/>
        </w:rPr>
        <w:t>Report No. 136/21, Case 12.277, Fazenda Ubá (Brazil)</w:t>
      </w:r>
    </w:p>
    <w:p w14:paraId="0F452E2D" w14:textId="77777777" w:rsidR="007E31E3" w:rsidRPr="00524435" w:rsidRDefault="007E31E3" w:rsidP="0009324C">
      <w:pPr>
        <w:numPr>
          <w:ilvl w:val="0"/>
          <w:numId w:val="22"/>
        </w:numPr>
        <w:spacing w:after="0" w:line="240" w:lineRule="auto"/>
        <w:jc w:val="both"/>
        <w:rPr>
          <w:rFonts w:ascii="Cambria" w:hAnsi="Cambria" w:cs="Calibri Light"/>
          <w:sz w:val="20"/>
          <w:szCs w:val="20"/>
        </w:rPr>
      </w:pPr>
      <w:r w:rsidRPr="00524435">
        <w:rPr>
          <w:rFonts w:ascii="Cambria" w:hAnsi="Cambria" w:cs="Calibri Light"/>
          <w:sz w:val="20"/>
          <w:szCs w:val="20"/>
        </w:rPr>
        <w:t xml:space="preserve">Report No. 41/21, Case 13.642, Edgar José Sánchez </w:t>
      </w:r>
      <w:proofErr w:type="gramStart"/>
      <w:r w:rsidRPr="00524435">
        <w:rPr>
          <w:rFonts w:ascii="Cambria" w:hAnsi="Cambria" w:cs="Calibri Light"/>
          <w:sz w:val="20"/>
          <w:szCs w:val="20"/>
        </w:rPr>
        <w:t>Duarte</w:t>
      </w:r>
      <w:proofErr w:type="gramEnd"/>
      <w:r w:rsidRPr="00524435">
        <w:rPr>
          <w:rFonts w:ascii="Cambria" w:hAnsi="Cambria" w:cs="Calibri Light"/>
          <w:sz w:val="20"/>
          <w:szCs w:val="20"/>
        </w:rPr>
        <w:t xml:space="preserve"> and family (Colombia)</w:t>
      </w:r>
    </w:p>
    <w:p w14:paraId="6C0932E9" w14:textId="77777777" w:rsidR="007E31E3" w:rsidRPr="00E42B49" w:rsidRDefault="007E31E3" w:rsidP="0009324C">
      <w:pPr>
        <w:numPr>
          <w:ilvl w:val="0"/>
          <w:numId w:val="22"/>
        </w:numPr>
        <w:spacing w:after="0" w:line="240" w:lineRule="auto"/>
        <w:jc w:val="both"/>
        <w:rPr>
          <w:rFonts w:ascii="Cambria" w:hAnsi="Cambria" w:cs="Calibri Light"/>
          <w:sz w:val="20"/>
          <w:szCs w:val="20"/>
          <w:lang w:val="es-US"/>
        </w:rPr>
      </w:pPr>
      <w:proofErr w:type="spellStart"/>
      <w:r w:rsidRPr="00E42B49">
        <w:rPr>
          <w:rFonts w:ascii="Cambria" w:hAnsi="Cambria" w:cs="Calibri Light"/>
          <w:sz w:val="20"/>
          <w:szCs w:val="20"/>
          <w:lang w:val="es-US"/>
        </w:rPr>
        <w:t>Report</w:t>
      </w:r>
      <w:proofErr w:type="spellEnd"/>
      <w:r w:rsidRPr="00E42B49">
        <w:rPr>
          <w:rFonts w:ascii="Cambria" w:hAnsi="Cambria" w:cs="Calibri Light"/>
          <w:sz w:val="20"/>
          <w:szCs w:val="20"/>
          <w:lang w:val="es-US"/>
        </w:rPr>
        <w:t xml:space="preserve"> No. 115/21, Case 13.171, Luis Argemiro Gómez </w:t>
      </w:r>
      <w:proofErr w:type="spellStart"/>
      <w:r w:rsidRPr="00E42B49">
        <w:rPr>
          <w:rFonts w:ascii="Cambria" w:hAnsi="Cambria" w:cs="Calibri Light"/>
          <w:sz w:val="20"/>
          <w:szCs w:val="20"/>
          <w:lang w:val="es-US"/>
        </w:rPr>
        <w:t>Atehortua</w:t>
      </w:r>
      <w:proofErr w:type="spellEnd"/>
      <w:r w:rsidRPr="00E42B49">
        <w:rPr>
          <w:rFonts w:ascii="Cambria" w:hAnsi="Cambria" w:cs="Calibri Light"/>
          <w:sz w:val="20"/>
          <w:szCs w:val="20"/>
          <w:lang w:val="es-US"/>
        </w:rPr>
        <w:t xml:space="preserve"> (Colombia)</w:t>
      </w:r>
    </w:p>
    <w:p w14:paraId="37F3082F" w14:textId="77777777" w:rsidR="007E31E3" w:rsidRPr="00E42B49" w:rsidRDefault="007E31E3" w:rsidP="0009324C">
      <w:pPr>
        <w:numPr>
          <w:ilvl w:val="0"/>
          <w:numId w:val="22"/>
        </w:numPr>
        <w:spacing w:after="0" w:line="240" w:lineRule="auto"/>
        <w:jc w:val="both"/>
        <w:rPr>
          <w:rFonts w:ascii="Cambria" w:hAnsi="Cambria" w:cs="Calibri Light"/>
          <w:sz w:val="20"/>
          <w:szCs w:val="20"/>
          <w:lang w:val="es-US"/>
        </w:rPr>
      </w:pPr>
      <w:proofErr w:type="spellStart"/>
      <w:r w:rsidRPr="00E42B49">
        <w:rPr>
          <w:rFonts w:ascii="Cambria" w:hAnsi="Cambria" w:cs="Calibri Light"/>
          <w:sz w:val="20"/>
          <w:szCs w:val="20"/>
          <w:lang w:val="es-US"/>
        </w:rPr>
        <w:t>Report</w:t>
      </w:r>
      <w:proofErr w:type="spellEnd"/>
      <w:r w:rsidRPr="00E42B49">
        <w:rPr>
          <w:rFonts w:ascii="Cambria" w:hAnsi="Cambria" w:cs="Calibri Light"/>
          <w:sz w:val="20"/>
          <w:szCs w:val="20"/>
          <w:lang w:val="es-US"/>
        </w:rPr>
        <w:t xml:space="preserve"> No. 336/21, Case 13.571, Carlos Mario Muñoz (Colombia) </w:t>
      </w:r>
    </w:p>
    <w:p w14:paraId="018DD084" w14:textId="5169D613" w:rsidR="007E31E3" w:rsidRPr="00524435" w:rsidRDefault="007E31E3" w:rsidP="0009324C">
      <w:pPr>
        <w:numPr>
          <w:ilvl w:val="0"/>
          <w:numId w:val="22"/>
        </w:numPr>
        <w:spacing w:after="0" w:line="240" w:lineRule="auto"/>
        <w:jc w:val="both"/>
        <w:rPr>
          <w:rFonts w:ascii="Cambria" w:hAnsi="Cambria" w:cs="Calibri Light"/>
          <w:sz w:val="20"/>
          <w:szCs w:val="20"/>
        </w:rPr>
      </w:pPr>
      <w:r w:rsidRPr="00524435">
        <w:rPr>
          <w:rFonts w:ascii="Cambria" w:hAnsi="Cambria" w:cs="Calibri Light"/>
          <w:sz w:val="20"/>
          <w:szCs w:val="20"/>
        </w:rPr>
        <w:t xml:space="preserve">Report No. 337/21, Case 13.758, Franklin Bustamante Restrepo </w:t>
      </w:r>
      <w:r w:rsidR="0057284E" w:rsidRPr="00524435">
        <w:rPr>
          <w:rFonts w:ascii="Cambria" w:hAnsi="Cambria" w:cs="Calibri Light"/>
          <w:sz w:val="20"/>
          <w:szCs w:val="20"/>
        </w:rPr>
        <w:t xml:space="preserve">and family </w:t>
      </w:r>
      <w:r w:rsidRPr="00524435">
        <w:rPr>
          <w:rFonts w:ascii="Cambria" w:hAnsi="Cambria" w:cs="Calibri Light"/>
          <w:sz w:val="20"/>
          <w:szCs w:val="20"/>
        </w:rPr>
        <w:t xml:space="preserve">(Colombia) </w:t>
      </w:r>
    </w:p>
    <w:p w14:paraId="3884F879" w14:textId="77777777" w:rsidR="007E31E3" w:rsidRPr="00E42B49" w:rsidRDefault="007E31E3" w:rsidP="0009324C">
      <w:pPr>
        <w:numPr>
          <w:ilvl w:val="0"/>
          <w:numId w:val="22"/>
        </w:numPr>
        <w:spacing w:after="0" w:line="240" w:lineRule="auto"/>
        <w:jc w:val="both"/>
        <w:rPr>
          <w:rFonts w:ascii="Cambria" w:hAnsi="Cambria" w:cs="Calibri Light"/>
          <w:sz w:val="20"/>
          <w:szCs w:val="20"/>
          <w:lang w:val="es-US"/>
        </w:rPr>
      </w:pPr>
      <w:proofErr w:type="spellStart"/>
      <w:r w:rsidRPr="00E42B49">
        <w:rPr>
          <w:rFonts w:ascii="Cambria" w:hAnsi="Cambria" w:cs="Calibri Light"/>
          <w:sz w:val="20"/>
          <w:szCs w:val="20"/>
          <w:lang w:val="es-US"/>
        </w:rPr>
        <w:t>Report</w:t>
      </w:r>
      <w:proofErr w:type="spellEnd"/>
      <w:r w:rsidRPr="00E42B49">
        <w:rPr>
          <w:rFonts w:ascii="Cambria" w:hAnsi="Cambria" w:cs="Calibri Light"/>
          <w:sz w:val="20"/>
          <w:szCs w:val="20"/>
          <w:lang w:val="es-US"/>
        </w:rPr>
        <w:t xml:space="preserve"> No. 114/21, Case 12.737, Carlos Raúl Morales </w:t>
      </w:r>
      <w:proofErr w:type="spellStart"/>
      <w:r w:rsidRPr="00E42B49">
        <w:rPr>
          <w:rFonts w:ascii="Cambria" w:hAnsi="Cambria" w:cs="Calibri Light"/>
          <w:sz w:val="20"/>
          <w:szCs w:val="20"/>
          <w:lang w:val="es-US"/>
        </w:rPr>
        <w:t>Catalan</w:t>
      </w:r>
      <w:proofErr w:type="spellEnd"/>
      <w:r w:rsidRPr="00E42B49">
        <w:rPr>
          <w:rFonts w:ascii="Cambria" w:hAnsi="Cambria" w:cs="Calibri Light"/>
          <w:sz w:val="20"/>
          <w:szCs w:val="20"/>
          <w:lang w:val="es-US"/>
        </w:rPr>
        <w:t xml:space="preserve"> (Guatemala)</w:t>
      </w:r>
    </w:p>
    <w:p w14:paraId="603D0D5A" w14:textId="77777777" w:rsidR="007E31E3" w:rsidRPr="00E42B49" w:rsidRDefault="007E31E3" w:rsidP="0009324C">
      <w:pPr>
        <w:numPr>
          <w:ilvl w:val="0"/>
          <w:numId w:val="22"/>
        </w:numPr>
        <w:spacing w:after="0" w:line="240" w:lineRule="auto"/>
        <w:jc w:val="both"/>
        <w:rPr>
          <w:rFonts w:ascii="Cambria" w:hAnsi="Cambria" w:cs="Calibri Light"/>
          <w:sz w:val="20"/>
          <w:szCs w:val="20"/>
          <w:lang w:val="es-US"/>
        </w:rPr>
      </w:pPr>
      <w:proofErr w:type="spellStart"/>
      <w:r w:rsidRPr="00E42B49">
        <w:rPr>
          <w:rFonts w:ascii="Cambria" w:hAnsi="Cambria" w:cs="Calibri Light"/>
          <w:sz w:val="20"/>
          <w:szCs w:val="20"/>
          <w:lang w:val="es-US"/>
        </w:rPr>
        <w:t>Report</w:t>
      </w:r>
      <w:proofErr w:type="spellEnd"/>
      <w:r w:rsidRPr="00E42B49">
        <w:rPr>
          <w:rFonts w:ascii="Cambria" w:hAnsi="Cambria" w:cs="Calibri Light"/>
          <w:sz w:val="20"/>
          <w:szCs w:val="20"/>
          <w:lang w:val="es-US"/>
        </w:rPr>
        <w:t xml:space="preserve"> No. 40/21, Case 11.562, Dixie Miguel Urbina Rosales (Honduras)</w:t>
      </w:r>
    </w:p>
    <w:p w14:paraId="2136215F" w14:textId="77777777" w:rsidR="007E31E3" w:rsidRPr="00524435" w:rsidRDefault="007E31E3" w:rsidP="0009324C">
      <w:pPr>
        <w:numPr>
          <w:ilvl w:val="0"/>
          <w:numId w:val="22"/>
        </w:numPr>
        <w:spacing w:after="0" w:line="240" w:lineRule="auto"/>
        <w:jc w:val="both"/>
        <w:rPr>
          <w:rFonts w:ascii="Cambria" w:hAnsi="Cambria" w:cs="Calibri Light"/>
          <w:sz w:val="20"/>
          <w:szCs w:val="20"/>
        </w:rPr>
      </w:pPr>
      <w:r w:rsidRPr="00524435">
        <w:rPr>
          <w:rFonts w:ascii="Cambria" w:hAnsi="Cambria" w:cs="Calibri Light"/>
          <w:sz w:val="20"/>
          <w:szCs w:val="20"/>
        </w:rPr>
        <w:t xml:space="preserve">Report No. 269/21, Case 12.960. Ronald Jared Martínez et al. (Honduras) </w:t>
      </w:r>
    </w:p>
    <w:p w14:paraId="34AAEDAA" w14:textId="77777777" w:rsidR="007E31E3" w:rsidRPr="00524435" w:rsidRDefault="007E31E3" w:rsidP="0009324C">
      <w:pPr>
        <w:numPr>
          <w:ilvl w:val="0"/>
          <w:numId w:val="22"/>
        </w:numPr>
        <w:spacing w:after="0" w:line="240" w:lineRule="auto"/>
        <w:jc w:val="both"/>
        <w:rPr>
          <w:rFonts w:ascii="Cambria" w:hAnsi="Cambria" w:cs="Calibri Light"/>
          <w:sz w:val="20"/>
          <w:szCs w:val="20"/>
        </w:rPr>
      </w:pPr>
      <w:r w:rsidRPr="00524435">
        <w:rPr>
          <w:rFonts w:ascii="Cambria" w:hAnsi="Cambria" w:cs="Calibri Light"/>
          <w:sz w:val="20"/>
          <w:szCs w:val="20"/>
        </w:rPr>
        <w:t xml:space="preserve">Report No. 204/21, Case 11.545, Martha María </w:t>
      </w:r>
      <w:proofErr w:type="spellStart"/>
      <w:r w:rsidRPr="00524435">
        <w:rPr>
          <w:rFonts w:ascii="Cambria" w:hAnsi="Cambria" w:cs="Calibri Light"/>
          <w:sz w:val="20"/>
          <w:szCs w:val="20"/>
        </w:rPr>
        <w:t>Saire</w:t>
      </w:r>
      <w:proofErr w:type="spellEnd"/>
      <w:r w:rsidRPr="00524435">
        <w:rPr>
          <w:rFonts w:ascii="Cambria" w:hAnsi="Cambria" w:cs="Calibri Light"/>
          <w:sz w:val="20"/>
          <w:szCs w:val="20"/>
        </w:rPr>
        <w:t xml:space="preserve"> (Honduras)</w:t>
      </w:r>
    </w:p>
    <w:p w14:paraId="1C6C566C" w14:textId="77777777" w:rsidR="007E31E3" w:rsidRPr="00E42B49" w:rsidRDefault="007E31E3" w:rsidP="0009324C">
      <w:pPr>
        <w:numPr>
          <w:ilvl w:val="0"/>
          <w:numId w:val="22"/>
        </w:numPr>
        <w:spacing w:after="0" w:line="240" w:lineRule="auto"/>
        <w:jc w:val="both"/>
        <w:rPr>
          <w:rFonts w:ascii="Cambria" w:hAnsi="Cambria" w:cs="Calibri Light"/>
          <w:sz w:val="20"/>
          <w:szCs w:val="20"/>
          <w:lang w:val="es-US"/>
        </w:rPr>
      </w:pPr>
      <w:proofErr w:type="spellStart"/>
      <w:r w:rsidRPr="00E42B49">
        <w:rPr>
          <w:rFonts w:ascii="Cambria" w:hAnsi="Cambria" w:cs="Calibri Light"/>
          <w:sz w:val="20"/>
          <w:szCs w:val="20"/>
          <w:lang w:val="es-US"/>
        </w:rPr>
        <w:t>Report</w:t>
      </w:r>
      <w:proofErr w:type="spellEnd"/>
      <w:r w:rsidRPr="00E42B49">
        <w:rPr>
          <w:rFonts w:ascii="Cambria" w:hAnsi="Cambria" w:cs="Calibri Light"/>
          <w:sz w:val="20"/>
          <w:szCs w:val="20"/>
          <w:lang w:val="es-US"/>
        </w:rPr>
        <w:t xml:space="preserve"> No. 208/21, Case 12.610, Faustino Jiménez Álvarez (</w:t>
      </w:r>
      <w:proofErr w:type="spellStart"/>
      <w:r w:rsidRPr="00E42B49">
        <w:rPr>
          <w:rFonts w:ascii="Cambria" w:hAnsi="Cambria" w:cs="Calibri Light"/>
          <w:sz w:val="20"/>
          <w:szCs w:val="20"/>
          <w:lang w:val="es-US"/>
        </w:rPr>
        <w:t>Mexico</w:t>
      </w:r>
      <w:proofErr w:type="spellEnd"/>
      <w:r w:rsidRPr="00E42B49">
        <w:rPr>
          <w:rFonts w:ascii="Cambria" w:hAnsi="Cambria" w:cs="Calibri Light"/>
          <w:sz w:val="20"/>
          <w:szCs w:val="20"/>
          <w:lang w:val="es-US"/>
        </w:rPr>
        <w:t>)</w:t>
      </w:r>
    </w:p>
    <w:p w14:paraId="033C218A" w14:textId="77777777" w:rsidR="007E31E3" w:rsidRPr="00524435" w:rsidRDefault="007E31E3" w:rsidP="0009324C">
      <w:pPr>
        <w:numPr>
          <w:ilvl w:val="0"/>
          <w:numId w:val="22"/>
        </w:numPr>
        <w:spacing w:after="0" w:line="240" w:lineRule="auto"/>
        <w:jc w:val="both"/>
        <w:rPr>
          <w:rFonts w:ascii="Cambria" w:hAnsi="Cambria" w:cs="Calibri Light"/>
          <w:sz w:val="20"/>
          <w:szCs w:val="20"/>
        </w:rPr>
      </w:pPr>
      <w:r w:rsidRPr="00524435">
        <w:rPr>
          <w:rFonts w:ascii="Cambria" w:hAnsi="Cambria" w:cs="Calibri Light"/>
          <w:sz w:val="20"/>
          <w:szCs w:val="20"/>
        </w:rPr>
        <w:t>Report No. 206/21, Case 12.330, Marcelino Gómez and one other (Paraguay)</w:t>
      </w:r>
    </w:p>
    <w:p w14:paraId="34DF565E" w14:textId="77777777" w:rsidR="007E31E3" w:rsidRPr="00524435" w:rsidRDefault="007E31E3" w:rsidP="00CF2CA7">
      <w:pPr>
        <w:spacing w:after="0" w:line="240" w:lineRule="auto"/>
        <w:ind w:left="720"/>
        <w:jc w:val="both"/>
        <w:rPr>
          <w:rFonts w:ascii="Cambria" w:hAnsi="Cambria" w:cs="Calibri Light"/>
          <w:sz w:val="20"/>
          <w:szCs w:val="20"/>
        </w:rPr>
      </w:pPr>
    </w:p>
    <w:p w14:paraId="77012692" w14:textId="77777777" w:rsidR="007E31E3" w:rsidRPr="00524435" w:rsidRDefault="007E31E3" w:rsidP="007E31E3">
      <w:pPr>
        <w:pStyle w:val="ListParagraph"/>
        <w:rPr>
          <w:rFonts w:cs="Calibri Light"/>
        </w:rPr>
      </w:pPr>
      <w:r w:rsidRPr="00524435">
        <w:rPr>
          <w:rFonts w:cs="Calibri Light"/>
        </w:rPr>
        <w:t xml:space="preserve">Next is a summary of the factual </w:t>
      </w:r>
      <w:r w:rsidRPr="00524435">
        <w:t>aspects</w:t>
      </w:r>
      <w:r w:rsidRPr="00524435">
        <w:rPr>
          <w:rFonts w:cs="Calibri Light"/>
        </w:rPr>
        <w:t xml:space="preserve"> of those matters and the relevant aspects of these friendly settlement processes: </w:t>
      </w:r>
    </w:p>
    <w:p w14:paraId="43AFF6CA" w14:textId="77777777" w:rsidR="007E31E3" w:rsidRPr="00524435" w:rsidRDefault="007E31E3" w:rsidP="0009324C">
      <w:pPr>
        <w:pStyle w:val="ListParagraph"/>
        <w:numPr>
          <w:ilvl w:val="0"/>
          <w:numId w:val="23"/>
        </w:numPr>
        <w:autoSpaceDE/>
        <w:autoSpaceDN/>
        <w:adjustRightInd/>
        <w:spacing w:after="0"/>
        <w:ind w:left="0" w:firstLine="0"/>
        <w:contextualSpacing/>
        <w:rPr>
          <w:rFonts w:cs="Calibri Light"/>
        </w:rPr>
      </w:pPr>
      <w:r w:rsidRPr="00524435">
        <w:rPr>
          <w:rStyle w:val="Nenhum"/>
          <w:rFonts w:cs="Calibri Light"/>
          <w:b/>
          <w:bCs/>
          <w:i/>
          <w:iCs/>
        </w:rPr>
        <w:t xml:space="preserve">Case 13.595 Amanda Graciela </w:t>
      </w:r>
      <w:proofErr w:type="spellStart"/>
      <w:r w:rsidRPr="00524435">
        <w:rPr>
          <w:rStyle w:val="Nenhum"/>
          <w:rFonts w:cs="Calibri Light"/>
          <w:b/>
          <w:bCs/>
          <w:i/>
          <w:iCs/>
        </w:rPr>
        <w:t>Encaje</w:t>
      </w:r>
      <w:proofErr w:type="spellEnd"/>
      <w:r w:rsidRPr="00524435">
        <w:rPr>
          <w:rStyle w:val="Nenhum"/>
          <w:rFonts w:cs="Calibri Light"/>
          <w:b/>
          <w:bCs/>
          <w:i/>
          <w:iCs/>
        </w:rPr>
        <w:t>, Argentina:</w:t>
      </w:r>
      <w:r w:rsidRPr="00524435">
        <w:rPr>
          <w:rStyle w:val="Nenhum"/>
          <w:rFonts w:cs="Calibri Light"/>
        </w:rPr>
        <w:t xml:space="preserve"> the case is related to the assassination of Amanda Graciela </w:t>
      </w:r>
      <w:proofErr w:type="spellStart"/>
      <w:r w:rsidRPr="00524435">
        <w:rPr>
          <w:rStyle w:val="Nenhum"/>
          <w:rFonts w:cs="Calibri Light"/>
        </w:rPr>
        <w:t>Encaje</w:t>
      </w:r>
      <w:proofErr w:type="spellEnd"/>
      <w:r w:rsidRPr="00524435">
        <w:rPr>
          <w:rStyle w:val="Nenhum"/>
          <w:rFonts w:cs="Calibri Light"/>
        </w:rPr>
        <w:t xml:space="preserve">, on April </w:t>
      </w:r>
      <w:r w:rsidRPr="00524435">
        <w:rPr>
          <w:rFonts w:cs="Calibri Light"/>
        </w:rPr>
        <w:t xml:space="preserve">8, 1992, in the vicinity of the company where she worked, without an effective judicial investigation to identify and punish the persons responsible. On July 12, 2021, the parties signed a friendly settlement agreement in which the Argentine State recognized its international responsibility for the violations of the human rights of Amanda Graciela </w:t>
      </w:r>
      <w:proofErr w:type="spellStart"/>
      <w:r w:rsidRPr="00524435">
        <w:rPr>
          <w:rFonts w:cs="Calibri Light"/>
        </w:rPr>
        <w:t>Encaje</w:t>
      </w:r>
      <w:proofErr w:type="spellEnd"/>
      <w:r w:rsidRPr="00524435">
        <w:rPr>
          <w:rFonts w:cs="Calibri Light"/>
        </w:rPr>
        <w:t xml:space="preserve"> indicated therein; and in which specific measures were </w:t>
      </w:r>
      <w:r w:rsidRPr="00524435">
        <w:rPr>
          <w:rFonts w:cs="Calibri Light"/>
        </w:rPr>
        <w:lastRenderedPageBreak/>
        <w:t xml:space="preserve">established to guarantee reparation for the harm caused to the victim’s family members. Among the measures agreed upon in the context of this friendly settlement agreement are the commissioning of a sculpture as a tribute to the victims and their family members; an analysis of the viability of reopening the criminal case into the homicides of Amanda </w:t>
      </w:r>
      <w:proofErr w:type="spellStart"/>
      <w:r w:rsidRPr="00524435">
        <w:rPr>
          <w:rFonts w:cs="Calibri Light"/>
        </w:rPr>
        <w:t>Encaje</w:t>
      </w:r>
      <w:proofErr w:type="spellEnd"/>
      <w:r w:rsidRPr="00524435">
        <w:rPr>
          <w:rFonts w:cs="Calibri Light"/>
        </w:rPr>
        <w:t xml:space="preserve"> and Nestor Vivo; establishing the position of Official Defender of Victims, dedicated exclusively to working with crime victims; establishment of the Observatory of Crime Victims; the adoption of protocols to preserve the crime scene and to guarantee the chain of custody of evidence and personal effects sequestered so as to optimize and expedite the investigation into complex criminal cases; implementing the Provincial Genetic Bank (</w:t>
      </w:r>
      <w:r w:rsidRPr="00524435">
        <w:rPr>
          <w:rFonts w:cs="Calibri Light"/>
          <w:i/>
          <w:iCs/>
        </w:rPr>
        <w:t xml:space="preserve">Banco </w:t>
      </w:r>
      <w:proofErr w:type="spellStart"/>
      <w:r w:rsidRPr="00524435">
        <w:rPr>
          <w:rFonts w:cs="Calibri Light"/>
          <w:i/>
          <w:iCs/>
        </w:rPr>
        <w:t>Genético</w:t>
      </w:r>
      <w:proofErr w:type="spellEnd"/>
      <w:r w:rsidRPr="00524435">
        <w:rPr>
          <w:rFonts w:cs="Calibri Light"/>
          <w:i/>
          <w:iCs/>
        </w:rPr>
        <w:t xml:space="preserve"> Provincial</w:t>
      </w:r>
      <w:r w:rsidRPr="00524435">
        <w:rPr>
          <w:rFonts w:cs="Calibri Light"/>
        </w:rPr>
        <w:t xml:space="preserve">); and measures for disseminating the friendly settlement agreement. In its Report No. </w:t>
      </w:r>
      <w:hyperlink r:id="rId20" w:history="1">
        <w:r w:rsidRPr="00524435">
          <w:rPr>
            <w:rStyle w:val="Hyperlink"/>
            <w:rFonts w:cs="Calibri Light"/>
          </w:rPr>
          <w:t>207/21</w:t>
        </w:r>
      </w:hyperlink>
      <w:r w:rsidRPr="00524435">
        <w:rPr>
          <w:rFonts w:cs="Calibri Light"/>
        </w:rPr>
        <w:t xml:space="preserve">, the Commission valued the recognition of international responsibility by the Argentine State for the violations caused, and indicated that all of the measures agreed upon are still pending compliance given the joint decision of the parties to defer their implementation after the issuance of the report approving the agreement. </w:t>
      </w:r>
    </w:p>
    <w:p w14:paraId="509B81A5" w14:textId="77777777" w:rsidR="007E31E3" w:rsidRPr="00524435" w:rsidRDefault="007E31E3" w:rsidP="00705B89">
      <w:pPr>
        <w:pStyle w:val="NoSpacing"/>
        <w:rPr>
          <w:rFonts w:ascii="Cambria" w:hAnsi="Cambria"/>
        </w:rPr>
      </w:pPr>
    </w:p>
    <w:p w14:paraId="78C974C0" w14:textId="77777777" w:rsidR="007E31E3" w:rsidRPr="00524435" w:rsidRDefault="007E31E3" w:rsidP="0009324C">
      <w:pPr>
        <w:pStyle w:val="ListParagraph"/>
        <w:numPr>
          <w:ilvl w:val="0"/>
          <w:numId w:val="23"/>
        </w:numPr>
        <w:autoSpaceDE/>
        <w:autoSpaceDN/>
        <w:adjustRightInd/>
        <w:spacing w:after="0"/>
        <w:ind w:left="0" w:firstLine="0"/>
        <w:contextualSpacing/>
        <w:rPr>
          <w:rFonts w:eastAsia="MS Mincho" w:cs="Calibri Light"/>
        </w:rPr>
      </w:pPr>
      <w:r w:rsidRPr="00524435">
        <w:rPr>
          <w:rStyle w:val="Nenhum"/>
          <w:rFonts w:cs="Calibri Light"/>
          <w:b/>
          <w:bCs/>
          <w:i/>
          <w:iCs/>
        </w:rPr>
        <w:t xml:space="preserve">Case 12.277, Fazenda </w:t>
      </w:r>
      <w:proofErr w:type="spellStart"/>
      <w:r w:rsidRPr="00524435">
        <w:rPr>
          <w:rStyle w:val="Nenhum"/>
          <w:rFonts w:cs="Calibri Light"/>
          <w:b/>
          <w:bCs/>
          <w:i/>
          <w:iCs/>
        </w:rPr>
        <w:t>Ubá</w:t>
      </w:r>
      <w:proofErr w:type="spellEnd"/>
      <w:r w:rsidRPr="00524435">
        <w:rPr>
          <w:rStyle w:val="Nenhum"/>
          <w:rFonts w:cs="Calibri Light"/>
          <w:b/>
          <w:bCs/>
          <w:i/>
          <w:iCs/>
        </w:rPr>
        <w:t>, Brazil:</w:t>
      </w:r>
      <w:r w:rsidRPr="00524435">
        <w:rPr>
          <w:rStyle w:val="Nenhum"/>
          <w:rFonts w:cs="Calibri Light"/>
        </w:rPr>
        <w:t xml:space="preserve"> the case is related to the international responsibility of the Federative Republic of Brazil for violation of the human rights to life, judicial guarantees, and judicial protection, all protected by the American Convention on Human Rights</w:t>
      </w:r>
      <w:r w:rsidRPr="00524435">
        <w:rPr>
          <w:rFonts w:cs="Calibri Light"/>
          <w:bdr w:val="none" w:sz="0" w:space="0" w:color="auto" w:frame="1"/>
          <w:lang w:eastAsia="es-ES"/>
        </w:rPr>
        <w:t xml:space="preserve">, to the detriment of rural workers, one of them a pregnant woman, who were allegedly assassinated in the area of the </w:t>
      </w:r>
      <w:proofErr w:type="spellStart"/>
      <w:r w:rsidRPr="00524435">
        <w:rPr>
          <w:rFonts w:cs="Calibri Light"/>
          <w:bdr w:val="none" w:sz="0" w:space="0" w:color="auto" w:frame="1"/>
          <w:lang w:eastAsia="es-ES"/>
        </w:rPr>
        <w:t>Ubá</w:t>
      </w:r>
      <w:proofErr w:type="spellEnd"/>
      <w:r w:rsidRPr="00524435">
        <w:rPr>
          <w:rFonts w:cs="Calibri Light"/>
          <w:bdr w:val="none" w:sz="0" w:space="0" w:color="auto" w:frame="1"/>
          <w:lang w:eastAsia="es-ES"/>
        </w:rPr>
        <w:t xml:space="preserve"> estate, municipality of São João de Araguaia, state of Pará, by a group of armed men during a rural eviction on June 13, 1985. On July </w:t>
      </w:r>
      <w:r w:rsidRPr="00524435">
        <w:rPr>
          <w:rFonts w:cs="Calibri Light"/>
        </w:rPr>
        <w:t xml:space="preserve">19, 2010, the parties signed a friendly settlement agreement in which the Brazilian State recognized its international responsibility for violating the rights to life, judicial protection, and judicial guarantees to the detriment of rural workers João Evangelista </w:t>
      </w:r>
      <w:proofErr w:type="spellStart"/>
      <w:r w:rsidRPr="00524435">
        <w:rPr>
          <w:rFonts w:cs="Calibri Light"/>
        </w:rPr>
        <w:t>Vilarins</w:t>
      </w:r>
      <w:proofErr w:type="spellEnd"/>
      <w:r w:rsidRPr="00524435">
        <w:rPr>
          <w:rFonts w:cs="Calibri Light"/>
        </w:rPr>
        <w:t xml:space="preserve">, Francisco Ferreira Alves, </w:t>
      </w:r>
      <w:proofErr w:type="spellStart"/>
      <w:r w:rsidRPr="00524435">
        <w:rPr>
          <w:rFonts w:cs="Calibri Light"/>
        </w:rPr>
        <w:t>Januário</w:t>
      </w:r>
      <w:proofErr w:type="spellEnd"/>
      <w:r w:rsidRPr="00524435">
        <w:rPr>
          <w:rFonts w:cs="Calibri Light"/>
        </w:rPr>
        <w:t xml:space="preserve"> Ferreira Lima, Luis Carlos Pereira de Souza, Francisca de Tal, José Pereira da Silva, Valdemar Alves de Almeida, and Nelson Ribeiro; and in which specific measures were established to guarantee reparation for those victims’ family members for the material and moral damages suffered. Among the measures agreed upon in the context of this friendly settlement, special mention should be made of the payment of economic reparation, public recognition of responsibility, and apologies in a public ceremony; judicial measures to prosecute the persons involved in the facts; a civil action for compensation against the perpetrators of the crimes, brought by the state public defender’s office; a monument in memory of the facts and the victims; the effective inclusion of the victims’ family members in social service and educational programs and projects; access for the victims’ family members to rural settlements; and the adoption of measures of non-repetition, among other measures. As regards the degree of compliance with the agreement, in its Report No. </w:t>
      </w:r>
      <w:hyperlink r:id="rId21" w:history="1">
        <w:r w:rsidRPr="00524435">
          <w:rPr>
            <w:rStyle w:val="Hyperlink"/>
            <w:rFonts w:eastAsia="MS Mincho" w:cs="Calibri Light"/>
          </w:rPr>
          <w:t>136/21</w:t>
        </w:r>
      </w:hyperlink>
      <w:r w:rsidRPr="00524435">
        <w:rPr>
          <w:rFonts w:eastAsia="MS Mincho" w:cs="Calibri Light"/>
        </w:rPr>
        <w:t xml:space="preserve"> the Commission assessed progress in relation to each of the clauses and decided to declare the total compliance of clauses 5 (act of recognition of international responsibility), 6 (publication of the friendly settlement agreement), 11 (compensation), 12 (waiver of the statute of limitations), 16 (bill for compensation), 20 (agrarian legal aid offices) and 21 (incentive for work of the state commission on land conflicts). In addition, the Commission decided to find partial substantial compliance with clauses 13 (lifetime statutory pension) and 17 (inclusion in state programs and projects) while finding partial compliance with clauses 8 and 9 (criminal and civil prosecution), 18 (access to rural settlements), 22 (trainings), and 23 (monitoring mechanism). Finally, the Commission found that clauses 10 (monument) and 19 (construction of an information center) were still pending compliance. </w:t>
      </w:r>
    </w:p>
    <w:p w14:paraId="6390D379" w14:textId="77777777" w:rsidR="007E31E3" w:rsidRPr="00524435" w:rsidRDefault="007E31E3" w:rsidP="00705B89">
      <w:pPr>
        <w:pStyle w:val="NoSpacing"/>
        <w:rPr>
          <w:rFonts w:ascii="Cambria" w:hAnsi="Cambria"/>
        </w:rPr>
      </w:pPr>
    </w:p>
    <w:p w14:paraId="460DAE2F" w14:textId="77777777" w:rsidR="007E31E3" w:rsidRPr="00524435" w:rsidRDefault="007E31E3" w:rsidP="0009324C">
      <w:pPr>
        <w:pStyle w:val="ListParagraph"/>
        <w:numPr>
          <w:ilvl w:val="0"/>
          <w:numId w:val="23"/>
        </w:numPr>
        <w:autoSpaceDE/>
        <w:autoSpaceDN/>
        <w:adjustRightInd/>
        <w:spacing w:after="0"/>
        <w:ind w:left="0" w:firstLine="0"/>
        <w:contextualSpacing/>
        <w:rPr>
          <w:rStyle w:val="Nenhum"/>
          <w:rFonts w:eastAsia="MS Mincho" w:cs="Calibri Light"/>
        </w:rPr>
      </w:pPr>
      <w:r w:rsidRPr="00524435">
        <w:rPr>
          <w:rStyle w:val="Nenhum"/>
          <w:rFonts w:cs="Calibri Light"/>
          <w:b/>
          <w:bCs/>
          <w:i/>
          <w:iCs/>
        </w:rPr>
        <w:t>Case 13.642 Edgar José Sánchez Duarte and family, Colombia</w:t>
      </w:r>
      <w:r w:rsidRPr="00524435">
        <w:rPr>
          <w:rStyle w:val="Nenhum"/>
          <w:rFonts w:cs="Calibri Light"/>
        </w:rPr>
        <w:t>: on March 20, 2021, the Commission approved the friendly settlement agreement in this case, which is related to the international responsibility of the Colombian State for the extrajudicial execution of Mr. Edgar Sánchez Duarte by members of now disbanded Anti-kidnapping and Extortion Unit [</w:t>
      </w:r>
      <w:r w:rsidRPr="00524435">
        <w:rPr>
          <w:rStyle w:val="Nenhum"/>
          <w:rFonts w:cs="Calibri Light"/>
          <w:i/>
          <w:iCs/>
        </w:rPr>
        <w:t xml:space="preserve">Unidad </w:t>
      </w:r>
      <w:proofErr w:type="spellStart"/>
      <w:r w:rsidRPr="00524435">
        <w:rPr>
          <w:rStyle w:val="Nenhum"/>
          <w:rFonts w:cs="Calibri Light"/>
          <w:i/>
          <w:iCs/>
        </w:rPr>
        <w:t>Antisecuestro</w:t>
      </w:r>
      <w:proofErr w:type="spellEnd"/>
      <w:r w:rsidRPr="00524435">
        <w:rPr>
          <w:rStyle w:val="Nenhum"/>
          <w:rFonts w:cs="Calibri Light"/>
          <w:i/>
          <w:iCs/>
        </w:rPr>
        <w:t xml:space="preserve"> y </w:t>
      </w:r>
      <w:proofErr w:type="spellStart"/>
      <w:r w:rsidRPr="00524435">
        <w:rPr>
          <w:rStyle w:val="Nenhum"/>
          <w:rFonts w:cs="Calibri Light"/>
          <w:i/>
          <w:iCs/>
        </w:rPr>
        <w:t>Extorsión</w:t>
      </w:r>
      <w:proofErr w:type="spellEnd"/>
      <w:r w:rsidRPr="00524435">
        <w:rPr>
          <w:rStyle w:val="Nenhum"/>
          <w:rFonts w:cs="Calibri Light"/>
          <w:i/>
          <w:iCs/>
        </w:rPr>
        <w:t xml:space="preserve"> -UNASE- in Spanish</w:t>
      </w:r>
      <w:r w:rsidRPr="00524435">
        <w:rPr>
          <w:rStyle w:val="Nenhum"/>
          <w:rFonts w:cs="Calibri Light"/>
        </w:rPr>
        <w:t xml:space="preserve">] in the city of Valledupar, Cesar, as well as for the failure to investigate and punish the persons responsible for the facts. The petitioners alleged the purported violation of the right to life, humane treatment, and personal liberty, as well as the lack of judicial guarantees, judicial protection, and equality before the law. On July 14, 2020, the parties signed a friendly settlement agreement in which the Colombian State recognized its international responsibility for the human rights violations committed to the detriment of Edgar Sánchez Duarte, in the terms agreed upon by the parties. In addition, the State undertook to hold a public ceremony for reparation and public apologies, to provide medical and psychosocial care to the family members of Mr. Edgar Sánchez Duarte, to grant economic assistance to Edgar José Sánchez Fuentes, the victim’s son, for the purpose of financing an academic </w:t>
      </w:r>
      <w:r w:rsidRPr="00524435">
        <w:rPr>
          <w:rStyle w:val="Nenhum"/>
          <w:rFonts w:cs="Calibri Light"/>
        </w:rPr>
        <w:lastRenderedPageBreak/>
        <w:t xml:space="preserve">program for technical-professional, technological, university or graduate-level studies and to pay a monetary reparation through the mechanism established in Law 288 of 1996. In this regard, the Commission, in its Friendly Settlement Report No. </w:t>
      </w:r>
      <w:hyperlink r:id="rId22" w:history="1">
        <w:r w:rsidRPr="00524435">
          <w:rPr>
            <w:rStyle w:val="Hyperlink"/>
            <w:rFonts w:cs="Calibri Light"/>
          </w:rPr>
          <w:t>41/2021</w:t>
        </w:r>
      </w:hyperlink>
      <w:r w:rsidRPr="00524435">
        <w:rPr>
          <w:rStyle w:val="Nenhum"/>
          <w:rFonts w:cs="Calibri Light"/>
        </w:rPr>
        <w:t xml:space="preserve">, found total compliance with the commitments related to the act of redress and its dissemination on the website of the National Agency of Legal Defense, as well as in various social networks and media outlets. At the same time, the Commission considered that the measures related to medical and psychosocial care had not begun to be implemented and that the monetary compensation should be implemented after the issuance of the report approving the friendly settlement. Accordingly, it declared that these measures were still pending implementation. The friendly settlement agreement was approved, noting that there has been partial compliance. </w:t>
      </w:r>
    </w:p>
    <w:p w14:paraId="15E02A20" w14:textId="77777777" w:rsidR="007E31E3" w:rsidRPr="00524435" w:rsidRDefault="007E31E3" w:rsidP="00705B89">
      <w:pPr>
        <w:pStyle w:val="NoSpacing"/>
        <w:rPr>
          <w:rStyle w:val="Nenhum"/>
          <w:rFonts w:ascii="Cambria" w:hAnsi="Cambria" w:cs="Calibri Light"/>
          <w:sz w:val="20"/>
          <w:szCs w:val="20"/>
        </w:rPr>
      </w:pPr>
    </w:p>
    <w:p w14:paraId="53BCDA6D" w14:textId="77777777" w:rsidR="007E31E3" w:rsidRPr="00524435" w:rsidRDefault="007E31E3" w:rsidP="0009324C">
      <w:pPr>
        <w:pStyle w:val="ListParagraph"/>
        <w:numPr>
          <w:ilvl w:val="0"/>
          <w:numId w:val="23"/>
        </w:numPr>
        <w:autoSpaceDE/>
        <w:autoSpaceDN/>
        <w:adjustRightInd/>
        <w:spacing w:after="0"/>
        <w:ind w:left="0" w:firstLine="0"/>
        <w:contextualSpacing/>
        <w:rPr>
          <w:rFonts w:eastAsia="MS Mincho" w:cs="Calibri Light"/>
        </w:rPr>
      </w:pPr>
      <w:r w:rsidRPr="00524435">
        <w:rPr>
          <w:rStyle w:val="Nenhum"/>
          <w:rFonts w:cs="Calibri Light"/>
          <w:b/>
          <w:bCs/>
          <w:i/>
          <w:iCs/>
        </w:rPr>
        <w:t xml:space="preserve">Case 13.171, Luis </w:t>
      </w:r>
      <w:proofErr w:type="spellStart"/>
      <w:r w:rsidRPr="00524435">
        <w:rPr>
          <w:rStyle w:val="Nenhum"/>
          <w:rFonts w:cs="Calibri Light"/>
          <w:b/>
          <w:bCs/>
          <w:i/>
          <w:iCs/>
        </w:rPr>
        <w:t>Argemiro</w:t>
      </w:r>
      <w:proofErr w:type="spellEnd"/>
      <w:r w:rsidRPr="00524435">
        <w:rPr>
          <w:rStyle w:val="Nenhum"/>
          <w:rFonts w:cs="Calibri Light"/>
          <w:b/>
          <w:bCs/>
          <w:i/>
          <w:iCs/>
        </w:rPr>
        <w:t xml:space="preserve"> Gómez, Colombia: </w:t>
      </w:r>
      <w:r w:rsidRPr="00524435">
        <w:rPr>
          <w:rStyle w:val="Nenhum"/>
          <w:rFonts w:cs="Calibri Light"/>
        </w:rPr>
        <w:t xml:space="preserve">the case is related to the international responsibility of the Colombian State for violation of the right to life of Mr. </w:t>
      </w:r>
      <w:r w:rsidRPr="00524435">
        <w:rPr>
          <w:rFonts w:cs="Calibri Light"/>
        </w:rPr>
        <w:t xml:space="preserve">Luis </w:t>
      </w:r>
      <w:proofErr w:type="spellStart"/>
      <w:r w:rsidRPr="00524435">
        <w:rPr>
          <w:rFonts w:cs="Calibri Light"/>
        </w:rPr>
        <w:t>Argemiro</w:t>
      </w:r>
      <w:proofErr w:type="spellEnd"/>
      <w:r w:rsidRPr="00524435">
        <w:rPr>
          <w:rFonts w:cs="Calibri Light"/>
        </w:rPr>
        <w:t xml:space="preserve"> Gómez </w:t>
      </w:r>
      <w:proofErr w:type="spellStart"/>
      <w:r w:rsidRPr="00524435">
        <w:rPr>
          <w:rFonts w:cs="Calibri Light"/>
        </w:rPr>
        <w:t>Atehortua</w:t>
      </w:r>
      <w:proofErr w:type="spellEnd"/>
      <w:r w:rsidRPr="00524435">
        <w:rPr>
          <w:rFonts w:cs="Calibri Light"/>
        </w:rPr>
        <w:t xml:space="preserve"> </w:t>
      </w:r>
      <w:proofErr w:type="gramStart"/>
      <w:r w:rsidRPr="00524435">
        <w:rPr>
          <w:rFonts w:cs="Calibri Light"/>
        </w:rPr>
        <w:t>as a consequence of</w:t>
      </w:r>
      <w:proofErr w:type="gramEnd"/>
      <w:r w:rsidRPr="00524435">
        <w:rPr>
          <w:rFonts w:cs="Calibri Light"/>
        </w:rPr>
        <w:t xml:space="preserve"> the lack of diligence of state officials at a detention center of the National Police in Medellín, in their surveillance duties, which resulted in the death of the victim while in custody. On June 9, 2020, the parties signed a memorandum of understanding to seek a friendly settlement, which was materialized with the signing of an agreement on December 2, 2020, in which the Colombian State recognized its international responsibility for omission in its duty to guarantee the right to life recognized in the American Convention on Human Rights, to the detriment of Mr. Luis </w:t>
      </w:r>
      <w:proofErr w:type="spellStart"/>
      <w:r w:rsidRPr="00524435">
        <w:rPr>
          <w:rFonts w:cs="Calibri Light"/>
        </w:rPr>
        <w:t>Argemiro</w:t>
      </w:r>
      <w:proofErr w:type="spellEnd"/>
      <w:r w:rsidRPr="00524435">
        <w:rPr>
          <w:rFonts w:cs="Calibri Light"/>
        </w:rPr>
        <w:t xml:space="preserve"> Gómez </w:t>
      </w:r>
      <w:proofErr w:type="spellStart"/>
      <w:r w:rsidRPr="00524435">
        <w:rPr>
          <w:rFonts w:cs="Calibri Light"/>
        </w:rPr>
        <w:t>Atehortua</w:t>
      </w:r>
      <w:proofErr w:type="spellEnd"/>
      <w:r w:rsidRPr="00524435">
        <w:rPr>
          <w:rFonts w:cs="Calibri Light"/>
        </w:rPr>
        <w:t>. Similarly, the State undertook to hold a public ceremony for reparation and public apologies, and to publish the friendly settlement report at the official websites of the Ministry of Defense and of the National Police; provide training geared to the police corps involved in the case; study the possibility of filing an action for review (</w:t>
      </w:r>
      <w:proofErr w:type="spellStart"/>
      <w:r w:rsidRPr="00524435">
        <w:rPr>
          <w:rFonts w:cs="Calibri Light"/>
          <w:i/>
          <w:iCs/>
        </w:rPr>
        <w:t>acción</w:t>
      </w:r>
      <w:proofErr w:type="spellEnd"/>
      <w:r w:rsidRPr="00524435">
        <w:rPr>
          <w:rFonts w:cs="Calibri Light"/>
          <w:i/>
          <w:iCs/>
        </w:rPr>
        <w:t xml:space="preserve"> de </w:t>
      </w:r>
      <w:proofErr w:type="spellStart"/>
      <w:r w:rsidRPr="00524435">
        <w:rPr>
          <w:rFonts w:cs="Calibri Light"/>
          <w:i/>
          <w:iCs/>
        </w:rPr>
        <w:t>revisión</w:t>
      </w:r>
      <w:proofErr w:type="spellEnd"/>
      <w:r w:rsidRPr="00524435">
        <w:rPr>
          <w:rFonts w:cs="Calibri Light"/>
        </w:rPr>
        <w:t xml:space="preserve">) of the process for the facts that surrounded the death of Mr. Gómez </w:t>
      </w:r>
      <w:proofErr w:type="spellStart"/>
      <w:r w:rsidRPr="00524435">
        <w:rPr>
          <w:rFonts w:cs="Calibri Light"/>
        </w:rPr>
        <w:t>Atehortua</w:t>
      </w:r>
      <w:proofErr w:type="spellEnd"/>
      <w:r w:rsidRPr="00524435">
        <w:rPr>
          <w:rFonts w:cs="Calibri Light"/>
        </w:rPr>
        <w:t xml:space="preserve">, and to pay a monetary reparation through the mechanism established in Law 288 of 1996. In this respect, the IACHR in its Friendly Settlement Report No. </w:t>
      </w:r>
      <w:hyperlink r:id="rId23" w:history="1">
        <w:r w:rsidRPr="00524435">
          <w:rPr>
            <w:rStyle w:val="Hyperlink"/>
            <w:rFonts w:cs="Calibri Light"/>
          </w:rPr>
          <w:t>115/2021</w:t>
        </w:r>
      </w:hyperlink>
      <w:r w:rsidRPr="00524435">
        <w:rPr>
          <w:rFonts w:cs="Calibri Light"/>
        </w:rPr>
        <w:t xml:space="preserve"> found total compliance with the commitments related to the act of redress and apologies and its dissemination at the website of the National Agency for Legal Defense, and in several social networks and media outlets. The Commission also recognized total compliance with the commitment to evaluate the viability of an action for review with respect to the process, for the facts that surrounded the death of Mr. Gómez </w:t>
      </w:r>
      <w:proofErr w:type="spellStart"/>
      <w:r w:rsidRPr="00524435">
        <w:rPr>
          <w:rFonts w:cs="Calibri Light"/>
        </w:rPr>
        <w:t>Atehortua</w:t>
      </w:r>
      <w:proofErr w:type="spellEnd"/>
      <w:r w:rsidRPr="00524435">
        <w:rPr>
          <w:rFonts w:cs="Calibri Light"/>
        </w:rPr>
        <w:t xml:space="preserve">. The Commission also considered that the measures related to the publication of the report at the websites of the Ministry of Defense and the National Police, trainings, and monetary compensation should be implemented after the issuance of the report approving the friendly settlement. Accordingly, it found that these measures were pending compliance. </w:t>
      </w:r>
    </w:p>
    <w:p w14:paraId="0F146869" w14:textId="77777777" w:rsidR="007E31E3" w:rsidRPr="00524435" w:rsidRDefault="007E31E3" w:rsidP="00705B89">
      <w:pPr>
        <w:pStyle w:val="NoSpacing"/>
        <w:rPr>
          <w:rStyle w:val="Nenhum"/>
          <w:rFonts w:ascii="Cambria" w:hAnsi="Cambria" w:cs="Calibri Light"/>
          <w:sz w:val="20"/>
          <w:szCs w:val="20"/>
        </w:rPr>
      </w:pPr>
    </w:p>
    <w:p w14:paraId="1CF62B56" w14:textId="77777777" w:rsidR="007E31E3" w:rsidRPr="00524435" w:rsidRDefault="007E31E3" w:rsidP="0009324C">
      <w:pPr>
        <w:pStyle w:val="ListParagraph"/>
        <w:numPr>
          <w:ilvl w:val="0"/>
          <w:numId w:val="23"/>
        </w:numPr>
        <w:autoSpaceDE/>
        <w:autoSpaceDN/>
        <w:adjustRightInd/>
        <w:spacing w:after="0"/>
        <w:ind w:left="0"/>
        <w:contextualSpacing/>
        <w:rPr>
          <w:rStyle w:val="Nenhum"/>
          <w:rFonts w:cs="Calibri Light"/>
        </w:rPr>
      </w:pPr>
      <w:r w:rsidRPr="00524435">
        <w:rPr>
          <w:rStyle w:val="Nenhum"/>
          <w:rFonts w:cs="Calibri Light"/>
          <w:b/>
          <w:bCs/>
          <w:i/>
          <w:iCs/>
        </w:rPr>
        <w:t xml:space="preserve">Case 13.571, Carlos Mario Muñoz, Colombia: </w:t>
      </w:r>
      <w:r w:rsidRPr="00524435">
        <w:rPr>
          <w:rStyle w:val="Nenhum"/>
          <w:rFonts w:cs="Calibri Light"/>
        </w:rPr>
        <w:t>the case is related to the international responsibility of the Colombian State for the violations enshrined in articles 4 (life), 5 (humane treatment), 7 (personal liberty), 8 (judicial guarantees), 11 (protection of honor and dignity), and 25 (judicial protection) of the American Convention on Human Rights, stemming from the detention, disappearance, and subsequent extrajudicial execution of Mr. Carlos Mario Muñoz Gómez by members of the National Police, as well as for the failure to conduct speedy investigations into these facts and the failure to make full reparation to his family members. In the friendly settlement agreement signed on March 4, 2021, the State recognized its responsibility for what happened and undertook to hold a public ceremony (virtually) to recognize its responsibility, as well as to publish the report approving the friendly settlement, issued by the IACHR, and to grant an economic compensation in the context of the mechanism established in Law 288 of 1996. In addition, as a measure of non-repetition, the State undertook to include the case in the trainings held at the Ministry of Defense in the context of Permanent Directive No. 11 of 2019, related to the “</w:t>
      </w:r>
      <w:r w:rsidRPr="00524435">
        <w:rPr>
          <w:rStyle w:val="Nenhum"/>
          <w:rFonts w:cs="Calibri Light"/>
          <w:i/>
          <w:iCs/>
        </w:rPr>
        <w:t>Guidelines for strengthening the annual plans for extracurricular training for the Military Forces and National Police in Human Rights and International Humanitarian Law</w:t>
      </w:r>
      <w:r w:rsidRPr="00524435">
        <w:rPr>
          <w:rStyle w:val="Nenhum"/>
          <w:rFonts w:cs="Calibri Light"/>
        </w:rPr>
        <w:t>.” In its Report No.</w:t>
      </w:r>
      <w:r w:rsidRPr="00524435">
        <w:rPr>
          <w:rStyle w:val="Nenhum"/>
          <w:rFonts w:cs="Calibri Light"/>
          <w:b/>
          <w:bCs/>
          <w:color w:val="FF0000"/>
        </w:rPr>
        <w:t xml:space="preserve"> </w:t>
      </w:r>
      <w:hyperlink r:id="rId24" w:history="1">
        <w:r w:rsidRPr="00524435">
          <w:rPr>
            <w:rStyle w:val="Hyperlink"/>
            <w:rFonts w:cs="Calibri Light"/>
          </w:rPr>
          <w:t>336/21</w:t>
        </w:r>
      </w:hyperlink>
      <w:r w:rsidRPr="00524435">
        <w:rPr>
          <w:rStyle w:val="Nenhum"/>
          <w:rFonts w:cs="Calibri Light"/>
        </w:rPr>
        <w:t>, the Commission found total compliance with the measure of the act of redress, while the rest of the obligations in the agreement persist and require monitoring of their implementation. Accordingly, it was approved with partial compliance.</w:t>
      </w:r>
    </w:p>
    <w:p w14:paraId="2AE935A5" w14:textId="77777777" w:rsidR="007E31E3" w:rsidRPr="00524435" w:rsidRDefault="007E31E3" w:rsidP="00705B89">
      <w:pPr>
        <w:pStyle w:val="NoSpacing"/>
        <w:rPr>
          <w:rStyle w:val="Nenhum"/>
          <w:rFonts w:ascii="Cambria" w:hAnsi="Cambria" w:cs="Calibri Light"/>
          <w:sz w:val="20"/>
          <w:szCs w:val="20"/>
        </w:rPr>
      </w:pPr>
    </w:p>
    <w:p w14:paraId="4FBBC5A5" w14:textId="77777777" w:rsidR="007E31E3" w:rsidRPr="00524435" w:rsidRDefault="007E31E3" w:rsidP="0009324C">
      <w:pPr>
        <w:pStyle w:val="ListParagraph"/>
        <w:numPr>
          <w:ilvl w:val="0"/>
          <w:numId w:val="23"/>
        </w:numPr>
        <w:autoSpaceDE/>
        <w:autoSpaceDN/>
        <w:adjustRightInd/>
        <w:spacing w:after="0"/>
        <w:ind w:left="0" w:firstLine="0"/>
        <w:contextualSpacing/>
        <w:rPr>
          <w:rStyle w:val="Nenhum"/>
          <w:rFonts w:cs="Calibri Light"/>
        </w:rPr>
      </w:pPr>
      <w:r w:rsidRPr="00524435">
        <w:rPr>
          <w:rStyle w:val="Nenhum"/>
          <w:rFonts w:cs="Calibri Light"/>
          <w:b/>
          <w:bCs/>
          <w:i/>
          <w:iCs/>
        </w:rPr>
        <w:t>Case 13.758, Franklin Bustamante Restrepo, Colombia:</w:t>
      </w:r>
      <w:r w:rsidRPr="00524435">
        <w:rPr>
          <w:rStyle w:val="Nenhum"/>
          <w:rFonts w:cs="Calibri Light"/>
        </w:rPr>
        <w:t xml:space="preserve"> the case is related to the international responsibility of the Colombian State for the violation of the rights enshrined in articles 4 (life), 5 (humane treatment), 8 (judicial guarantees), 11 (protection of honor and dignity), and 25 (judicial protection) of the American Convention on Human Rights, stemming from the alleged extrajudicial execution of the child Franklin Bustamante, 14 years of age, purportedly by agents of the Administrative Security Department (</w:t>
      </w:r>
      <w:r w:rsidRPr="00524435">
        <w:rPr>
          <w:rStyle w:val="Nenhum"/>
          <w:rFonts w:cs="Calibri Light"/>
          <w:i/>
          <w:iCs/>
        </w:rPr>
        <w:t>DAS:</w:t>
      </w:r>
      <w:r w:rsidRPr="00524435">
        <w:rPr>
          <w:rStyle w:val="Nenhum"/>
          <w:rFonts w:cs="Calibri Light"/>
        </w:rPr>
        <w:t xml:space="preserve"> </w:t>
      </w:r>
      <w:proofErr w:type="spellStart"/>
      <w:r w:rsidRPr="00524435">
        <w:rPr>
          <w:rStyle w:val="Nenhum"/>
          <w:rFonts w:cs="Calibri Light"/>
          <w:i/>
          <w:iCs/>
        </w:rPr>
        <w:lastRenderedPageBreak/>
        <w:t>Departamento</w:t>
      </w:r>
      <w:proofErr w:type="spellEnd"/>
      <w:r w:rsidRPr="00524435">
        <w:rPr>
          <w:rStyle w:val="Nenhum"/>
          <w:rFonts w:cs="Calibri Light"/>
          <w:i/>
          <w:iCs/>
        </w:rPr>
        <w:t xml:space="preserve"> </w:t>
      </w:r>
      <w:proofErr w:type="spellStart"/>
      <w:r w:rsidRPr="00524435">
        <w:rPr>
          <w:rStyle w:val="Nenhum"/>
          <w:rFonts w:cs="Calibri Light"/>
          <w:i/>
          <w:iCs/>
        </w:rPr>
        <w:t>Administrativo</w:t>
      </w:r>
      <w:proofErr w:type="spellEnd"/>
      <w:r w:rsidRPr="00524435">
        <w:rPr>
          <w:rStyle w:val="Nenhum"/>
          <w:rFonts w:cs="Calibri Light"/>
          <w:i/>
          <w:iCs/>
        </w:rPr>
        <w:t xml:space="preserve"> de </w:t>
      </w:r>
      <w:proofErr w:type="spellStart"/>
      <w:r w:rsidRPr="00524435">
        <w:rPr>
          <w:rStyle w:val="Nenhum"/>
          <w:rFonts w:cs="Calibri Light"/>
          <w:i/>
          <w:iCs/>
        </w:rPr>
        <w:t>Seguridad</w:t>
      </w:r>
      <w:proofErr w:type="spellEnd"/>
      <w:r w:rsidRPr="00524435">
        <w:rPr>
          <w:rStyle w:val="Nenhum"/>
          <w:rFonts w:cs="Calibri Light"/>
        </w:rPr>
        <w:t xml:space="preserve">), as well as the subsequent failure to effectively investigate the events that occurred on July 28, 1989. In the friendly settlement agreement, signed on September 13, 2021, the State recognized its responsibility for failing to diligently investigate the facts; it undertook to hold a public ceremony, virtually, to recognize its responsibility, to publish the report approving the friendly settlement agreement to be issued by the IACHR, and to grant an economic compensation in the context of the mechanism established in Law 288 of 1996. In its Report No. </w:t>
      </w:r>
      <w:hyperlink r:id="rId25" w:history="1">
        <w:r w:rsidRPr="00524435">
          <w:rPr>
            <w:rStyle w:val="Hyperlink"/>
            <w:rFonts w:cs="Calibri Light"/>
          </w:rPr>
          <w:t>337/21</w:t>
        </w:r>
      </w:hyperlink>
      <w:r w:rsidRPr="00524435">
        <w:rPr>
          <w:rStyle w:val="Nenhum"/>
          <w:rFonts w:cs="Calibri Light"/>
        </w:rPr>
        <w:t xml:space="preserve"> the Commission found total compliance with the measure of the act of redress, while the rest of the obligations in the agreement persist and require monitoring of their implementation. Accordingly, it was approved with partial compliance. </w:t>
      </w:r>
    </w:p>
    <w:p w14:paraId="719A2873" w14:textId="77777777" w:rsidR="007E31E3" w:rsidRPr="00524435" w:rsidRDefault="007E31E3" w:rsidP="00705B89">
      <w:pPr>
        <w:pStyle w:val="NoSpacing"/>
        <w:rPr>
          <w:rStyle w:val="Nenhum"/>
          <w:rFonts w:ascii="Cambria" w:hAnsi="Cambria" w:cs="Calibri Light"/>
          <w:sz w:val="20"/>
          <w:szCs w:val="20"/>
        </w:rPr>
      </w:pPr>
    </w:p>
    <w:p w14:paraId="420EB7FE" w14:textId="77777777" w:rsidR="007E31E3" w:rsidRPr="00524435" w:rsidRDefault="007E31E3" w:rsidP="0009324C">
      <w:pPr>
        <w:pStyle w:val="ListParagraph"/>
        <w:numPr>
          <w:ilvl w:val="0"/>
          <w:numId w:val="23"/>
        </w:numPr>
        <w:autoSpaceDE/>
        <w:autoSpaceDN/>
        <w:adjustRightInd/>
        <w:spacing w:after="0"/>
        <w:ind w:left="0" w:firstLine="0"/>
        <w:contextualSpacing/>
        <w:rPr>
          <w:rFonts w:eastAsia="MS Mincho" w:cs="Calibri Light"/>
        </w:rPr>
      </w:pPr>
      <w:r w:rsidRPr="00524435">
        <w:rPr>
          <w:rStyle w:val="Nenhum"/>
          <w:rFonts w:cs="Calibri Light"/>
          <w:b/>
          <w:bCs/>
          <w:i/>
          <w:iCs/>
        </w:rPr>
        <w:t>Case 12.737, Carlos Raúl Morales Catalan, Guatemala:</w:t>
      </w:r>
      <w:r w:rsidRPr="00524435">
        <w:rPr>
          <w:rStyle w:val="Nenhum"/>
          <w:rFonts w:cs="Calibri Light"/>
        </w:rPr>
        <w:t xml:space="preserve"> the case is related to the international responsibility of the Guatemalan State for denial of judicial guarantees and the right to </w:t>
      </w:r>
      <w:r w:rsidRPr="00524435">
        <w:rPr>
          <w:rFonts w:cs="Calibri Light"/>
          <w:color w:val="333333"/>
        </w:rPr>
        <w:t xml:space="preserve">an effective judicial remedy to the detriment of Mr. Carlos Raúl Morales Catalan in the context of the criminal proceeding and civil action for compensation for the negligent injuries suffered by his children José Raúl and Javier Ernesto Morales Vera as the result of a traffic accident. In the friendly settlement agreement signed by the parties the Guatemalan State recognized its international responsibility for the human rights violations committed to the detriment of Carlos Raúl Morales Catalan and his family members and undertook to implement the following measures of reparation: (1) Make economic reparation to the petitioner and his family, for the material harm caused; (2) hold a private ceremony to recognize the international responsibility of the State and to apologize to Mr. Carlos Raúl Morales Catalan and his family; (3) grant José Raúl and Javier Ernesto Morales Vera scholarships for undergraduate studies, in a lump sum, at a private university in the country, through the National Trust for Scholarships and Educational Loans (FINABECE); (4) to provide, on a permanent basis, medical, physical, and psychological care for the beneficiaries of the friendly settlement agreement; (5) name a roadway education program after José Raúl and Javier Ernesto Morales Vera; and (6) give impetus to the necessary actions vis-à-vis the institutions of the justice sector for the enforcement and effective implementation of the judgment on damages handed down by the Court of First Instance for Criminal, Drug-trafficking, and Crimes against the Environment, against Mr. Santiago </w:t>
      </w:r>
      <w:proofErr w:type="spellStart"/>
      <w:r w:rsidRPr="00524435">
        <w:rPr>
          <w:rFonts w:cs="Calibri Light"/>
          <w:color w:val="333333"/>
        </w:rPr>
        <w:t>Quidiello</w:t>
      </w:r>
      <w:proofErr w:type="spellEnd"/>
      <w:r w:rsidRPr="00524435">
        <w:rPr>
          <w:rFonts w:cs="Calibri Light"/>
          <w:color w:val="333333"/>
        </w:rPr>
        <w:t xml:space="preserve"> Valenzuela and Ms. Laura Patricia </w:t>
      </w:r>
      <w:proofErr w:type="spellStart"/>
      <w:r w:rsidRPr="00524435">
        <w:rPr>
          <w:rFonts w:cs="Calibri Light"/>
          <w:color w:val="333333"/>
        </w:rPr>
        <w:t>Toron</w:t>
      </w:r>
      <w:proofErr w:type="spellEnd"/>
      <w:r w:rsidRPr="00524435">
        <w:rPr>
          <w:rFonts w:cs="Calibri Light"/>
          <w:color w:val="333333"/>
        </w:rPr>
        <w:t xml:space="preserve"> Torres De Luna. On November 23, 2020, the petitioner asked the Commission, in the context of the implementation of Resolution 3/20 on differentiated actions to address the procedural backlog in friendly settlement processes, to approve and publish the friendly settlement agreement reached in this case. In this respect, the Commission considered in its Friendly Settlement Report No. </w:t>
      </w:r>
      <w:hyperlink r:id="rId26" w:history="1">
        <w:r w:rsidRPr="00524435">
          <w:rPr>
            <w:rStyle w:val="Hyperlink"/>
            <w:rFonts w:cs="Calibri Light"/>
          </w:rPr>
          <w:t>114/21</w:t>
        </w:r>
      </w:hyperlink>
      <w:r w:rsidRPr="00524435">
        <w:rPr>
          <w:rFonts w:cs="Calibri Light"/>
          <w:color w:val="333333"/>
        </w:rPr>
        <w:t xml:space="preserve"> that there had been total compliance with clauses 2, 3(b), and 3(d) of the agreement, related to the payment of economic reparation, the university scholarship for José Raúl Morales Vera, and the naming of a roadway education program. In addition, the IACHR declared pending for compliance clauses 3(a), 3(c), and 3(e), related to the private ceremony for recognition of international responsibility; medical care, both physical and psychological, and the justice-related measure, regarding the enforcement of the judgment ordering Santiago </w:t>
      </w:r>
      <w:proofErr w:type="spellStart"/>
      <w:r w:rsidRPr="00524435">
        <w:rPr>
          <w:rFonts w:cs="Calibri Light"/>
          <w:color w:val="333333"/>
        </w:rPr>
        <w:t>Quidiello</w:t>
      </w:r>
      <w:proofErr w:type="spellEnd"/>
      <w:r w:rsidRPr="00524435">
        <w:rPr>
          <w:rFonts w:cs="Calibri Light"/>
          <w:color w:val="333333"/>
        </w:rPr>
        <w:t xml:space="preserve"> Valenzuela to pay civil reparations. In view of the foregoing the IACHR will continue supervising compliance with sections 3(a), (c) and (e) of the friendly settlement agreement until they meet with total compliance. Finally, the Commission declared clauses 3(b) and 3(e), regarding the university scholarship for Javier Ernesto Morales Vera and enforcement of the judgment of civil reparations with respect to Laura Patricia </w:t>
      </w:r>
      <w:proofErr w:type="spellStart"/>
      <w:r w:rsidRPr="00524435">
        <w:rPr>
          <w:rFonts w:cs="Calibri Light"/>
          <w:color w:val="333333"/>
        </w:rPr>
        <w:t>Toron</w:t>
      </w:r>
      <w:proofErr w:type="spellEnd"/>
      <w:r w:rsidRPr="00524435">
        <w:rPr>
          <w:rFonts w:cs="Calibri Light"/>
          <w:color w:val="333333"/>
        </w:rPr>
        <w:t xml:space="preserve"> Torres de Luna, to be inoperative. This last one </w:t>
      </w:r>
      <w:proofErr w:type="gramStart"/>
      <w:r w:rsidRPr="00524435">
        <w:rPr>
          <w:rFonts w:cs="Calibri Light"/>
          <w:color w:val="333333"/>
        </w:rPr>
        <w:t>in light of</w:t>
      </w:r>
      <w:proofErr w:type="gramEnd"/>
      <w:r w:rsidRPr="00524435">
        <w:rPr>
          <w:rFonts w:cs="Calibri Light"/>
          <w:color w:val="333333"/>
        </w:rPr>
        <w:t xml:space="preserve"> the signing of an agreement among the parties domestically. </w:t>
      </w:r>
    </w:p>
    <w:p w14:paraId="49B55A9F" w14:textId="77777777" w:rsidR="007E31E3" w:rsidRPr="00524435" w:rsidRDefault="007E31E3" w:rsidP="00705B89">
      <w:pPr>
        <w:pStyle w:val="NoSpacing"/>
        <w:rPr>
          <w:rFonts w:ascii="Cambria" w:hAnsi="Cambria"/>
        </w:rPr>
      </w:pPr>
    </w:p>
    <w:p w14:paraId="4D626D50" w14:textId="77777777" w:rsidR="007E31E3" w:rsidRPr="00524435" w:rsidRDefault="007E31E3" w:rsidP="0009324C">
      <w:pPr>
        <w:pStyle w:val="ListParagraph"/>
        <w:numPr>
          <w:ilvl w:val="0"/>
          <w:numId w:val="23"/>
        </w:numPr>
        <w:autoSpaceDE/>
        <w:autoSpaceDN/>
        <w:adjustRightInd/>
        <w:spacing w:after="0"/>
        <w:ind w:left="0" w:firstLine="0"/>
        <w:contextualSpacing/>
        <w:rPr>
          <w:rStyle w:val="Nenhum"/>
          <w:rFonts w:eastAsia="MS Mincho" w:cs="Calibri Light"/>
        </w:rPr>
      </w:pPr>
      <w:r w:rsidRPr="00524435">
        <w:rPr>
          <w:rStyle w:val="Nenhum"/>
          <w:rFonts w:cs="Calibri Light"/>
          <w:b/>
          <w:bCs/>
          <w:i/>
          <w:iCs/>
        </w:rPr>
        <w:t>Case 11.562, Dixie Miguel Urbina Rosales, Honduras</w:t>
      </w:r>
      <w:r w:rsidRPr="00524435">
        <w:rPr>
          <w:rStyle w:val="Nenhum"/>
          <w:rFonts w:cs="Calibri Light"/>
          <w:b/>
          <w:bCs/>
        </w:rPr>
        <w:t>:</w:t>
      </w:r>
      <w:r w:rsidRPr="00524435">
        <w:rPr>
          <w:rStyle w:val="Nenhum"/>
          <w:rFonts w:cs="Calibri Light"/>
        </w:rPr>
        <w:t xml:space="preserve"> the case is related to the international responsibility of the State of Honduras for violations of the rights to life, humane treatment, judicial guarantees, and judicial protection, stemming from the forced disappearance of Dixie Miguel Urbina Rosales, who was reportedly detained on October 22, 1995, by a patrol of the Public Security Force [</w:t>
      </w:r>
      <w:proofErr w:type="spellStart"/>
      <w:r w:rsidRPr="00524435">
        <w:rPr>
          <w:rStyle w:val="Nenhum"/>
          <w:rFonts w:cs="Calibri Light"/>
          <w:i/>
          <w:iCs/>
        </w:rPr>
        <w:t>Fuerza</w:t>
      </w:r>
      <w:proofErr w:type="spellEnd"/>
      <w:r w:rsidRPr="00524435">
        <w:rPr>
          <w:rStyle w:val="Nenhum"/>
          <w:rFonts w:cs="Calibri Light"/>
          <w:i/>
          <w:iCs/>
        </w:rPr>
        <w:t xml:space="preserve"> de </w:t>
      </w:r>
      <w:proofErr w:type="spellStart"/>
      <w:r w:rsidRPr="00524435">
        <w:rPr>
          <w:rStyle w:val="Nenhum"/>
          <w:rFonts w:cs="Calibri Light"/>
          <w:i/>
          <w:iCs/>
        </w:rPr>
        <w:t>Seguridad</w:t>
      </w:r>
      <w:proofErr w:type="spellEnd"/>
      <w:r w:rsidRPr="00524435">
        <w:rPr>
          <w:rStyle w:val="Nenhum"/>
          <w:rFonts w:cs="Calibri Light"/>
          <w:i/>
          <w:iCs/>
        </w:rPr>
        <w:t xml:space="preserve"> </w:t>
      </w:r>
      <w:proofErr w:type="spellStart"/>
      <w:r w:rsidRPr="00524435">
        <w:rPr>
          <w:rStyle w:val="Nenhum"/>
          <w:rFonts w:cs="Calibri Light"/>
          <w:i/>
          <w:iCs/>
        </w:rPr>
        <w:t>Pública</w:t>
      </w:r>
      <w:proofErr w:type="spellEnd"/>
      <w:r w:rsidRPr="00524435">
        <w:rPr>
          <w:rStyle w:val="Nenhum"/>
          <w:rFonts w:cs="Calibri Light"/>
          <w:i/>
          <w:iCs/>
        </w:rPr>
        <w:t xml:space="preserve"> -FUSEP- in Spanish</w:t>
      </w:r>
      <w:r w:rsidRPr="00524435">
        <w:rPr>
          <w:rStyle w:val="Nenhum"/>
          <w:rFonts w:cs="Calibri Light"/>
        </w:rPr>
        <w:t xml:space="preserve">]. To date his whereabouts have not been determined, nor have the persons responsible been identified, prosecuted, or punished. In the friendly settlement agreement signed by the parties, the Honduran State recognized its international responsibility for the human rights violations committed to the detriment of Dixie Urbina Rosales and it undertook to implement the following measures of reparation: (I) Continue investigating the facts and locating his remains; (II) create and implement a Registry of Detainees or adapt those that already exist in the terms established in the judgment by the Inter-American Court of Human Rights in the </w:t>
      </w:r>
      <w:r w:rsidRPr="00524435">
        <w:rPr>
          <w:rStyle w:val="Nenhum"/>
          <w:rFonts w:cs="Calibri Light"/>
          <w:i/>
          <w:iCs/>
        </w:rPr>
        <w:t>Case of Juan Humberto Sánchez v. Honduras</w:t>
      </w:r>
      <w:r w:rsidRPr="00524435">
        <w:rPr>
          <w:rStyle w:val="Nenhum"/>
          <w:rFonts w:cs="Calibri Light"/>
        </w:rPr>
        <w:t>, of June 7, 2003; (III) publish a summary of the facts and the text of public recognition of responsibility in the official gazette (</w:t>
      </w:r>
      <w:proofErr w:type="spellStart"/>
      <w:r w:rsidRPr="00524435">
        <w:rPr>
          <w:rStyle w:val="Nenhum"/>
          <w:rFonts w:cs="Calibri Light"/>
          <w:i/>
          <w:iCs/>
        </w:rPr>
        <w:t>Diario</w:t>
      </w:r>
      <w:proofErr w:type="spellEnd"/>
      <w:r w:rsidRPr="00524435">
        <w:rPr>
          <w:rStyle w:val="Nenhum"/>
          <w:rFonts w:cs="Calibri Light"/>
          <w:i/>
          <w:iCs/>
        </w:rPr>
        <w:t xml:space="preserve"> </w:t>
      </w:r>
      <w:proofErr w:type="spellStart"/>
      <w:r w:rsidRPr="00524435">
        <w:rPr>
          <w:rStyle w:val="Nenhum"/>
          <w:rFonts w:cs="Calibri Light"/>
          <w:i/>
          <w:iCs/>
        </w:rPr>
        <w:t>Oficial</w:t>
      </w:r>
      <w:proofErr w:type="spellEnd"/>
      <w:r w:rsidRPr="00524435">
        <w:rPr>
          <w:rStyle w:val="Nenhum"/>
          <w:rFonts w:cs="Calibri Light"/>
          <w:i/>
          <w:iCs/>
        </w:rPr>
        <w:t xml:space="preserve"> La </w:t>
      </w:r>
      <w:proofErr w:type="spellStart"/>
      <w:r w:rsidRPr="00524435">
        <w:rPr>
          <w:rStyle w:val="Nenhum"/>
          <w:rFonts w:cs="Calibri Light"/>
          <w:i/>
          <w:iCs/>
        </w:rPr>
        <w:t>Gaceta</w:t>
      </w:r>
      <w:proofErr w:type="spellEnd"/>
      <w:r w:rsidRPr="00524435">
        <w:rPr>
          <w:rStyle w:val="Nenhum"/>
          <w:rFonts w:cs="Calibri Light"/>
        </w:rPr>
        <w:t xml:space="preserve">) and in the daily </w:t>
      </w:r>
      <w:r w:rsidRPr="00524435">
        <w:rPr>
          <w:rStyle w:val="Nenhum"/>
          <w:rFonts w:cs="Calibri Light"/>
        </w:rPr>
        <w:lastRenderedPageBreak/>
        <w:t xml:space="preserve">newspaper </w:t>
      </w:r>
      <w:r w:rsidRPr="00524435">
        <w:rPr>
          <w:rStyle w:val="Nenhum"/>
          <w:rFonts w:cs="Calibri Light"/>
          <w:i/>
          <w:iCs/>
        </w:rPr>
        <w:t xml:space="preserve">La </w:t>
      </w:r>
      <w:proofErr w:type="spellStart"/>
      <w:r w:rsidRPr="00524435">
        <w:rPr>
          <w:rStyle w:val="Nenhum"/>
          <w:rFonts w:cs="Calibri Light"/>
          <w:i/>
          <w:iCs/>
        </w:rPr>
        <w:t>Tribuna</w:t>
      </w:r>
      <w:proofErr w:type="spellEnd"/>
      <w:r w:rsidRPr="00524435">
        <w:rPr>
          <w:rStyle w:val="Nenhum"/>
          <w:rFonts w:cs="Calibri Light"/>
        </w:rPr>
        <w:t>, which is published in Tegucigalpa; (IV) contribute economically to the construction of a new module on the property of “</w:t>
      </w:r>
      <w:r w:rsidRPr="00524435">
        <w:rPr>
          <w:rStyle w:val="Nenhum"/>
          <w:rFonts w:cs="Calibri Light"/>
          <w:i/>
          <w:iCs/>
        </w:rPr>
        <w:t xml:space="preserve">El Hogar Contra El </w:t>
      </w:r>
      <w:proofErr w:type="spellStart"/>
      <w:r w:rsidRPr="00524435">
        <w:rPr>
          <w:rStyle w:val="Nenhum"/>
          <w:rFonts w:cs="Calibri Light"/>
          <w:i/>
          <w:iCs/>
        </w:rPr>
        <w:t>Olvido</w:t>
      </w:r>
      <w:proofErr w:type="spellEnd"/>
      <w:r w:rsidRPr="00524435">
        <w:rPr>
          <w:rStyle w:val="Nenhum"/>
          <w:rFonts w:cs="Calibri Light"/>
        </w:rPr>
        <w:t xml:space="preserve">” (“The Home against Forgetting’), which will have the name “Space for reflection, analysis, and training,” as a measure to preserve memory; (V) provide comprehensive medical, psychiatric, and psychological care to the victim’s family members, free of charge and through its public health institutions; and (VI) make economic reparation for the material and moral damages suffered by the victim’s family members, including an amount to compensate the procedural costs and expenses incurred. In this respect, the Commission considered, in its Friendly Settlement Report </w:t>
      </w:r>
      <w:hyperlink r:id="rId27" w:history="1">
        <w:r w:rsidRPr="00524435">
          <w:rPr>
            <w:rStyle w:val="Hyperlink"/>
            <w:rFonts w:cs="Calibri Light"/>
          </w:rPr>
          <w:t>No. 40/21</w:t>
        </w:r>
      </w:hyperlink>
      <w:r w:rsidRPr="00524435">
        <w:rPr>
          <w:rStyle w:val="Nenhum"/>
          <w:rFonts w:cs="Calibri Light"/>
        </w:rPr>
        <w:t>, that there had been total compliance with clauses 3, 4, and 6 of the agreement, related to the dissemination of the public recognition of responsibility; the contribution of the State to the “</w:t>
      </w:r>
      <w:r w:rsidRPr="00524435">
        <w:rPr>
          <w:rStyle w:val="Nenhum"/>
          <w:rFonts w:cs="Calibri Light"/>
          <w:i/>
          <w:iCs/>
        </w:rPr>
        <w:t xml:space="preserve">Hogar contra el </w:t>
      </w:r>
      <w:proofErr w:type="spellStart"/>
      <w:r w:rsidRPr="00524435">
        <w:rPr>
          <w:rStyle w:val="Nenhum"/>
          <w:rFonts w:cs="Calibri Light"/>
          <w:i/>
          <w:iCs/>
        </w:rPr>
        <w:t>Olvido</w:t>
      </w:r>
      <w:proofErr w:type="spellEnd"/>
      <w:r w:rsidRPr="00524435">
        <w:rPr>
          <w:rStyle w:val="Nenhum"/>
          <w:rFonts w:cs="Calibri Light"/>
        </w:rPr>
        <w:t xml:space="preserve">”; and the payment corresponding to economic reparation, costs, and expenses, respectively. It also found partial compliance with clauses 1 and 5 of the agreement, related to the investigation into the facts and measures of physical and psychological rehabilitation, respectively. Finally, the Commission declared pending for compliance point 2 of the friendly settlement agreement, related to the registry of detainees. Accordingly, the friendly settlement agreement was approved with partial compliance. </w:t>
      </w:r>
    </w:p>
    <w:p w14:paraId="540870F3" w14:textId="77777777" w:rsidR="007E31E3" w:rsidRPr="00524435" w:rsidRDefault="007E31E3" w:rsidP="00705B89">
      <w:pPr>
        <w:pStyle w:val="NoSpacing"/>
        <w:rPr>
          <w:rStyle w:val="Nenhum"/>
          <w:rFonts w:ascii="Cambria" w:hAnsi="Cambria" w:cs="Calibri Light"/>
          <w:sz w:val="20"/>
          <w:szCs w:val="20"/>
        </w:rPr>
      </w:pPr>
    </w:p>
    <w:p w14:paraId="62E200C7" w14:textId="77777777" w:rsidR="007E31E3" w:rsidRPr="00524435" w:rsidRDefault="007E31E3" w:rsidP="0009324C">
      <w:pPr>
        <w:pStyle w:val="ListParagraph"/>
        <w:numPr>
          <w:ilvl w:val="0"/>
          <w:numId w:val="23"/>
        </w:numPr>
        <w:autoSpaceDE/>
        <w:autoSpaceDN/>
        <w:adjustRightInd/>
        <w:spacing w:after="0"/>
        <w:ind w:left="0" w:firstLine="0"/>
        <w:contextualSpacing/>
        <w:rPr>
          <w:rFonts w:eastAsia="MS Mincho" w:cs="Calibri Light"/>
        </w:rPr>
      </w:pPr>
      <w:r w:rsidRPr="00524435">
        <w:rPr>
          <w:rStyle w:val="Nenhum"/>
          <w:rFonts w:cs="Calibri Light"/>
          <w:b/>
          <w:bCs/>
          <w:i/>
          <w:iCs/>
        </w:rPr>
        <w:t xml:space="preserve">Case 11.545, Martha María </w:t>
      </w:r>
      <w:proofErr w:type="spellStart"/>
      <w:r w:rsidRPr="00524435">
        <w:rPr>
          <w:rStyle w:val="Nenhum"/>
          <w:rFonts w:cs="Calibri Light"/>
          <w:b/>
          <w:bCs/>
          <w:i/>
          <w:iCs/>
        </w:rPr>
        <w:t>Saire</w:t>
      </w:r>
      <w:proofErr w:type="spellEnd"/>
      <w:r w:rsidRPr="00524435">
        <w:rPr>
          <w:rStyle w:val="Nenhum"/>
          <w:rFonts w:cs="Calibri Light"/>
          <w:b/>
          <w:bCs/>
          <w:i/>
          <w:iCs/>
        </w:rPr>
        <w:t>, Honduras:</w:t>
      </w:r>
      <w:r w:rsidRPr="00524435">
        <w:rPr>
          <w:rStyle w:val="Nenhum"/>
          <w:rFonts w:cs="Calibri Light"/>
        </w:rPr>
        <w:t xml:space="preserve"> the case relates to the international responsibility of the Honduran State for the alleged violation of the human rights to humane treatment, judicial guarantees, the rights of the child, and judicial protection, protected by the </w:t>
      </w:r>
      <w:r w:rsidRPr="00524435">
        <w:rPr>
          <w:rFonts w:cs="Calibri Light"/>
        </w:rPr>
        <w:t xml:space="preserve">American Convention on Human Rights, to the detriment of the girl Martha María </w:t>
      </w:r>
      <w:proofErr w:type="spellStart"/>
      <w:r w:rsidRPr="00524435">
        <w:rPr>
          <w:rFonts w:cs="Calibri Light"/>
        </w:rPr>
        <w:t>Saire</w:t>
      </w:r>
      <w:proofErr w:type="spellEnd"/>
      <w:r w:rsidRPr="00524435">
        <w:rPr>
          <w:rFonts w:cs="Calibri Light"/>
        </w:rPr>
        <w:t xml:space="preserve">, 11 years old at the time, and who lives with mental disability, due to a brain injury. On April 9, 1994, Martha María </w:t>
      </w:r>
      <w:proofErr w:type="spellStart"/>
      <w:r w:rsidRPr="00524435">
        <w:rPr>
          <w:rFonts w:cs="Calibri Light"/>
        </w:rPr>
        <w:t>Saire</w:t>
      </w:r>
      <w:proofErr w:type="spellEnd"/>
      <w:r w:rsidRPr="00524435">
        <w:rPr>
          <w:rFonts w:cs="Calibri Light"/>
        </w:rPr>
        <w:t xml:space="preserve"> was said to be the victim of rape by the guards at the Women and Girl’s Center for Social Adaptation [</w:t>
      </w:r>
      <w:r w:rsidRPr="00524435">
        <w:rPr>
          <w:rFonts w:cs="Calibri Light"/>
          <w:i/>
          <w:iCs/>
        </w:rPr>
        <w:t xml:space="preserve">Centro </w:t>
      </w:r>
      <w:proofErr w:type="spellStart"/>
      <w:r w:rsidRPr="00524435">
        <w:rPr>
          <w:rFonts w:cs="Calibri Light"/>
          <w:i/>
          <w:iCs/>
        </w:rPr>
        <w:t>Femenino</w:t>
      </w:r>
      <w:proofErr w:type="spellEnd"/>
      <w:r w:rsidRPr="00524435">
        <w:rPr>
          <w:rFonts w:cs="Calibri Light"/>
          <w:i/>
          <w:iCs/>
        </w:rPr>
        <w:t xml:space="preserve"> de </w:t>
      </w:r>
      <w:proofErr w:type="spellStart"/>
      <w:r w:rsidRPr="00524435">
        <w:rPr>
          <w:rFonts w:cs="Calibri Light"/>
          <w:i/>
          <w:iCs/>
        </w:rPr>
        <w:t>Adaptación</w:t>
      </w:r>
      <w:proofErr w:type="spellEnd"/>
      <w:r w:rsidRPr="00524435">
        <w:rPr>
          <w:rFonts w:cs="Calibri Light"/>
          <w:i/>
          <w:iCs/>
        </w:rPr>
        <w:t xml:space="preserve"> Social -CEFAS-</w:t>
      </w:r>
      <w:r w:rsidRPr="00524435">
        <w:rPr>
          <w:rFonts w:cs="Calibri Light"/>
        </w:rPr>
        <w:t xml:space="preserve"> </w:t>
      </w:r>
      <w:r w:rsidRPr="00524435">
        <w:rPr>
          <w:rFonts w:cs="Calibri Light"/>
          <w:i/>
          <w:iCs/>
        </w:rPr>
        <w:t>in Spanish</w:t>
      </w:r>
      <w:r w:rsidRPr="00524435">
        <w:rPr>
          <w:rFonts w:cs="Calibri Light"/>
        </w:rPr>
        <w:t>], who belonged to the Special Tactical Group [</w:t>
      </w:r>
      <w:proofErr w:type="spellStart"/>
      <w:r w:rsidRPr="00524435">
        <w:rPr>
          <w:rFonts w:cs="Calibri Light"/>
        </w:rPr>
        <w:t>Agrupamiento</w:t>
      </w:r>
      <w:proofErr w:type="spellEnd"/>
      <w:r w:rsidRPr="00524435">
        <w:rPr>
          <w:rFonts w:cs="Calibri Light"/>
        </w:rPr>
        <w:t xml:space="preserve"> </w:t>
      </w:r>
      <w:proofErr w:type="spellStart"/>
      <w:r w:rsidRPr="00524435">
        <w:rPr>
          <w:rFonts w:cs="Calibri Light"/>
        </w:rPr>
        <w:t>Táctico</w:t>
      </w:r>
      <w:proofErr w:type="spellEnd"/>
      <w:r w:rsidRPr="00524435">
        <w:rPr>
          <w:rFonts w:cs="Calibri Light"/>
        </w:rPr>
        <w:t xml:space="preserve"> Especial </w:t>
      </w:r>
      <w:r w:rsidRPr="00524435">
        <w:rPr>
          <w:rFonts w:cs="Calibri Light"/>
          <w:i/>
          <w:iCs/>
        </w:rPr>
        <w:t>in Spanish</w:t>
      </w:r>
      <w:r w:rsidRPr="00524435">
        <w:rPr>
          <w:rFonts w:cs="Calibri Light"/>
        </w:rPr>
        <w:t xml:space="preserve">] of the Honduran Army; they had been assigned as guards at two children’s homes facilities and the women’s prison that was in the same place, including the Youth Orientation Home of </w:t>
      </w:r>
      <w:proofErr w:type="spellStart"/>
      <w:r w:rsidRPr="00524435">
        <w:rPr>
          <w:rFonts w:cs="Calibri Light"/>
        </w:rPr>
        <w:t>Támara</w:t>
      </w:r>
      <w:proofErr w:type="spellEnd"/>
      <w:r w:rsidRPr="00524435">
        <w:rPr>
          <w:rFonts w:cs="Calibri Light"/>
        </w:rPr>
        <w:t xml:space="preserve"> [</w:t>
      </w:r>
      <w:r w:rsidRPr="00524435">
        <w:rPr>
          <w:rFonts w:cs="Calibri Light"/>
          <w:i/>
          <w:iCs/>
        </w:rPr>
        <w:t xml:space="preserve">Hogar de </w:t>
      </w:r>
      <w:proofErr w:type="spellStart"/>
      <w:r w:rsidRPr="00524435">
        <w:rPr>
          <w:rFonts w:cs="Calibri Light"/>
          <w:i/>
          <w:iCs/>
        </w:rPr>
        <w:t>Orientación</w:t>
      </w:r>
      <w:proofErr w:type="spellEnd"/>
      <w:r w:rsidRPr="00524435">
        <w:rPr>
          <w:rFonts w:cs="Calibri Light"/>
          <w:i/>
          <w:iCs/>
        </w:rPr>
        <w:t xml:space="preserve"> Juvenil de </w:t>
      </w:r>
      <w:proofErr w:type="spellStart"/>
      <w:r w:rsidRPr="00524435">
        <w:rPr>
          <w:rFonts w:cs="Calibri Light"/>
          <w:i/>
          <w:iCs/>
        </w:rPr>
        <w:t>Támara</w:t>
      </w:r>
      <w:proofErr w:type="spellEnd"/>
      <w:r w:rsidRPr="00524435">
        <w:rPr>
          <w:rFonts w:cs="Calibri Light"/>
          <w:i/>
          <w:iCs/>
        </w:rPr>
        <w:t xml:space="preserve"> in Spanish</w:t>
      </w:r>
      <w:r w:rsidRPr="00524435">
        <w:rPr>
          <w:rFonts w:cs="Calibri Light"/>
        </w:rPr>
        <w:t xml:space="preserve">], where Martha María </w:t>
      </w:r>
      <w:proofErr w:type="spellStart"/>
      <w:r w:rsidRPr="00524435">
        <w:rPr>
          <w:rFonts w:cs="Calibri Light"/>
        </w:rPr>
        <w:t>Saire</w:t>
      </w:r>
      <w:proofErr w:type="spellEnd"/>
      <w:r w:rsidRPr="00524435">
        <w:rPr>
          <w:rFonts w:cs="Calibri Light"/>
        </w:rPr>
        <w:t xml:space="preserve"> had been taken in, given that when she was initially found in San Pedro Sula she was homeless. On June 30, 2003, the parties signed a friendly settlement agreement in which the Honduran State recognized its international responsibility for the violations of the rights to humane treatment and the rights of the child to the detriment of Martha </w:t>
      </w:r>
      <w:proofErr w:type="spellStart"/>
      <w:r w:rsidRPr="00524435">
        <w:rPr>
          <w:rFonts w:cs="Calibri Light"/>
        </w:rPr>
        <w:t>Saire</w:t>
      </w:r>
      <w:proofErr w:type="spellEnd"/>
      <w:r w:rsidRPr="00524435">
        <w:rPr>
          <w:rFonts w:cs="Calibri Light"/>
        </w:rPr>
        <w:t>. However, later the Honduran State ratified the Inter-American Convention on the Elimination of All Forms of Discrimination against Persons with Disabilities and the Convention on the Rights of Persons with Disabilities came into force. Therefore, the parties identified the need to adjust the content of the friendly settlement agreement to the updated standards on protecting the rights of persons living with disabilities; during the 179</w:t>
      </w:r>
      <w:r w:rsidRPr="00524435">
        <w:rPr>
          <w:rFonts w:cs="Calibri Light"/>
          <w:vertAlign w:val="superscript"/>
        </w:rPr>
        <w:t>th</w:t>
      </w:r>
      <w:r w:rsidRPr="00524435">
        <w:rPr>
          <w:rFonts w:cs="Calibri Light"/>
        </w:rPr>
        <w:t xml:space="preserve"> Regular Period of Sessions of the IACHR they signed a memorandum of understanding to that end. </w:t>
      </w:r>
    </w:p>
    <w:p w14:paraId="1344BEB8" w14:textId="77777777" w:rsidR="007E31E3" w:rsidRPr="00524435" w:rsidRDefault="007E31E3" w:rsidP="00705B89">
      <w:pPr>
        <w:pStyle w:val="NoSpacing"/>
        <w:rPr>
          <w:rFonts w:ascii="Cambria" w:hAnsi="Cambria"/>
        </w:rPr>
      </w:pPr>
    </w:p>
    <w:p w14:paraId="4F5545F3" w14:textId="6CA995AA" w:rsidR="007E31E3" w:rsidRPr="00524435" w:rsidRDefault="007E31E3" w:rsidP="008B0732">
      <w:pPr>
        <w:spacing w:after="240" w:line="240" w:lineRule="auto"/>
        <w:jc w:val="both"/>
        <w:rPr>
          <w:rFonts w:ascii="Cambria" w:hAnsi="Cambria" w:cs="Calibri Light"/>
          <w:sz w:val="20"/>
          <w:szCs w:val="20"/>
        </w:rPr>
      </w:pPr>
      <w:r w:rsidRPr="00524435">
        <w:rPr>
          <w:rFonts w:ascii="Cambria" w:hAnsi="Cambria" w:cs="Calibri Light"/>
          <w:sz w:val="20"/>
          <w:szCs w:val="20"/>
        </w:rPr>
        <w:t xml:space="preserve">In that agreement the Honduran State undertook to grant a birth certificate to Martha </w:t>
      </w:r>
      <w:proofErr w:type="spellStart"/>
      <w:r w:rsidRPr="00524435">
        <w:rPr>
          <w:rFonts w:ascii="Cambria" w:hAnsi="Cambria" w:cs="Calibri Light"/>
          <w:sz w:val="20"/>
          <w:szCs w:val="20"/>
        </w:rPr>
        <w:t>Saire</w:t>
      </w:r>
      <w:proofErr w:type="spellEnd"/>
      <w:r w:rsidRPr="00524435">
        <w:rPr>
          <w:rFonts w:ascii="Cambria" w:hAnsi="Cambria" w:cs="Calibri Light"/>
          <w:sz w:val="20"/>
          <w:szCs w:val="20"/>
        </w:rPr>
        <w:t xml:space="preserve">; to prosecute and punish the persons responsible for those acts of sexual violence; to maintain the personnel necessary for the care of Martha </w:t>
      </w:r>
      <w:proofErr w:type="spellStart"/>
      <w:r w:rsidRPr="00524435">
        <w:rPr>
          <w:rFonts w:ascii="Cambria" w:hAnsi="Cambria" w:cs="Calibri Light"/>
          <w:sz w:val="20"/>
          <w:szCs w:val="20"/>
        </w:rPr>
        <w:t>Saire</w:t>
      </w:r>
      <w:proofErr w:type="spellEnd"/>
      <w:r w:rsidRPr="00524435">
        <w:rPr>
          <w:rFonts w:ascii="Cambria" w:hAnsi="Cambria" w:cs="Calibri Light"/>
          <w:sz w:val="20"/>
          <w:szCs w:val="20"/>
        </w:rPr>
        <w:t xml:space="preserve">, as well as to adopt measures of medical, psychological, and social rehabilitation and the gradual social reinsertion of Martha </w:t>
      </w:r>
      <w:proofErr w:type="spellStart"/>
      <w:r w:rsidRPr="00524435">
        <w:rPr>
          <w:rFonts w:ascii="Cambria" w:hAnsi="Cambria" w:cs="Calibri Light"/>
          <w:sz w:val="20"/>
          <w:szCs w:val="20"/>
        </w:rPr>
        <w:t>Saire</w:t>
      </w:r>
      <w:proofErr w:type="spellEnd"/>
      <w:r w:rsidRPr="00524435">
        <w:rPr>
          <w:rFonts w:ascii="Cambria" w:hAnsi="Cambria" w:cs="Calibri Light"/>
          <w:sz w:val="20"/>
          <w:szCs w:val="20"/>
        </w:rPr>
        <w:t xml:space="preserve"> by creating a Comprehensive Support Plan, with her active participation to guarantee her autonomy in making decisions that affect her, in light of the principles of respect for the dignity, autonomy, independence, self-determination, and social inclusion. Said plan considered the creation of the Accompaniment Committee to monitor the implementation of Martha </w:t>
      </w:r>
      <w:proofErr w:type="spellStart"/>
      <w:r w:rsidRPr="00524435">
        <w:rPr>
          <w:rFonts w:ascii="Cambria" w:hAnsi="Cambria" w:cs="Calibri Light"/>
          <w:sz w:val="20"/>
          <w:szCs w:val="20"/>
        </w:rPr>
        <w:t>Saire’s</w:t>
      </w:r>
      <w:proofErr w:type="spellEnd"/>
      <w:r w:rsidRPr="00524435">
        <w:rPr>
          <w:rFonts w:ascii="Cambria" w:hAnsi="Cambria" w:cs="Calibri Light"/>
          <w:sz w:val="20"/>
          <w:szCs w:val="20"/>
        </w:rPr>
        <w:t xml:space="preserve"> Comprehensive Care Plan; conducting a mental health assessment; developing a capacity-building plan; and creating a support network with her involvement. In its decision the Commission observed that multiple factors of vulnerability converge in the case of Martha </w:t>
      </w:r>
      <w:proofErr w:type="spellStart"/>
      <w:r w:rsidRPr="00524435">
        <w:rPr>
          <w:rFonts w:ascii="Cambria" w:hAnsi="Cambria" w:cs="Calibri Light"/>
          <w:sz w:val="20"/>
          <w:szCs w:val="20"/>
        </w:rPr>
        <w:t>Saire</w:t>
      </w:r>
      <w:proofErr w:type="spellEnd"/>
      <w:r w:rsidRPr="00524435">
        <w:rPr>
          <w:rFonts w:ascii="Cambria" w:hAnsi="Cambria" w:cs="Calibri Light"/>
          <w:sz w:val="20"/>
          <w:szCs w:val="20"/>
        </w:rPr>
        <w:t xml:space="preserve">, as she is a woman, with a mental disability, and a victim of (repeated) sexual violence, who lived in extreme poverty and homeless, in addition to the different violations of her rights to health and to informed consent during the friendly settlement process, especially as she has been subject to prolonged institutionalization in a psychiatric hospital. Accordingly, the Commission established in its Friendly Settlement Agreement Report </w:t>
      </w:r>
      <w:hyperlink r:id="rId28" w:history="1">
        <w:r w:rsidRPr="00524435">
          <w:rPr>
            <w:rStyle w:val="Hyperlink"/>
            <w:rFonts w:ascii="Cambria" w:hAnsi="Cambria" w:cs="Calibri Light"/>
            <w:sz w:val="20"/>
            <w:szCs w:val="20"/>
          </w:rPr>
          <w:t>No. 204/21</w:t>
        </w:r>
      </w:hyperlink>
      <w:r w:rsidRPr="00524435">
        <w:rPr>
          <w:rFonts w:ascii="Cambria" w:hAnsi="Cambria" w:cs="Calibri Light"/>
          <w:sz w:val="20"/>
          <w:szCs w:val="20"/>
        </w:rPr>
        <w:t xml:space="preserve"> that the treatment that Martha </w:t>
      </w:r>
      <w:proofErr w:type="spellStart"/>
      <w:r w:rsidRPr="00524435">
        <w:rPr>
          <w:rFonts w:ascii="Cambria" w:hAnsi="Cambria" w:cs="Calibri Light"/>
          <w:sz w:val="20"/>
          <w:szCs w:val="20"/>
        </w:rPr>
        <w:t>Saire</w:t>
      </w:r>
      <w:proofErr w:type="spellEnd"/>
      <w:r w:rsidRPr="00524435">
        <w:rPr>
          <w:rFonts w:ascii="Cambria" w:hAnsi="Cambria" w:cs="Calibri Light"/>
          <w:sz w:val="20"/>
          <w:szCs w:val="20"/>
        </w:rPr>
        <w:t xml:space="preserve"> will receive as a result of the friendly settlement should be preferential and specially appropriate for her condition, respecting her dignity, autonomy, independence, self-determination, and social inclusion, with a focus on satisfying her economic, social, and cultural rights. As regards the degree of compliance with the agreement, in its report the Commission assessed the progress made in relation to each clause of both the original friendly settlement agreement and the memorandum of understanding subsequently signed, and it decided to find that there has been total compliance with sections (a) of point four of the friendly settlement agreement of June 30, 2003 </w:t>
      </w:r>
      <w:r w:rsidRPr="00524435">
        <w:rPr>
          <w:rFonts w:ascii="Cambria" w:hAnsi="Cambria" w:cs="Calibri Light"/>
          <w:sz w:val="20"/>
          <w:szCs w:val="20"/>
        </w:rPr>
        <w:lastRenderedPageBreak/>
        <w:t xml:space="preserve">(measures of medical, psychological, and social rehabilitation, and progressive social reinsertion) and section (b) (keep the Commission informed). In addition, the Commission decided to find partial compliance with the second clause of the memorandum of understanding of March 26, 2021 (maintain the necessary personnel for the attention and care of Martha </w:t>
      </w:r>
      <w:proofErr w:type="spellStart"/>
      <w:r w:rsidRPr="00524435">
        <w:rPr>
          <w:rFonts w:ascii="Cambria" w:hAnsi="Cambria" w:cs="Calibri Light"/>
          <w:sz w:val="20"/>
          <w:szCs w:val="20"/>
        </w:rPr>
        <w:t>Saire</w:t>
      </w:r>
      <w:proofErr w:type="spellEnd"/>
      <w:r w:rsidRPr="00524435">
        <w:rPr>
          <w:rFonts w:ascii="Cambria" w:hAnsi="Cambria" w:cs="Calibri Light"/>
          <w:sz w:val="20"/>
          <w:szCs w:val="20"/>
        </w:rPr>
        <w:t xml:space="preserve">). Finally, the Commission considered that still pending compliance was the third clause of the memorandum of understanding of March 26, 2021, related to (a) establishing the Accompaniment Committee to monitor the implementation of the Comprehensive Care Plan for Martha </w:t>
      </w:r>
      <w:proofErr w:type="spellStart"/>
      <w:r w:rsidRPr="00524435">
        <w:rPr>
          <w:rFonts w:ascii="Cambria" w:hAnsi="Cambria" w:cs="Calibri Light"/>
          <w:sz w:val="20"/>
          <w:szCs w:val="20"/>
        </w:rPr>
        <w:t>Saire</w:t>
      </w:r>
      <w:proofErr w:type="spellEnd"/>
      <w:r w:rsidRPr="00524435">
        <w:rPr>
          <w:rFonts w:ascii="Cambria" w:hAnsi="Cambria" w:cs="Calibri Light"/>
          <w:sz w:val="20"/>
          <w:szCs w:val="20"/>
        </w:rPr>
        <w:t xml:space="preserve">; (b) conducting the mental health assessment; (c) developing the capacity-building plan; (d) creating a support network with her participation, and fifth clause (creation of the Accompaniment Committee). </w:t>
      </w:r>
    </w:p>
    <w:p w14:paraId="06F2DA8E" w14:textId="59C209B9" w:rsidR="007E31E3" w:rsidRPr="00524435" w:rsidRDefault="007E31E3" w:rsidP="0009324C">
      <w:pPr>
        <w:pStyle w:val="ListParagraph"/>
        <w:numPr>
          <w:ilvl w:val="0"/>
          <w:numId w:val="23"/>
        </w:numPr>
        <w:tabs>
          <w:tab w:val="left" w:pos="0"/>
        </w:tabs>
        <w:autoSpaceDE/>
        <w:autoSpaceDN/>
        <w:adjustRightInd/>
        <w:spacing w:after="0"/>
        <w:ind w:left="0" w:firstLine="0"/>
        <w:contextualSpacing/>
        <w:rPr>
          <w:rFonts w:cs="Calibri Light"/>
          <w:color w:val="FF0000"/>
        </w:rPr>
      </w:pPr>
      <w:r w:rsidRPr="00524435">
        <w:rPr>
          <w:rStyle w:val="Nenhum"/>
          <w:rFonts w:cs="Calibri Light"/>
          <w:b/>
          <w:bCs/>
          <w:i/>
          <w:iCs/>
        </w:rPr>
        <w:t>Case 12.960 Ronald Jared Martínez and one other, Honduras:</w:t>
      </w:r>
      <w:r w:rsidRPr="00524435">
        <w:rPr>
          <w:rStyle w:val="Nenhum"/>
          <w:rFonts w:cs="Calibri Light"/>
        </w:rPr>
        <w:t xml:space="preserve"> the case is related to the international responsibility of the Honduran State for the purported violation of the rights contained in articles </w:t>
      </w:r>
      <w:r w:rsidRPr="00524435">
        <w:rPr>
          <w:rFonts w:cs="Calibri Light"/>
          <w:color w:val="333333"/>
        </w:rPr>
        <w:t xml:space="preserve">5 (right to humane treatment), 8 (judicial guarantees), 19 (rights of the child), and 25 (judicial protection) of the American Convention, stemming from the alleged disproportionate use of force and abuse of authority by police agents and officers of the National Army, which caused the child Ronald Jared Martínez to have acquired a physical disability (irreversible paraplegia) and the child </w:t>
      </w:r>
      <w:proofErr w:type="spellStart"/>
      <w:r w:rsidRPr="00524435">
        <w:rPr>
          <w:rFonts w:cs="Calibri Light"/>
          <w:color w:val="333333"/>
        </w:rPr>
        <w:t>Marlón</w:t>
      </w:r>
      <w:proofErr w:type="spellEnd"/>
      <w:r w:rsidRPr="00524435">
        <w:rPr>
          <w:rFonts w:cs="Calibri Light"/>
          <w:color w:val="333333"/>
        </w:rPr>
        <w:t xml:space="preserve"> Fabricio Hernández </w:t>
      </w:r>
      <w:proofErr w:type="spellStart"/>
      <w:r w:rsidRPr="00524435">
        <w:rPr>
          <w:rFonts w:cs="Calibri Light"/>
          <w:color w:val="333333"/>
        </w:rPr>
        <w:t>Fúnez</w:t>
      </w:r>
      <w:proofErr w:type="spellEnd"/>
      <w:r w:rsidRPr="00524435">
        <w:rPr>
          <w:rFonts w:cs="Calibri Light"/>
          <w:color w:val="333333"/>
        </w:rPr>
        <w:t xml:space="preserve"> to have suffered an injury and a temporary disability that lasted 21 days. On September 22, 2020, the parties signed a friendly settlement agreement. In the friendly settlement agreement signed by the parties the Honduran State undertook to make an economic reparation payment to the beneficiaries of the agreement, namely Ronald Jared Martínez </w:t>
      </w:r>
      <w:proofErr w:type="spellStart"/>
      <w:r w:rsidRPr="00524435">
        <w:rPr>
          <w:rFonts w:cs="Calibri Light"/>
          <w:color w:val="333333"/>
        </w:rPr>
        <w:t>Velásquez</w:t>
      </w:r>
      <w:proofErr w:type="spellEnd"/>
      <w:r w:rsidRPr="00524435">
        <w:rPr>
          <w:rFonts w:cs="Calibri Light"/>
          <w:color w:val="333333"/>
        </w:rPr>
        <w:t xml:space="preserve">, José Roberto Martínez, and Marlon Fabricio Hernández. In this respect, in its Report </w:t>
      </w:r>
      <w:hyperlink r:id="rId29" w:history="1">
        <w:r w:rsidRPr="00524435">
          <w:rPr>
            <w:rStyle w:val="Hyperlink"/>
            <w:rFonts w:cs="Calibri Light"/>
          </w:rPr>
          <w:t>No. 269/21</w:t>
        </w:r>
      </w:hyperlink>
      <w:r w:rsidRPr="00524435">
        <w:rPr>
          <w:rFonts w:cs="Calibri Light"/>
          <w:color w:val="333333"/>
        </w:rPr>
        <w:t xml:space="preserve"> the Commission found total compliance with the sixth clause of the agreement, referring to the payment of economic reparation to the beneficiaries. Accordingly, the IACHR considered that the agreement has met with total compliance and consequently ordered the cessation of the monitoring and closure of the case. </w:t>
      </w:r>
    </w:p>
    <w:p w14:paraId="2DB727F8" w14:textId="77777777" w:rsidR="007E31E3" w:rsidRPr="00524435" w:rsidRDefault="007E31E3" w:rsidP="00705B89">
      <w:pPr>
        <w:pStyle w:val="NoSpacing"/>
        <w:rPr>
          <w:rFonts w:ascii="Cambria" w:hAnsi="Cambria"/>
        </w:rPr>
      </w:pPr>
    </w:p>
    <w:p w14:paraId="66851947" w14:textId="6F097CA0" w:rsidR="007E31E3" w:rsidRPr="00524435" w:rsidRDefault="007E31E3" w:rsidP="0009324C">
      <w:pPr>
        <w:pStyle w:val="ListParagraph"/>
        <w:numPr>
          <w:ilvl w:val="0"/>
          <w:numId w:val="23"/>
        </w:numPr>
        <w:tabs>
          <w:tab w:val="left" w:pos="0"/>
        </w:tabs>
        <w:autoSpaceDE/>
        <w:autoSpaceDN/>
        <w:adjustRightInd/>
        <w:spacing w:after="0"/>
        <w:ind w:left="0" w:firstLine="0"/>
        <w:contextualSpacing/>
        <w:rPr>
          <w:rFonts w:cs="Calibri Light"/>
        </w:rPr>
      </w:pPr>
      <w:r w:rsidRPr="00524435">
        <w:rPr>
          <w:rStyle w:val="Nenhum"/>
          <w:rFonts w:cs="Calibri Light"/>
          <w:b/>
          <w:bCs/>
          <w:i/>
          <w:iCs/>
        </w:rPr>
        <w:t>Case 12.610 Faustino Jiménez Álvarez, Mexico:</w:t>
      </w:r>
      <w:r w:rsidRPr="00524435">
        <w:rPr>
          <w:rStyle w:val="Nenhum"/>
          <w:rFonts w:cs="Calibri Light"/>
        </w:rPr>
        <w:t xml:space="preserve"> the case is related to the international responsibility of the United Mexican States for the violation of the rights of </w:t>
      </w:r>
      <w:r w:rsidRPr="00524435">
        <w:rPr>
          <w:rFonts w:cs="Calibri Light"/>
          <w:shd w:val="clear" w:color="auto" w:fill="FFFFFF"/>
        </w:rPr>
        <w:t xml:space="preserve">Faustino Jiménez Álvarez, who allegedly had been illegally detained, disappeared, and tortured by police agents of the state of Guerrero, Mexico. On September 27, 2012, the parties signed a friendly settlement agreement in which the Mexican State recognized its international responsibility for the human rights violations stemming from the facts established Admissibility Report No. 31/07 of the IACHR. Similarly, the State undertook to provide economic compensation, undertake an investigation into the facts of the case to punishing the persons responsible, make a statement of public acknowledgement on the facts, and provide the measures of rehabilitation consisting of medical and psychological care, educational support, support for a productive project, economic, support, and housing support for the family members of Mr. Faustino Jiménez. In this respect, the Commission found, in its Friendly Settlement Report No. </w:t>
      </w:r>
      <w:hyperlink r:id="rId30" w:history="1">
        <w:r w:rsidRPr="00524435">
          <w:rPr>
            <w:rStyle w:val="Hyperlink"/>
            <w:rFonts w:cs="Calibri Light"/>
            <w:shd w:val="clear" w:color="auto" w:fill="FFFFFF"/>
          </w:rPr>
          <w:t>208/21</w:t>
        </w:r>
      </w:hyperlink>
      <w:r w:rsidRPr="00524435">
        <w:rPr>
          <w:rFonts w:cs="Calibri Light"/>
          <w:shd w:val="clear" w:color="auto" w:fill="FFFFFF"/>
        </w:rPr>
        <w:t>, total compliance with the commitments related to economic compensation, the public acknowledgement of the facts of the case, medical and psychological care, educational support, support for a productive project, and economic support. It considered that the measure related to housing support had a partial substantial level of implementation, and that the investigation into the facts of the case and punishment of the persons responsible had met with partial compliance. Accordingly, the friendly settlement agreement was approved with a partial substantial compliance. The Commission will continue monitoring these aspects of the agreement until their total implementation and urges the State to take the necessary actions for that to happen.</w:t>
      </w:r>
    </w:p>
    <w:p w14:paraId="1B279DE0" w14:textId="77777777" w:rsidR="007E31E3" w:rsidRPr="00524435" w:rsidRDefault="007E31E3" w:rsidP="00705B89">
      <w:pPr>
        <w:pStyle w:val="NoSpacing"/>
        <w:rPr>
          <w:rFonts w:ascii="Cambria" w:hAnsi="Cambria"/>
        </w:rPr>
      </w:pPr>
    </w:p>
    <w:p w14:paraId="59E04F20" w14:textId="2491D9A5" w:rsidR="007E31E3" w:rsidRPr="00524435" w:rsidRDefault="007E31E3" w:rsidP="0009324C">
      <w:pPr>
        <w:pStyle w:val="ListParagraph"/>
        <w:numPr>
          <w:ilvl w:val="0"/>
          <w:numId w:val="23"/>
        </w:numPr>
        <w:tabs>
          <w:tab w:val="left" w:pos="0"/>
        </w:tabs>
        <w:autoSpaceDE/>
        <w:autoSpaceDN/>
        <w:adjustRightInd/>
        <w:spacing w:after="0"/>
        <w:ind w:left="0" w:firstLine="0"/>
        <w:contextualSpacing/>
        <w:rPr>
          <w:rFonts w:cs="Calibri Light"/>
        </w:rPr>
      </w:pPr>
      <w:r w:rsidRPr="00524435">
        <w:rPr>
          <w:rStyle w:val="Nenhum"/>
          <w:rFonts w:cs="Calibri Light"/>
          <w:b/>
          <w:bCs/>
          <w:i/>
          <w:iCs/>
        </w:rPr>
        <w:t xml:space="preserve">Case 12.330, Marcelino Gómez Paredes, Paraguay: </w:t>
      </w:r>
      <w:r w:rsidRPr="00524435">
        <w:rPr>
          <w:rStyle w:val="Nenhum"/>
          <w:rFonts w:cs="Calibri Light"/>
        </w:rPr>
        <w:t>t</w:t>
      </w:r>
      <w:r w:rsidRPr="00524435">
        <w:rPr>
          <w:rFonts w:cs="Calibri Light"/>
          <w:color w:val="333333"/>
        </w:rPr>
        <w:t xml:space="preserve">he case is related to the international responsibility of the State of Paraguay for violations of the rights to personal liberty, humane treatment, life, special measures of protection for children, judicial protection, and judicial guarantees, established in the American Convention on Human Rights, stemming from the disappearance of the children Marcelino Gómez Paredes and Cristian Ariel </w:t>
      </w:r>
      <w:proofErr w:type="spellStart"/>
      <w:r w:rsidRPr="00524435">
        <w:rPr>
          <w:rFonts w:cs="Calibri Light"/>
          <w:color w:val="333333"/>
        </w:rPr>
        <w:t>Núñez</w:t>
      </w:r>
      <w:proofErr w:type="spellEnd"/>
      <w:r w:rsidRPr="00524435">
        <w:rPr>
          <w:rFonts w:cs="Calibri Light"/>
          <w:color w:val="333333"/>
        </w:rPr>
        <w:t xml:space="preserve">, 14 years of age, illegally recruited for compulsory military service and disappeared while under the custody of the Army. On November 4, 2009, the parties signed a friendly settlement agreement in which the Paraguayan State recognized its international responsibility for the human rights violations committed to the detriment of the children Marcelino Gómez Paredes and Cristian Ariel </w:t>
      </w:r>
      <w:proofErr w:type="spellStart"/>
      <w:r w:rsidRPr="00524435">
        <w:rPr>
          <w:rFonts w:cs="Calibri Light"/>
          <w:color w:val="333333"/>
        </w:rPr>
        <w:t>Núñez</w:t>
      </w:r>
      <w:proofErr w:type="spellEnd"/>
      <w:r w:rsidRPr="00524435">
        <w:rPr>
          <w:rFonts w:cs="Calibri Light"/>
          <w:color w:val="333333"/>
        </w:rPr>
        <w:t xml:space="preserve"> and undertook to implement the following measures of reparation: (1) Public ceremony of apologies and acknowledgement of international responsibility in the presence of the country’s high-level authorities, published and widely disseminated by various media outlets; (2) guarantees of justice aimed at investigating </w:t>
      </w:r>
      <w:r w:rsidRPr="00524435">
        <w:rPr>
          <w:rFonts w:cs="Calibri Light"/>
          <w:color w:val="333333"/>
        </w:rPr>
        <w:lastRenderedPageBreak/>
        <w:t xml:space="preserve">the facts and punishing those responsible which includes, </w:t>
      </w:r>
      <w:r w:rsidRPr="00524435">
        <w:rPr>
          <w:rFonts w:cs="Calibri Light"/>
          <w:i/>
          <w:iCs/>
          <w:color w:val="333333"/>
        </w:rPr>
        <w:t>inter alia</w:t>
      </w:r>
      <w:r w:rsidRPr="00524435">
        <w:rPr>
          <w:rFonts w:cs="Calibri Light"/>
          <w:color w:val="333333"/>
        </w:rPr>
        <w:t>, the creation of a truth commission; (3) measures of satisfaction by installing a commemorative plaque and the naming of streets with the children’s names; (4) primary and comprehensive health care measures; (5) measures of security; (6) guarantees of non-repetition by amending Article 236 of the Paraguayan Criminal Code, which defined the crime of forced disappearance and for the definition of a penalty proportional to the seriousness of the crime, and the showing of the documentary “</w:t>
      </w:r>
      <w:r w:rsidRPr="00524435">
        <w:rPr>
          <w:rFonts w:cs="Calibri Light"/>
          <w:i/>
          <w:iCs/>
          <w:color w:val="333333"/>
        </w:rPr>
        <w:t xml:space="preserve">Cuerpo a Tierra: los </w:t>
      </w:r>
      <w:proofErr w:type="spellStart"/>
      <w:r w:rsidRPr="00524435">
        <w:rPr>
          <w:rFonts w:cs="Calibri Light"/>
          <w:i/>
          <w:iCs/>
          <w:color w:val="333333"/>
        </w:rPr>
        <w:t>Niños</w:t>
      </w:r>
      <w:proofErr w:type="spellEnd"/>
      <w:r w:rsidRPr="00524435">
        <w:rPr>
          <w:rFonts w:cs="Calibri Light"/>
          <w:i/>
          <w:iCs/>
          <w:color w:val="333333"/>
        </w:rPr>
        <w:t xml:space="preserve"> Soldados del Paraguay</w:t>
      </w:r>
      <w:r w:rsidRPr="00524435">
        <w:rPr>
          <w:rFonts w:cs="Calibri Light"/>
          <w:color w:val="333333"/>
        </w:rPr>
        <w:t xml:space="preserve">” at the Mariscal Francisco Solano López Military Academy; and, (7) economic compensation. On June 21, 2021, the petitioner requested that the Commission, in the context of Resolution 3/2020 of the IACHR on differentiated actions for addressing the procedural backlog in friendly settlement procedures, approve the friendly settlement agreement signed in this case. In this respect, the Commission found in its Friendly Settlement Report No. </w:t>
      </w:r>
      <w:hyperlink r:id="rId31" w:history="1">
        <w:r w:rsidRPr="00524435">
          <w:rPr>
            <w:rStyle w:val="Hyperlink"/>
            <w:rFonts w:cs="Calibri Light"/>
          </w:rPr>
          <w:t>206/21</w:t>
        </w:r>
      </w:hyperlink>
      <w:r w:rsidRPr="00524435">
        <w:rPr>
          <w:rFonts w:cs="Calibri Light"/>
          <w:color w:val="333333"/>
        </w:rPr>
        <w:t xml:space="preserve">, full compliance with clauses 2(a), 2(b), 2(c), and 2(d) (public ceremony of apologies and its dissemination, and publication of the agreement, respectively); 3(b), at 3(b)(1), 3(b)(2), 3(b)(3), 3(b)(4), and 3(b)(5) (truth commission); 4 (plaque and naming of streets); 5 (primary and comprehensive health care); 6 (security measures); 7 (guarantees of non-repetition); and 8 (monetary reparation). In addition, the IACHR found partial compliance with clause 3(a) (guarantees of justice). Accordingly, the IACHR will continue supervising compliance with clause 3(a) of the friendly settlement agreement until it is totally implemented. </w:t>
      </w:r>
    </w:p>
    <w:p w14:paraId="0D4853AC" w14:textId="77777777" w:rsidR="007E31E3" w:rsidRPr="00524435" w:rsidRDefault="007E31E3" w:rsidP="00705B89">
      <w:pPr>
        <w:spacing w:after="0" w:line="240" w:lineRule="auto"/>
        <w:jc w:val="both"/>
        <w:rPr>
          <w:rFonts w:ascii="Cambria" w:hAnsi="Cambria" w:cs="Calibri Light"/>
          <w:sz w:val="20"/>
          <w:szCs w:val="20"/>
        </w:rPr>
      </w:pPr>
    </w:p>
    <w:p w14:paraId="2ABEA72E" w14:textId="77777777" w:rsidR="007E31E3" w:rsidRPr="00524435" w:rsidRDefault="007E31E3" w:rsidP="00705B89">
      <w:pPr>
        <w:pStyle w:val="ListParagraph"/>
      </w:pPr>
      <w:r w:rsidRPr="00524435">
        <w:t>Consequently, the Commission commends the states of Argentina, Brazil, Colombia, Guatemala, Honduras, Mexico, and Paraguay and urges them to continue taking actions to comply with those friendly settlement agreements, for the next Annual Report in 2022.</w:t>
      </w:r>
    </w:p>
    <w:p w14:paraId="446751FB" w14:textId="77777777" w:rsidR="007E31E3" w:rsidRPr="00524435" w:rsidRDefault="007E31E3" w:rsidP="00E82663">
      <w:pPr>
        <w:pStyle w:val="Heading3"/>
      </w:pPr>
      <w:r w:rsidRPr="00524435">
        <w:t>Activities undertaken to foster friendly settlements in 2021</w:t>
      </w:r>
    </w:p>
    <w:p w14:paraId="4D62105B" w14:textId="77777777" w:rsidR="007E31E3" w:rsidRPr="00524435" w:rsidRDefault="007E31E3" w:rsidP="0009324C">
      <w:pPr>
        <w:pStyle w:val="Heading4"/>
        <w:numPr>
          <w:ilvl w:val="0"/>
          <w:numId w:val="27"/>
        </w:numPr>
        <w:ind w:firstLine="0"/>
      </w:pPr>
      <w:r w:rsidRPr="00524435">
        <w:t>Activities to foster the negotiation and implementation of FSAs</w:t>
      </w:r>
    </w:p>
    <w:p w14:paraId="7952AD3E" w14:textId="77777777" w:rsidR="007E31E3" w:rsidRPr="00524435" w:rsidRDefault="007E31E3" w:rsidP="00705B89">
      <w:pPr>
        <w:pStyle w:val="ListParagraph"/>
        <w:rPr>
          <w:rFonts w:cs="Calibri Light"/>
        </w:rPr>
      </w:pPr>
      <w:r w:rsidRPr="00524435">
        <w:t xml:space="preserve">As regards the line of work that involves actively facilitating the negotiation of and compliance with friendly settlement agreements, in 2021 the Commission held </w:t>
      </w:r>
      <w:r w:rsidRPr="00524435">
        <w:rPr>
          <w:rFonts w:cs="Calibri Light"/>
          <w:b/>
          <w:bCs/>
        </w:rPr>
        <w:t>36</w:t>
      </w:r>
      <w:r w:rsidRPr="00524435">
        <w:rPr>
          <w:rFonts w:cs="Calibri Light"/>
          <w:b/>
        </w:rPr>
        <w:t xml:space="preserve"> </w:t>
      </w:r>
      <w:r w:rsidRPr="00524435">
        <w:rPr>
          <w:rFonts w:cs="Calibri Light"/>
        </w:rPr>
        <w:t xml:space="preserve">working meetings to foster the negotiation and implementation of friendly settlement agreements in different matters from </w:t>
      </w:r>
      <w:bookmarkStart w:id="2" w:name="_Hlk88211461"/>
      <w:r w:rsidRPr="00524435">
        <w:rPr>
          <w:rFonts w:cs="Calibri Light"/>
        </w:rPr>
        <w:t xml:space="preserve">Argentina, Bolivia, Brazil, Chile, Colombia, Honduras, </w:t>
      </w:r>
      <w:r w:rsidRPr="00524435">
        <w:t>Mexico</w:t>
      </w:r>
      <w:r w:rsidRPr="00524435">
        <w:rPr>
          <w:rFonts w:cs="Calibri Light"/>
        </w:rPr>
        <w:t>, Panama, and Paraguay.</w:t>
      </w:r>
      <w:bookmarkEnd w:id="2"/>
      <w:r w:rsidRPr="00524435">
        <w:rPr>
          <w:rFonts w:cs="Calibri Light"/>
        </w:rPr>
        <w:t xml:space="preserve"> Moreover, the Commission facilitated </w:t>
      </w:r>
      <w:r w:rsidRPr="00524435">
        <w:rPr>
          <w:rFonts w:cs="Calibri Light"/>
          <w:b/>
          <w:bCs/>
        </w:rPr>
        <w:t>57</w:t>
      </w:r>
      <w:r w:rsidRPr="00524435">
        <w:rPr>
          <w:rFonts w:cs="Calibri Light"/>
          <w:b/>
        </w:rPr>
        <w:t xml:space="preserve"> </w:t>
      </w:r>
      <w:r w:rsidRPr="00524435">
        <w:rPr>
          <w:rFonts w:cs="Calibri Light"/>
        </w:rPr>
        <w:t xml:space="preserve">technical meetings to foster friendly settlement efforts and/or preparatory meetings over the year, in various matters from Argentina, Bolivia, Brazil, Chile, Colombia, the Dominican Republic, Honduras, Mexico, Panama, Paraguay, and Peru. Accordingly, in 2021 a total of </w:t>
      </w:r>
      <w:r w:rsidRPr="00524435">
        <w:rPr>
          <w:rFonts w:cs="Calibri Light"/>
          <w:b/>
          <w:bCs/>
        </w:rPr>
        <w:t>93</w:t>
      </w:r>
      <w:r w:rsidRPr="00524435">
        <w:rPr>
          <w:rFonts w:cs="Calibri Light"/>
        </w:rPr>
        <w:t xml:space="preserve"> dialogues tables were facilitated with the parties to advance in friendly settlements. </w:t>
      </w:r>
    </w:p>
    <w:p w14:paraId="1DDAFF99" w14:textId="77777777" w:rsidR="007E31E3" w:rsidRPr="00524435" w:rsidRDefault="007E31E3" w:rsidP="00705B89">
      <w:pPr>
        <w:pStyle w:val="ListParagraph"/>
      </w:pPr>
      <w:r w:rsidRPr="00524435">
        <w:t xml:space="preserve">Throughout 2021 the Commission held </w:t>
      </w:r>
      <w:r w:rsidRPr="00524435">
        <w:rPr>
          <w:b/>
        </w:rPr>
        <w:t xml:space="preserve">15 </w:t>
      </w:r>
      <w:r w:rsidRPr="00524435">
        <w:t xml:space="preserve">periodic meetings to review the portfolios of negotiation and monitoring of friendly settlements with Argentina (1); Bolivia (1); Chile (1); Colombia (2); Costa Rica (1); the Dominican Republic (1); Ecuador (2); Guatemala (1); Mexico (3); Panama (1); and Peru (1). </w:t>
      </w:r>
    </w:p>
    <w:p w14:paraId="24072380" w14:textId="77777777" w:rsidR="007E31E3" w:rsidRPr="00524435" w:rsidRDefault="007E31E3" w:rsidP="00705B89">
      <w:pPr>
        <w:pStyle w:val="ListParagraph"/>
      </w:pPr>
      <w:r w:rsidRPr="00524435">
        <w:t xml:space="preserve">In 2021, the Commission issued </w:t>
      </w:r>
      <w:r w:rsidRPr="00524435">
        <w:rPr>
          <w:b/>
          <w:bCs/>
        </w:rPr>
        <w:t>25</w:t>
      </w:r>
      <w:r w:rsidRPr="00524435">
        <w:rPr>
          <w:b/>
        </w:rPr>
        <w:t xml:space="preserve"> </w:t>
      </w:r>
      <w:r w:rsidRPr="00524435">
        <w:t>press releases on friendly settlements</w:t>
      </w:r>
      <w:r w:rsidRPr="00524435">
        <w:rPr>
          <w:rStyle w:val="FootnoteReference"/>
          <w:rFonts w:cs="Calibri Light"/>
        </w:rPr>
        <w:footnoteReference w:id="14"/>
      </w:r>
      <w:r w:rsidRPr="00524435">
        <w:t xml:space="preserve"> and maintained the practice of making visible the progress in the implementation of friendly settlement agreements in the </w:t>
      </w:r>
      <w:r w:rsidRPr="00524435">
        <w:lastRenderedPageBreak/>
        <w:t xml:space="preserve">negotiation phase, </w:t>
      </w:r>
      <w:proofErr w:type="gramStart"/>
      <w:r w:rsidRPr="00524435">
        <w:t>as long as</w:t>
      </w:r>
      <w:proofErr w:type="gramEnd"/>
      <w:r w:rsidRPr="00524435">
        <w:t xml:space="preserve"> both parties agree, due to the confidential nature of the negotiations of friendly settlements before issuing the respective homologation report. The Commission also maintained the practice of publishing press releases when signing and approving friendly settlement agreements and making visible the compliance with the measures in the friendly settlement agreements whose total compliance has been attained during the monitoring phase </w:t>
      </w:r>
      <w:proofErr w:type="gramStart"/>
      <w:r w:rsidRPr="00524435">
        <w:t>so as to</w:t>
      </w:r>
      <w:proofErr w:type="gramEnd"/>
      <w:r w:rsidRPr="00524435">
        <w:t xml:space="preserve"> encourage the authorities in charge of the execution of those measures to follow through on the commitments assumed by the States in friendly settlement agreements. </w:t>
      </w:r>
    </w:p>
    <w:p w14:paraId="5CFA7C5A" w14:textId="77777777" w:rsidR="007E31E3" w:rsidRPr="00524435" w:rsidRDefault="007E31E3" w:rsidP="001A1AB3">
      <w:pPr>
        <w:pStyle w:val="ListParagraph"/>
        <w:rPr>
          <w:rStyle w:val="Nenhum"/>
          <w:rFonts w:cs="Calibri Light"/>
        </w:rPr>
      </w:pPr>
      <w:r w:rsidRPr="00524435">
        <w:rPr>
          <w:rStyle w:val="Nenhum"/>
          <w:rFonts w:cs="Calibri Light"/>
        </w:rPr>
        <w:t xml:space="preserve">In 2021, the Commission published </w:t>
      </w:r>
      <w:r w:rsidRPr="00524435">
        <w:rPr>
          <w:rStyle w:val="Nenhum"/>
          <w:rFonts w:cs="Calibri Light"/>
          <w:b/>
          <w:bCs/>
        </w:rPr>
        <w:t>15</w:t>
      </w:r>
      <w:r w:rsidRPr="00524435">
        <w:rPr>
          <w:rStyle w:val="Nenhum"/>
          <w:rFonts w:cs="Calibri Light"/>
        </w:rPr>
        <w:t xml:space="preserve"> reports approving friendly settlement agreements pursuant to Article 49 of the American Convention. In this regard, over the year the IACHR cleared up </w:t>
      </w:r>
      <w:r w:rsidRPr="00524435">
        <w:rPr>
          <w:rStyle w:val="Nenhum"/>
          <w:rFonts w:cs="Calibri Light"/>
          <w:b/>
        </w:rPr>
        <w:t xml:space="preserve">34 </w:t>
      </w:r>
      <w:r w:rsidRPr="00524435">
        <w:rPr>
          <w:rStyle w:val="Nenhum"/>
          <w:rFonts w:cs="Calibri Light"/>
        </w:rPr>
        <w:t xml:space="preserve">matters under the friendly settlement mechanism through </w:t>
      </w:r>
      <w:r w:rsidRPr="00524435">
        <w:rPr>
          <w:rStyle w:val="Nenhum"/>
          <w:rFonts w:cs="Calibri Light"/>
          <w:b/>
        </w:rPr>
        <w:t>15</w:t>
      </w:r>
      <w:r w:rsidRPr="00524435">
        <w:rPr>
          <w:rStyle w:val="Nenhum"/>
          <w:rFonts w:cs="Calibri Light"/>
        </w:rPr>
        <w:t xml:space="preserve"> homologations, </w:t>
      </w:r>
      <w:r w:rsidRPr="00524435">
        <w:rPr>
          <w:rStyle w:val="Nenhum"/>
          <w:rFonts w:cs="Calibri Light"/>
          <w:b/>
        </w:rPr>
        <w:t>16</w:t>
      </w:r>
      <w:r w:rsidRPr="00524435">
        <w:rPr>
          <w:rStyle w:val="Nenhum"/>
          <w:rFonts w:cs="Calibri Light"/>
        </w:rPr>
        <w:t xml:space="preserve"> instances of ending negotiations at the request of the parties, </w:t>
      </w:r>
      <w:r w:rsidRPr="00524435">
        <w:rPr>
          <w:rStyle w:val="Nenhum"/>
          <w:rFonts w:cs="Calibri Light"/>
          <w:b/>
          <w:bCs/>
        </w:rPr>
        <w:t xml:space="preserve">1 </w:t>
      </w:r>
      <w:r w:rsidRPr="00524435">
        <w:rPr>
          <w:rStyle w:val="Nenhum"/>
          <w:rFonts w:cs="Calibri Light"/>
        </w:rPr>
        <w:t xml:space="preserve">matter archived in the negotiation phase, and </w:t>
      </w:r>
      <w:r w:rsidRPr="00524435">
        <w:rPr>
          <w:rStyle w:val="Nenhum"/>
          <w:rFonts w:cs="Calibri Light"/>
          <w:b/>
          <w:bCs/>
        </w:rPr>
        <w:t>2</w:t>
      </w:r>
      <w:r w:rsidRPr="00524435">
        <w:rPr>
          <w:rStyle w:val="Nenhum"/>
          <w:rFonts w:cs="Calibri Light"/>
          <w:b/>
          <w:color w:val="FF0000"/>
        </w:rPr>
        <w:t xml:space="preserve"> </w:t>
      </w:r>
      <w:r w:rsidRPr="00524435">
        <w:rPr>
          <w:rStyle w:val="Nenhum"/>
          <w:rFonts w:cs="Calibri Light"/>
        </w:rPr>
        <w:t>matters archived in the monitoring phase due to inactivity or at the request of the petitioner.</w:t>
      </w:r>
    </w:p>
    <w:p w14:paraId="51D88EF9" w14:textId="77777777" w:rsidR="007E31E3" w:rsidRPr="00524435" w:rsidRDefault="007E31E3" w:rsidP="001A1AB3">
      <w:pPr>
        <w:pStyle w:val="ListParagraph"/>
        <w:rPr>
          <w:rStyle w:val="Nenhum"/>
          <w:rFonts w:cs="Calibri Light"/>
        </w:rPr>
      </w:pPr>
      <w:r w:rsidRPr="00524435">
        <w:rPr>
          <w:rStyle w:val="Nenhum"/>
          <w:rFonts w:cs="Calibri Light"/>
        </w:rPr>
        <w:t xml:space="preserve">In application of Resolution 3/20, on differentiated actions to address the procedural backlog in friendly settlement procedures, the Commission played a more active role in deciding the course of action for matters under the mechanism, and, mainly, progress was made with early identification of the unfeasibility of a friendly settlement process. In that regard, the Commission determined the course of action of the negotiation in the context of </w:t>
      </w:r>
      <w:r w:rsidRPr="00524435">
        <w:rPr>
          <w:b/>
          <w:bCs/>
          <w:i/>
        </w:rPr>
        <w:t>Petition P-861-13, Andrea Karina Vásquez, Argentina</w:t>
      </w:r>
      <w:r w:rsidRPr="00524435">
        <w:rPr>
          <w:iCs/>
        </w:rPr>
        <w:t xml:space="preserve">, related to the international responsibility of the Argentine State for the alleged violations of the rights to humane treatment, due process, judicial protection, rights of the child, and protection of the family, in the context of a custody proceeding on behalf of a child, as well as with respect to the establishment of a custody regime living with his mother. In the context of the friendly settlement process the Commission observed the incompatibility of the petitioner’s claims with the standards of protection of the rights of the child, as they entail an interest related to the cessation of the judicial proceedings under way. In this respect, the Commission considered that the negotiation of a friendly settlement agreement that sought to intervene in the determination that must be made by the domestic courts of justice would not be compatible with the standards established by the Commission and the Inter-American Court, and therefore concluded the friendly settlement process. Hence, the matter has </w:t>
      </w:r>
      <w:r w:rsidRPr="00524435">
        <w:rPr>
          <w:iCs/>
        </w:rPr>
        <w:lastRenderedPageBreak/>
        <w:t xml:space="preserve">returned to the litigation and the Commission will continue considering this complaint giving priority to the assessment of admissibility. </w:t>
      </w:r>
    </w:p>
    <w:p w14:paraId="02AA8976" w14:textId="77777777" w:rsidR="007E31E3" w:rsidRPr="00524435" w:rsidRDefault="007E31E3" w:rsidP="001A1AB3">
      <w:pPr>
        <w:pStyle w:val="ListParagraph"/>
      </w:pPr>
      <w:r w:rsidRPr="00524435">
        <w:t xml:space="preserve">In addition, the Commission provided technical assistance to the parties in </w:t>
      </w:r>
      <w:r w:rsidRPr="00524435">
        <w:rPr>
          <w:b/>
        </w:rPr>
        <w:t>2</w:t>
      </w:r>
      <w:r w:rsidRPr="00524435">
        <w:t xml:space="preserve"> matters. First, technical assistance was provided to the parties in </w:t>
      </w:r>
      <w:r w:rsidRPr="00524435">
        <w:rPr>
          <w:b/>
          <w:bCs/>
          <w:i/>
        </w:rPr>
        <w:t xml:space="preserve">Case 11.545 Martha </w:t>
      </w:r>
      <w:proofErr w:type="spellStart"/>
      <w:r w:rsidRPr="00524435">
        <w:rPr>
          <w:b/>
          <w:bCs/>
          <w:i/>
        </w:rPr>
        <w:t>Saire</w:t>
      </w:r>
      <w:proofErr w:type="spellEnd"/>
      <w:r w:rsidRPr="00524435">
        <w:rPr>
          <w:b/>
          <w:bCs/>
          <w:i/>
        </w:rPr>
        <w:t>, Honduras</w:t>
      </w:r>
      <w:r w:rsidRPr="00524435">
        <w:rPr>
          <w:iCs/>
        </w:rPr>
        <w:t>, providing the parties with standards on the protection of the rights of persons with disabilities, to amend a friendly settlement agreement originally signed in 2003 that was not in line with the relevant updated standards in the subject. Based on the work of active facilitation and advising the parties the technical obstacles were overcome, a memorandum of understanding was signed in the context of the 179</w:t>
      </w:r>
      <w:r w:rsidRPr="00524435">
        <w:rPr>
          <w:iCs/>
          <w:vertAlign w:val="superscript"/>
        </w:rPr>
        <w:t>th</w:t>
      </w:r>
      <w:r w:rsidRPr="00524435">
        <w:rPr>
          <w:iCs/>
        </w:rPr>
        <w:t xml:space="preserve"> regular period of sessions, and progress was made with the approval of the agreement.</w:t>
      </w:r>
      <w:r w:rsidRPr="00524435">
        <w:rPr>
          <w:rStyle w:val="FootnoteReference"/>
          <w:rFonts w:cs="Calibri Light"/>
          <w:iCs/>
        </w:rPr>
        <w:footnoteReference w:id="15"/>
      </w:r>
      <w:r w:rsidRPr="00524435">
        <w:rPr>
          <w:iCs/>
        </w:rPr>
        <w:t xml:space="preserve"> In addition, a technical assistance was prepared to foster compliance with the act of recognition of responsibility and redress clause </w:t>
      </w:r>
      <w:r w:rsidRPr="00524435">
        <w:rPr>
          <w:rStyle w:val="Nenhum"/>
          <w:rFonts w:cs="Calibri Light"/>
        </w:rPr>
        <w:t xml:space="preserve">regarding the friendly settlement agreements, approved by the Commission in Friendly Settlement </w:t>
      </w:r>
      <w:r w:rsidRPr="00524435">
        <w:rPr>
          <w:rStyle w:val="Nenhum"/>
          <w:rFonts w:cs="Calibri Light"/>
          <w:b/>
          <w:bCs/>
        </w:rPr>
        <w:t>Reports</w:t>
      </w:r>
      <w:r w:rsidRPr="00524435">
        <w:rPr>
          <w:rStyle w:val="Nenhum"/>
          <w:rFonts w:cs="Calibri Light"/>
        </w:rPr>
        <w:t xml:space="preserve"> </w:t>
      </w:r>
      <w:r w:rsidRPr="00524435">
        <w:rPr>
          <w:rStyle w:val="Nenhum"/>
          <w:rFonts w:cs="Calibri Light"/>
          <w:b/>
          <w:bCs/>
        </w:rPr>
        <w:t>20/07, 71/07, 20/08, and 22/11</w:t>
      </w:r>
      <w:r w:rsidRPr="00524435">
        <w:rPr>
          <w:rStyle w:val="Nenhum"/>
          <w:rFonts w:cs="Calibri Light"/>
        </w:rPr>
        <w:t xml:space="preserve">, which are subject to monitoring, on the issue of the unratified judges in Peru, and in which that would be the only point pending of compliance with respect to 97 persons of the universe of 188 beneficiaries in this context. In this regard it should be noted that the rest of the measures of the friendly settlement agreements have met total compliance as regards the other measures to reinstate the victims in the judicial branch, recognition of the time of service, and payment of expenses and costs., it should be noted that in general the Commission, through its Friendly Settlements and Monitoring Section, provided constant support to the users for the design and total implementation of the friendly settlement agreements. </w:t>
      </w:r>
    </w:p>
    <w:p w14:paraId="2C4A3D33" w14:textId="77777777" w:rsidR="007E31E3" w:rsidRPr="00524435" w:rsidRDefault="007E31E3" w:rsidP="001A1AB3">
      <w:pPr>
        <w:pStyle w:val="ListParagraph"/>
        <w:rPr>
          <w:rStyle w:val="Nenhum"/>
          <w:rFonts w:cs="Calibri Light"/>
        </w:rPr>
      </w:pPr>
      <w:r w:rsidRPr="00524435">
        <w:t xml:space="preserve">The Commission also assessed and approved the arbitration award issued in compliance with the friendly settlement agreement signed in petition </w:t>
      </w:r>
      <w:r w:rsidRPr="00524435">
        <w:rPr>
          <w:rStyle w:val="Nenhum"/>
          <w:rFonts w:cs="Calibri Light"/>
          <w:b/>
          <w:bCs/>
          <w:i/>
          <w:iCs/>
        </w:rPr>
        <w:t>P-21-05 Ignacio Cardozo of Argentina</w:t>
      </w:r>
      <w:r w:rsidRPr="00524435">
        <w:rPr>
          <w:rStyle w:val="Nenhum"/>
          <w:rFonts w:cs="Calibri Light"/>
        </w:rPr>
        <w:t xml:space="preserve"> for the determination of economic compensation in favor of the beneficiaries of the friendly settlement agreement. The case refers to the events of December 17, 1999, when heavily armed members of the national gendarmerie, violently removed “hundreds of demonstrators” who had been occupying the General Manuel Belgrano Bridge in the context of a protest in the province of Corrientes. According to the petitioners’ account, two persons lost their lives and about 50 people suffered injuries in those events. The petitioners alleged that up to the filing of the petition, in January 2005, there had been no progress in the investigation, for which they argued that through the judicial delay on the part of the State the perpetrators of the violations were not being held accountable before the justice system. </w:t>
      </w:r>
    </w:p>
    <w:p w14:paraId="10C51EAA" w14:textId="77777777" w:rsidR="007E31E3" w:rsidRPr="00524435" w:rsidRDefault="007E31E3" w:rsidP="001A1AB3">
      <w:pPr>
        <w:pStyle w:val="ListParagraph"/>
      </w:pPr>
      <w:r w:rsidRPr="00524435">
        <w:t>In 2021, the Commission published two press reports, at its channel Canal CIDH, on the antecedents of emblematic cases of friendly settlement agreements</w:t>
      </w:r>
      <w:r w:rsidRPr="00524435">
        <w:rPr>
          <w:rStyle w:val="FootnoteReference"/>
          <w:rFonts w:cs="Calibri Light"/>
        </w:rPr>
        <w:footnoteReference w:id="16"/>
      </w:r>
      <w:r w:rsidRPr="00524435">
        <w:t xml:space="preserve">, namely, </w:t>
      </w:r>
      <w:r w:rsidRPr="00524435">
        <w:rPr>
          <w:b/>
          <w:bCs/>
          <w:i/>
          <w:iCs/>
        </w:rPr>
        <w:t>Cases</w:t>
      </w:r>
      <w:r w:rsidRPr="00524435">
        <w:t xml:space="preserve"> </w:t>
      </w:r>
      <w:r w:rsidRPr="00524435">
        <w:rPr>
          <w:b/>
          <w:bCs/>
          <w:i/>
          <w:iCs/>
        </w:rPr>
        <w:t>13.011, Graciela Ramos Rocha, Argentina</w:t>
      </w:r>
      <w:r w:rsidRPr="00524435">
        <w:rPr>
          <w:rStyle w:val="FootnoteReference"/>
          <w:rFonts w:cs="Calibri Light"/>
          <w:b/>
          <w:bCs/>
        </w:rPr>
        <w:footnoteReference w:id="17"/>
      </w:r>
      <w:r w:rsidRPr="00524435">
        <w:t>;</w:t>
      </w:r>
      <w:r w:rsidRPr="00524435">
        <w:rPr>
          <w:b/>
          <w:bCs/>
        </w:rPr>
        <w:t xml:space="preserve"> </w:t>
      </w:r>
      <w:r w:rsidRPr="00524435">
        <w:rPr>
          <w:b/>
          <w:bCs/>
          <w:i/>
          <w:iCs/>
        </w:rPr>
        <w:t>12.191,</w:t>
      </w:r>
      <w:r w:rsidRPr="00524435">
        <w:t xml:space="preserve"> </w:t>
      </w:r>
      <w:r w:rsidRPr="00524435">
        <w:rPr>
          <w:b/>
          <w:bCs/>
          <w:i/>
          <w:iCs/>
        </w:rPr>
        <w:t xml:space="preserve">María </w:t>
      </w:r>
      <w:proofErr w:type="spellStart"/>
      <w:r w:rsidRPr="00524435">
        <w:rPr>
          <w:b/>
          <w:bCs/>
          <w:i/>
          <w:iCs/>
        </w:rPr>
        <w:t>Mamérita</w:t>
      </w:r>
      <w:proofErr w:type="spellEnd"/>
      <w:r w:rsidRPr="00524435">
        <w:rPr>
          <w:b/>
          <w:bCs/>
          <w:i/>
          <w:iCs/>
        </w:rPr>
        <w:t xml:space="preserve"> </w:t>
      </w:r>
      <w:proofErr w:type="spellStart"/>
      <w:r w:rsidRPr="00524435">
        <w:rPr>
          <w:b/>
          <w:bCs/>
          <w:i/>
          <w:iCs/>
        </w:rPr>
        <w:t>Mestanza</w:t>
      </w:r>
      <w:proofErr w:type="spellEnd"/>
      <w:r w:rsidRPr="00524435">
        <w:rPr>
          <w:b/>
          <w:bCs/>
          <w:i/>
          <w:iCs/>
        </w:rPr>
        <w:t>, Peru</w:t>
      </w:r>
      <w:r w:rsidRPr="00524435">
        <w:rPr>
          <w:rStyle w:val="FootnoteReference"/>
          <w:rFonts w:cs="Calibri Light"/>
        </w:rPr>
        <w:footnoteReference w:id="18"/>
      </w:r>
      <w:r w:rsidRPr="00524435">
        <w:t xml:space="preserve">; and </w:t>
      </w:r>
      <w:r w:rsidRPr="00524435">
        <w:rPr>
          <w:b/>
          <w:bCs/>
          <w:i/>
          <w:iCs/>
        </w:rPr>
        <w:t>12.942 Emilia Morales Campos, Costa Rica</w:t>
      </w:r>
      <w:r w:rsidRPr="00524435">
        <w:rPr>
          <w:rStyle w:val="FootnoteReference"/>
          <w:rFonts w:cs="Calibri Light"/>
          <w:b/>
          <w:bCs/>
          <w:i/>
          <w:iCs/>
        </w:rPr>
        <w:footnoteReference w:id="19"/>
      </w:r>
      <w:r w:rsidRPr="00524435">
        <w:t xml:space="preserve">, with the aim of make visible the impacts of the friendly settlement mechanism, in the words of the victims themselves and their representatives, and including as well the views of the States regarding said reparation processes. </w:t>
      </w:r>
    </w:p>
    <w:p w14:paraId="38DFBBB3" w14:textId="77777777" w:rsidR="007E31E3" w:rsidRPr="00524435" w:rsidRDefault="007E31E3" w:rsidP="001A1AB3">
      <w:pPr>
        <w:pStyle w:val="ListParagraph"/>
      </w:pPr>
      <w:r w:rsidRPr="00524435">
        <w:lastRenderedPageBreak/>
        <w:t>Finally, the Commission participated in nine acts for signing and/or acknowledgement of responsibility in compliance with different friendly settlement agreements of Argentina</w:t>
      </w:r>
      <w:r w:rsidRPr="00524435">
        <w:rPr>
          <w:rStyle w:val="FootnoteReference"/>
          <w:rFonts w:cs="Calibri Light"/>
        </w:rPr>
        <w:footnoteReference w:id="20"/>
      </w:r>
      <w:r w:rsidRPr="00524435">
        <w:t>, Chile</w:t>
      </w:r>
      <w:r w:rsidRPr="00524435">
        <w:rPr>
          <w:rStyle w:val="FootnoteReference"/>
          <w:rFonts w:cs="Calibri Light"/>
        </w:rPr>
        <w:footnoteReference w:id="21"/>
      </w:r>
      <w:r w:rsidRPr="00524435">
        <w:t xml:space="preserve"> and Colombia.</w:t>
      </w:r>
      <w:r w:rsidRPr="00524435">
        <w:rPr>
          <w:rStyle w:val="FootnoteReference"/>
          <w:rFonts w:cs="Calibri Light"/>
        </w:rPr>
        <w:footnoteReference w:id="22"/>
      </w:r>
      <w:r w:rsidRPr="00524435">
        <w:t xml:space="preserve"> In this respect, the Commission values and welcomes the good will of these States for the implementation of these important redress measures in virtual mode, as well as for disseminating them across different media and networks. </w:t>
      </w:r>
    </w:p>
    <w:p w14:paraId="030BB5F6" w14:textId="572014F1" w:rsidR="007E31E3" w:rsidRPr="00524435" w:rsidRDefault="007E31E3" w:rsidP="001A1AB3">
      <w:pPr>
        <w:pStyle w:val="Heading4"/>
        <w:rPr>
          <w:rFonts w:cs="Calibri Light"/>
        </w:rPr>
      </w:pPr>
      <w:r w:rsidRPr="00524435">
        <w:rPr>
          <w:rStyle w:val="Nenhum"/>
          <w:szCs w:val="20"/>
        </w:rPr>
        <w:t xml:space="preserve">Activities to promote </w:t>
      </w:r>
      <w:r w:rsidRPr="00524435">
        <w:t>the sharing and dissemination of best practices in friendly solutions and to develop tools to facilitate access to information regarding the friendly settlement procedure for users of the inter-American human rights system</w:t>
      </w:r>
    </w:p>
    <w:p w14:paraId="684FE072" w14:textId="77777777" w:rsidR="007E31E3" w:rsidRPr="00524435" w:rsidRDefault="007E31E3" w:rsidP="001A1AB3">
      <w:pPr>
        <w:pStyle w:val="ListParagraph"/>
        <w:rPr>
          <w:rStyle w:val="Nenhum"/>
          <w:rFonts w:cs="Calibri Light"/>
        </w:rPr>
      </w:pPr>
      <w:r w:rsidRPr="00524435">
        <w:rPr>
          <w:rStyle w:val="Nenhum"/>
          <w:rFonts w:cs="Calibri Light"/>
        </w:rPr>
        <w:t xml:space="preserve">Regarding the IACHR’s line of action of promoting and disseminating good practices about friendly settlements, it is highlighted in a positive vein that in 2021 different training </w:t>
      </w:r>
      <w:r w:rsidRPr="00524435">
        <w:rPr>
          <w:rStyle w:val="Nenhum"/>
        </w:rPr>
        <w:t>activities</w:t>
      </w:r>
      <w:r w:rsidRPr="00524435">
        <w:rPr>
          <w:rStyle w:val="Nenhum"/>
          <w:rFonts w:cs="Calibri Light"/>
        </w:rPr>
        <w:t xml:space="preserve"> were carried out, and good practices related to friendly settlement were shared. </w:t>
      </w:r>
    </w:p>
    <w:p w14:paraId="6AC885C2" w14:textId="77777777" w:rsidR="007E31E3" w:rsidRPr="00524435" w:rsidRDefault="007E31E3" w:rsidP="001A1AB3">
      <w:pPr>
        <w:pStyle w:val="ListParagraph"/>
      </w:pPr>
      <w:r w:rsidRPr="00524435">
        <w:t>For example, on May 13, 2021, a workshop was held geared to public servants of the Presidential Commission for Peace and Human Rights [</w:t>
      </w:r>
      <w:proofErr w:type="spellStart"/>
      <w:r w:rsidRPr="00524435">
        <w:rPr>
          <w:i/>
        </w:rPr>
        <w:t>Comisión</w:t>
      </w:r>
      <w:proofErr w:type="spellEnd"/>
      <w:r w:rsidRPr="00524435">
        <w:rPr>
          <w:i/>
        </w:rPr>
        <w:t xml:space="preserve"> </w:t>
      </w:r>
      <w:proofErr w:type="spellStart"/>
      <w:r w:rsidRPr="00524435">
        <w:rPr>
          <w:i/>
        </w:rPr>
        <w:t>Presidencial</w:t>
      </w:r>
      <w:proofErr w:type="spellEnd"/>
      <w:r w:rsidRPr="00524435">
        <w:rPr>
          <w:i/>
        </w:rPr>
        <w:t xml:space="preserve"> para la Paz y los Derechos Humanos -COPADEH- in Spanish</w:t>
      </w:r>
      <w:r w:rsidRPr="00524435">
        <w:t xml:space="preserve">] and the Office of the Human Rights Ombudsperson of Guatemala on the practical and procedural aspects to be considered when using the friendly settlement mechanism. This workshop included theoretical and practical procedural aspects of the friendly settlement mechanism considering the legal framework that regulates it, including technical tools for negotiation and practical application of the information provided, as well as a practical simulation of the activities required to reach a friendly settlement. </w:t>
      </w:r>
    </w:p>
    <w:p w14:paraId="53192ED7" w14:textId="77777777" w:rsidR="007E31E3" w:rsidRPr="00524435" w:rsidRDefault="007E31E3" w:rsidP="001A1AB3">
      <w:pPr>
        <w:pStyle w:val="ListParagraph"/>
      </w:pPr>
      <w:r w:rsidRPr="00524435">
        <w:t xml:space="preserve">On July 7, 2021, a training was conducted on </w:t>
      </w:r>
      <w:r w:rsidRPr="00524435">
        <w:rPr>
          <w:b/>
          <w:bCs/>
        </w:rPr>
        <w:t>“Tools for investigating cases of violence, torture, and deaths in custody,”</w:t>
      </w:r>
      <w:r w:rsidRPr="00524435">
        <w:t xml:space="preserve"> aimed to the forensic medical corps of Argentina, in which the Commission participated with a presentation on </w:t>
      </w:r>
      <w:r w:rsidRPr="00524435">
        <w:rPr>
          <w:b/>
          <w:bCs/>
        </w:rPr>
        <w:t>“</w:t>
      </w:r>
      <w:r w:rsidRPr="00524435">
        <w:rPr>
          <w:b/>
          <w:bCs/>
          <w:i/>
          <w:iCs/>
        </w:rPr>
        <w:t>International Human Rights Law. Normative hierarchy of international treaties. The Istanbul and Minnesota Protocols,</w:t>
      </w:r>
      <w:r w:rsidRPr="00524435">
        <w:t xml:space="preserve">” this training was part of the compliance with the friendly settlement agreement in </w:t>
      </w:r>
      <w:r w:rsidRPr="00524435">
        <w:rPr>
          <w:i/>
          <w:iCs/>
        </w:rPr>
        <w:t xml:space="preserve">Case 12.854 Ricardo Javier </w:t>
      </w:r>
      <w:proofErr w:type="spellStart"/>
      <w:r w:rsidRPr="00524435">
        <w:rPr>
          <w:i/>
          <w:iCs/>
        </w:rPr>
        <w:t>Kaplún</w:t>
      </w:r>
      <w:proofErr w:type="spellEnd"/>
      <w:r w:rsidRPr="00524435">
        <w:rPr>
          <w:i/>
          <w:iCs/>
        </w:rPr>
        <w:t xml:space="preserve"> of Argentina</w:t>
      </w:r>
      <w:r w:rsidRPr="00524435">
        <w:t xml:space="preserve">, which is currently being monitored by the Commission, and which is related to the use of police force in the context of the detention and death of the victim in circumstances that have not been clarified while deprived of liberty in a police station. The Vice President of the IACHR and Rapporteur for Argentina, Commissioner Julissa Mantilla, participated in the training with the technical support of the Friendly Settlements and Monitoring Section. </w:t>
      </w:r>
    </w:p>
    <w:p w14:paraId="51F9CA49" w14:textId="77777777" w:rsidR="007E31E3" w:rsidRPr="00524435" w:rsidRDefault="007E31E3" w:rsidP="001A1AB3">
      <w:pPr>
        <w:pStyle w:val="ListParagraph"/>
      </w:pPr>
      <w:r w:rsidRPr="00524435">
        <w:t>On August 11, 2021, a course was held on “</w:t>
      </w:r>
      <w:r w:rsidRPr="00524435">
        <w:rPr>
          <w:b/>
          <w:bCs/>
        </w:rPr>
        <w:t>Investigating cases of appropriation of children during the period of State terrorism</w:t>
      </w:r>
      <w:r w:rsidRPr="00524435">
        <w:t xml:space="preserve">” (held in the context of compliance of the friendly settlement agreement in Petition P-242-03 Inocencia Luca de Pegoraro of Argentina). It included the participation of Commissioners Antonia Urrejola and Julissa Mantilla, in their capacities as President and Rapporteur of the IACHR on Memory, Truth, and Justice, and First Vice-President and Rapporteur of the IACHR for Argentina, respectively, and with the technical support of the Friendly Settlements and Monitoring Section. This event prompted the total </w:t>
      </w:r>
      <w:r w:rsidRPr="00524435">
        <w:lastRenderedPageBreak/>
        <w:t xml:space="preserve">compliance with the friendly settlement agreement signed in Petition 242-03, which had been subject to monitoring by the Commission for the last 11 years. </w:t>
      </w:r>
      <w:bookmarkStart w:id="4" w:name="_Hlk84335547"/>
    </w:p>
    <w:p w14:paraId="783EB41E" w14:textId="77777777" w:rsidR="007E31E3" w:rsidRPr="00524435" w:rsidRDefault="007E31E3" w:rsidP="001A1AB3">
      <w:pPr>
        <w:pStyle w:val="ListParagraph"/>
      </w:pPr>
      <w:r w:rsidRPr="00524435">
        <w:t>From September 3 to 11, 2021, a course was held geared to public servants of the Chihuahua State Commission for Human Rights [</w:t>
      </w:r>
      <w:proofErr w:type="spellStart"/>
      <w:r w:rsidRPr="00524435">
        <w:rPr>
          <w:i/>
        </w:rPr>
        <w:t>Comisión</w:t>
      </w:r>
      <w:proofErr w:type="spellEnd"/>
      <w:r w:rsidRPr="00524435">
        <w:rPr>
          <w:i/>
        </w:rPr>
        <w:t xml:space="preserve"> </w:t>
      </w:r>
      <w:proofErr w:type="spellStart"/>
      <w:r w:rsidRPr="00524435">
        <w:rPr>
          <w:i/>
        </w:rPr>
        <w:t>Estatal</w:t>
      </w:r>
      <w:proofErr w:type="spellEnd"/>
      <w:r w:rsidRPr="00524435">
        <w:rPr>
          <w:i/>
        </w:rPr>
        <w:t xml:space="preserve"> de Derechos Humanos -CEDH- in Spanish</w:t>
      </w:r>
      <w:r w:rsidRPr="00524435">
        <w:t xml:space="preserve">] </w:t>
      </w:r>
      <w:proofErr w:type="gramStart"/>
      <w:r w:rsidRPr="00524435">
        <w:t>on the subject of comprehensive</w:t>
      </w:r>
      <w:proofErr w:type="gramEnd"/>
      <w:r w:rsidRPr="00524435">
        <w:t xml:space="preserve"> reparation for the harm caused due to human rights violations. The training sought to provide the personnel in attendance with practical tools for performing their functions in the different stages of action of the CEDH, which begin with receiving a complaint for an alleged violation of human rights and can continue to monitor the recommendations issued by the CEDH to make reparation for violations that have been found, if appropriate. </w:t>
      </w:r>
    </w:p>
    <w:p w14:paraId="06A20E03" w14:textId="77777777" w:rsidR="007E31E3" w:rsidRPr="00524435" w:rsidRDefault="007E31E3" w:rsidP="001A1AB3">
      <w:pPr>
        <w:pStyle w:val="ListParagraph"/>
      </w:pPr>
      <w:r w:rsidRPr="00524435">
        <w:t xml:space="preserve">In addition, on September 14, 2021, a training was held with students from the international course on public policy and human rights in the context of the specialization program in the Inter-American human rights system that is part of a cooperation agreement between the IACHR and the Institute for Public Policy on Human Rights of MERCOSUR. </w:t>
      </w:r>
    </w:p>
    <w:p w14:paraId="2BCD531F" w14:textId="77777777" w:rsidR="007E31E3" w:rsidRPr="00524435" w:rsidRDefault="007E31E3" w:rsidP="001A1AB3">
      <w:pPr>
        <w:pStyle w:val="ListParagraph"/>
      </w:pPr>
      <w:r w:rsidRPr="00524435">
        <w:t>On September 28, 2021, a training was held on “</w:t>
      </w:r>
      <w:r w:rsidRPr="00524435">
        <w:rPr>
          <w:b/>
          <w:bCs/>
          <w:i/>
        </w:rPr>
        <w:t>Investigating human rights violations</w:t>
      </w:r>
      <w:r w:rsidRPr="00524435">
        <w:t>” for the personnel of the Office of the Attorney General [</w:t>
      </w:r>
      <w:proofErr w:type="spellStart"/>
      <w:r w:rsidRPr="00524435">
        <w:rPr>
          <w:i/>
        </w:rPr>
        <w:t>Fiscalía</w:t>
      </w:r>
      <w:proofErr w:type="spellEnd"/>
      <w:r w:rsidRPr="00524435">
        <w:rPr>
          <w:i/>
        </w:rPr>
        <w:t xml:space="preserve"> General de la </w:t>
      </w:r>
      <w:proofErr w:type="spellStart"/>
      <w:r w:rsidRPr="00524435">
        <w:rPr>
          <w:i/>
        </w:rPr>
        <w:t>Nación</w:t>
      </w:r>
      <w:proofErr w:type="spellEnd"/>
      <w:r w:rsidRPr="00524435">
        <w:t>] and the Office of the Solicitor General [</w:t>
      </w:r>
      <w:proofErr w:type="spellStart"/>
      <w:r w:rsidRPr="00524435">
        <w:rPr>
          <w:i/>
        </w:rPr>
        <w:t>Procuraduría</w:t>
      </w:r>
      <w:proofErr w:type="spellEnd"/>
      <w:r w:rsidRPr="00524435">
        <w:rPr>
          <w:i/>
        </w:rPr>
        <w:t xml:space="preserve"> General del Estado</w:t>
      </w:r>
      <w:r w:rsidRPr="00524435">
        <w:t xml:space="preserve">] of Ecuador, for the purpose of providing state agents information and tools needed for the total compliance of the recommendations made by international agencies, as well as the clauses of friendly settlement agreements entered into before those agencies, in particular with respect to those investigative clauses that pose material difficulties. As part of the training topics were analyzed such as the components of full reparation, and the challenges and good practices in implementing justice measures stemming from friendly settlement agreements in the Region, among others. </w:t>
      </w:r>
    </w:p>
    <w:p w14:paraId="6C4DD875" w14:textId="77777777" w:rsidR="007E31E3" w:rsidRPr="00524435" w:rsidRDefault="007E31E3" w:rsidP="001A1AB3">
      <w:pPr>
        <w:pStyle w:val="ListParagraph"/>
      </w:pPr>
      <w:r w:rsidRPr="00524435">
        <w:t>On October 4, 2021, an informal meeting was held with personnel from the Petitions and Urgent Actions Section of the Committee on Economic, Social and Cultural Rights of the Office of the United Nations High Commissioner, at its request, to answer some questions regarding the workings of the friendly settlement process and the Commission’s mediation in that framework with the aim of applying the good practices that the Inter-American Commission on Human Rights has identified in its role as facilitator of negotiations, for them to produce a guide for pursuing friendly settlements within the Optional Protocol to the International Covenant on Economic, Social and Cultural Rights framework</w:t>
      </w:r>
      <w:r w:rsidRPr="00524435">
        <w:rPr>
          <w:iCs/>
        </w:rPr>
        <w:t xml:space="preserve">. As a result of all the efforts made by the IACHR to strengthen and expand the friendly settlement mechanism it has become a benchmark on the matter for the universal human rights system. </w:t>
      </w:r>
    </w:p>
    <w:p w14:paraId="24EF498F" w14:textId="77777777" w:rsidR="007E31E3" w:rsidRPr="00524435" w:rsidRDefault="007E31E3" w:rsidP="001A1AB3">
      <w:pPr>
        <w:pStyle w:val="ListParagraph"/>
      </w:pPr>
      <w:r w:rsidRPr="00524435">
        <w:t xml:space="preserve">Finally, in the trainings that were organized theoretical-practice elements of the friendly settlement mechanism were incorporated considering the legal framework that regulates it, including technical tools for negotiating and practical application of the information provided, and in some of them even a practical simulation of the activities that should be pursued to reach a friendly settlement. </w:t>
      </w:r>
    </w:p>
    <w:bookmarkEnd w:id="4"/>
    <w:p w14:paraId="693CC72F" w14:textId="77777777" w:rsidR="007E31E3" w:rsidRPr="00524435" w:rsidRDefault="007E31E3" w:rsidP="00E82663">
      <w:pPr>
        <w:pStyle w:val="Heading3"/>
        <w:rPr>
          <w:rFonts w:cs="Calibri Light"/>
        </w:rPr>
      </w:pPr>
      <w:r w:rsidRPr="00524435">
        <w:t>Status of Compliance with Reports on Friendly Settlement Agreements, Approved pursuant to Article 49 of the American Convention on Human Rights</w:t>
      </w:r>
    </w:p>
    <w:p w14:paraId="2579C6CA" w14:textId="77777777" w:rsidR="007E31E3" w:rsidRPr="00524435" w:rsidRDefault="007E31E3" w:rsidP="001A1AB3">
      <w:pPr>
        <w:pStyle w:val="ListParagraph"/>
      </w:pPr>
      <w:r w:rsidRPr="00524435">
        <w:t xml:space="preserve">In compliance with its conventional and statutory attributes, and in accordance with Article 48 of the Rules of Procedure, the IACHR makes the follow-up to its own decisions regarding friendly settlements. This Commission practice began in 2000 and from this moment onwards, information has been requested annually </w:t>
      </w:r>
      <w:proofErr w:type="gramStart"/>
      <w:r w:rsidRPr="00524435">
        <w:t>from parties of different petitions and cases,</w:t>
      </w:r>
      <w:proofErr w:type="gramEnd"/>
      <w:r w:rsidRPr="00524435">
        <w:t xml:space="preserve"> to follow-up on friendly settlement reports published in light of Article 49 of the American Convention and update the status of compliance of each of the matters under the supervision of the IACHR. Additionally, the IACHR receives information at hearings or working meetings held during the year, and which takes into consideration for the analysis of the state of compliance with friendly settlement proceedings as appropriate in each case.</w:t>
      </w:r>
    </w:p>
    <w:p w14:paraId="6AF0DA3C" w14:textId="77777777" w:rsidR="007E31E3" w:rsidRPr="00524435" w:rsidRDefault="007E31E3" w:rsidP="001A1AB3">
      <w:pPr>
        <w:pStyle w:val="ListParagraph"/>
      </w:pPr>
      <w:r w:rsidRPr="00524435">
        <w:lastRenderedPageBreak/>
        <w:t xml:space="preserve">For the elaboration of this Chapter, the Commission requested information to the users of the follow up of friendly settlement </w:t>
      </w:r>
      <w:proofErr w:type="gramStart"/>
      <w:r w:rsidRPr="00524435">
        <w:t>tool, and</w:t>
      </w:r>
      <w:proofErr w:type="gramEnd"/>
      <w:r w:rsidRPr="00524435">
        <w:t xml:space="preserve"> considered in this report the information submitted by the parties until October 15, 2020. Any information received thereafter did not make it into the Chapter but will be taken into consideration for the 2021 Annual Report. This </w:t>
      </w:r>
      <w:proofErr w:type="gramStart"/>
      <w:r w:rsidRPr="00524435">
        <w:t>taking into account</w:t>
      </w:r>
      <w:proofErr w:type="gramEnd"/>
      <w:r w:rsidRPr="00524435">
        <w:t xml:space="preserve"> the change in the composition of the Commission that on this occasion took place on December 31, 2019. The parties were duly advised of this information in the context of the requests for information for the preparation of this Chapter of the Annual Report. It should also be noted that the Commission took into consideration on exceptional basis information received after the closing date in those cases, where working meetings were held in the framework of the working meeting days as well as during the Period of Sessions that generated subsequent actions carried out based on the work lines developed in those meetings or in those matters in which the parties sent partial information within the term provided and after the period they added complementary or clarifying information. </w:t>
      </w:r>
    </w:p>
    <w:p w14:paraId="2183BBED" w14:textId="77777777" w:rsidR="007E31E3" w:rsidRPr="00524435" w:rsidRDefault="007E31E3" w:rsidP="001A1AB3">
      <w:pPr>
        <w:pStyle w:val="ListParagraph"/>
      </w:pPr>
      <w:r w:rsidRPr="00524435">
        <w:t xml:space="preserve">The Inter-American Commission on Human Rights continues to make efforts to communicate more clearly the progress made toward implementing friendly settlement agreements. To that end, the Commission prepared detailed compliance monitoring sheets on each active case, identifying both the individual and structural impacts in each case. In the table listed below the link to the record analysis of compliance with each one of the friendly settlement agreements that are currently under follow up stage can be accessed, and the level of general compliance of each case can be observed along with the percentage of execution of the agreements. This allows the parties to see the level of implementation of the agreement beyond the most categories of compliance, partial and pending. Finally, </w:t>
      </w:r>
      <w:proofErr w:type="gramStart"/>
      <w:r w:rsidRPr="00524435">
        <w:t>it should be pointed out that in</w:t>
      </w:r>
      <w:proofErr w:type="gramEnd"/>
      <w:r w:rsidRPr="00524435">
        <w:t xml:space="preserve"> this opportunity the Commission maintained the categories of analysis of the information supplied by the parties, as well as the categories for the individualized analysis of the clauses of the friendly settlement</w:t>
      </w:r>
      <w:r w:rsidRPr="00524435">
        <w:rPr>
          <w:rStyle w:val="FootnoteReference"/>
        </w:rPr>
        <w:footnoteReference w:id="23"/>
      </w:r>
      <w:r w:rsidRPr="00524435">
        <w:t xml:space="preserve"> and the categories of the general analysis of the fulfillment of the friendly settlement agreements traditionally used</w:t>
      </w:r>
      <w:r w:rsidRPr="00524435">
        <w:rPr>
          <w:rStyle w:val="FootnoteReference"/>
        </w:rPr>
        <w:footnoteReference w:id="24"/>
      </w:r>
      <w:r w:rsidRPr="00524435">
        <w:t>.</w:t>
      </w:r>
    </w:p>
    <w:p w14:paraId="3EDF9270" w14:textId="77777777" w:rsidR="007E31E3" w:rsidRPr="00524435" w:rsidRDefault="007E31E3" w:rsidP="001A1AB3">
      <w:pPr>
        <w:pStyle w:val="ListParagraph"/>
        <w:rPr>
          <w:rFonts w:cs="Calibri Light"/>
        </w:rPr>
      </w:pPr>
      <w:proofErr w:type="gramStart"/>
      <w:r w:rsidRPr="00524435">
        <w:t>In light of</w:t>
      </w:r>
      <w:proofErr w:type="gramEnd"/>
      <w:r w:rsidRPr="00524435">
        <w:t xml:space="preserve"> the above, the commission observes that the status of compliance with friendly settlement agreements as of December 31, 2021, is as follows: </w:t>
      </w:r>
    </w:p>
    <w:tbl>
      <w:tblPr>
        <w:tblStyle w:val="TableContemporary1"/>
        <w:tblW w:w="9506" w:type="dxa"/>
        <w:jc w:val="center"/>
        <w:tblLayout w:type="fixed"/>
        <w:tblLook w:val="0020" w:firstRow="1" w:lastRow="0" w:firstColumn="0" w:lastColumn="0" w:noHBand="0" w:noVBand="0"/>
      </w:tblPr>
      <w:tblGrid>
        <w:gridCol w:w="2250"/>
        <w:gridCol w:w="1170"/>
        <w:gridCol w:w="1316"/>
        <w:gridCol w:w="1170"/>
        <w:gridCol w:w="1170"/>
        <w:gridCol w:w="1170"/>
        <w:gridCol w:w="1260"/>
      </w:tblGrid>
      <w:tr w:rsidR="007E31E3" w:rsidRPr="00524435" w14:paraId="185027B5" w14:textId="77777777" w:rsidTr="00820229">
        <w:trPr>
          <w:cnfStyle w:val="100000000000" w:firstRow="1" w:lastRow="0" w:firstColumn="0" w:lastColumn="0" w:oddVBand="0" w:evenVBand="0" w:oddHBand="0" w:evenHBand="0" w:firstRowFirstColumn="0" w:firstRowLastColumn="0" w:lastRowFirstColumn="0" w:lastRowLastColumn="0"/>
          <w:trHeight w:val="810"/>
          <w:jc w:val="center"/>
        </w:trPr>
        <w:tc>
          <w:tcPr>
            <w:tcW w:w="2250" w:type="dxa"/>
            <w:vAlign w:val="center"/>
          </w:tcPr>
          <w:p w14:paraId="36CE5700" w14:textId="77777777" w:rsidR="007E31E3" w:rsidRPr="00524435" w:rsidRDefault="007E31E3" w:rsidP="00820229">
            <w:pPr>
              <w:jc w:val="center"/>
              <w:rPr>
                <w:rFonts w:ascii="Cambria" w:hAnsi="Cambria" w:cstheme="minorHAnsi"/>
                <w:sz w:val="14"/>
                <w:szCs w:val="14"/>
              </w:rPr>
            </w:pPr>
            <w:bookmarkStart w:id="5" w:name="_Hlk90390799"/>
            <w:r w:rsidRPr="00524435">
              <w:rPr>
                <w:rFonts w:ascii="Cambria" w:hAnsi="Cambria" w:cstheme="minorHAnsi"/>
                <w:sz w:val="14"/>
                <w:szCs w:val="14"/>
              </w:rPr>
              <w:lastRenderedPageBreak/>
              <w:t>CASE/PETITION</w:t>
            </w:r>
          </w:p>
        </w:tc>
        <w:tc>
          <w:tcPr>
            <w:tcW w:w="1170" w:type="dxa"/>
            <w:vAlign w:val="center"/>
          </w:tcPr>
          <w:p w14:paraId="24EC58E5" w14:textId="77777777" w:rsidR="007E31E3" w:rsidRPr="00524435" w:rsidRDefault="007E31E3" w:rsidP="00820229">
            <w:pPr>
              <w:jc w:val="center"/>
              <w:rPr>
                <w:rFonts w:ascii="Cambria" w:hAnsi="Cambria" w:cstheme="minorHAnsi"/>
                <w:sz w:val="14"/>
                <w:szCs w:val="14"/>
              </w:rPr>
            </w:pPr>
            <w:r w:rsidRPr="00524435">
              <w:rPr>
                <w:rFonts w:ascii="Cambria" w:hAnsi="Cambria" w:cstheme="minorHAnsi"/>
                <w:sz w:val="14"/>
                <w:szCs w:val="14"/>
              </w:rPr>
              <w:t>MONITORING SHEET</w:t>
            </w:r>
          </w:p>
        </w:tc>
        <w:tc>
          <w:tcPr>
            <w:tcW w:w="1316" w:type="dxa"/>
            <w:vAlign w:val="center"/>
          </w:tcPr>
          <w:p w14:paraId="1A1AFE05" w14:textId="77777777" w:rsidR="007E31E3" w:rsidRPr="00524435" w:rsidRDefault="007E31E3" w:rsidP="00820229">
            <w:pPr>
              <w:jc w:val="center"/>
              <w:rPr>
                <w:rFonts w:ascii="Cambria" w:hAnsi="Cambria" w:cstheme="minorHAnsi"/>
                <w:sz w:val="14"/>
                <w:szCs w:val="14"/>
              </w:rPr>
            </w:pPr>
            <w:r w:rsidRPr="00524435">
              <w:rPr>
                <w:rFonts w:ascii="Cambria" w:hAnsi="Cambria" w:cstheme="minorHAnsi"/>
                <w:sz w:val="14"/>
                <w:szCs w:val="14"/>
              </w:rPr>
              <w:t>FULL COMPLIANCE</w:t>
            </w:r>
          </w:p>
        </w:tc>
        <w:tc>
          <w:tcPr>
            <w:tcW w:w="1170" w:type="dxa"/>
            <w:vAlign w:val="center"/>
          </w:tcPr>
          <w:p w14:paraId="188FBB78" w14:textId="77777777" w:rsidR="007E31E3" w:rsidRPr="00524435" w:rsidRDefault="007E31E3" w:rsidP="00820229">
            <w:pPr>
              <w:jc w:val="center"/>
              <w:rPr>
                <w:rFonts w:ascii="Cambria" w:hAnsi="Cambria" w:cstheme="minorHAnsi"/>
                <w:sz w:val="14"/>
                <w:szCs w:val="14"/>
              </w:rPr>
            </w:pPr>
            <w:r w:rsidRPr="00524435">
              <w:rPr>
                <w:rFonts w:ascii="Cambria" w:hAnsi="Cambria" w:cstheme="minorHAnsi"/>
                <w:sz w:val="14"/>
                <w:szCs w:val="14"/>
              </w:rPr>
              <w:t>PARTIAL COMPLIANCE</w:t>
            </w:r>
          </w:p>
        </w:tc>
        <w:tc>
          <w:tcPr>
            <w:tcW w:w="1170" w:type="dxa"/>
            <w:vAlign w:val="center"/>
          </w:tcPr>
          <w:p w14:paraId="5D17A02B" w14:textId="77777777" w:rsidR="007E31E3" w:rsidRPr="00524435" w:rsidRDefault="007E31E3" w:rsidP="00820229">
            <w:pPr>
              <w:jc w:val="center"/>
              <w:rPr>
                <w:rFonts w:ascii="Cambria" w:hAnsi="Cambria" w:cstheme="minorHAnsi"/>
                <w:sz w:val="14"/>
                <w:szCs w:val="14"/>
              </w:rPr>
            </w:pPr>
            <w:r w:rsidRPr="00524435">
              <w:rPr>
                <w:rFonts w:ascii="Cambria" w:hAnsi="Cambria" w:cstheme="minorHAnsi"/>
                <w:sz w:val="14"/>
                <w:szCs w:val="14"/>
              </w:rPr>
              <w:t>PENDING COMPLIANCE</w:t>
            </w:r>
          </w:p>
        </w:tc>
        <w:tc>
          <w:tcPr>
            <w:tcW w:w="1170" w:type="dxa"/>
            <w:vAlign w:val="center"/>
          </w:tcPr>
          <w:p w14:paraId="6E686696" w14:textId="77777777" w:rsidR="007E31E3" w:rsidRPr="00524435" w:rsidRDefault="007E31E3" w:rsidP="00820229">
            <w:pPr>
              <w:jc w:val="center"/>
              <w:rPr>
                <w:rFonts w:ascii="Cambria" w:hAnsi="Cambria" w:cstheme="minorHAnsi"/>
                <w:sz w:val="14"/>
                <w:szCs w:val="14"/>
              </w:rPr>
            </w:pPr>
            <w:r w:rsidRPr="00524435">
              <w:rPr>
                <w:rFonts w:ascii="Cambria" w:hAnsi="Cambria" w:cstheme="minorHAnsi"/>
                <w:sz w:val="14"/>
                <w:szCs w:val="14"/>
              </w:rPr>
              <w:t>COMPLIANCE PERCENTAGE</w:t>
            </w:r>
            <w:r w:rsidRPr="00524435">
              <w:rPr>
                <w:rFonts w:ascii="Cambria" w:hAnsi="Cambria" w:cstheme="minorHAnsi"/>
                <w:sz w:val="14"/>
                <w:szCs w:val="14"/>
                <w:vertAlign w:val="superscript"/>
              </w:rPr>
              <w:footnoteReference w:id="25"/>
            </w:r>
          </w:p>
        </w:tc>
        <w:tc>
          <w:tcPr>
            <w:tcW w:w="1260" w:type="dxa"/>
            <w:vAlign w:val="center"/>
          </w:tcPr>
          <w:p w14:paraId="363487F2" w14:textId="77777777" w:rsidR="007E31E3" w:rsidRPr="00524435" w:rsidRDefault="007E31E3" w:rsidP="00820229">
            <w:pPr>
              <w:jc w:val="center"/>
              <w:rPr>
                <w:rFonts w:ascii="Cambria" w:hAnsi="Cambria" w:cstheme="minorHAnsi"/>
                <w:sz w:val="14"/>
                <w:szCs w:val="14"/>
              </w:rPr>
            </w:pPr>
            <w:r w:rsidRPr="00524435">
              <w:rPr>
                <w:rFonts w:ascii="Cambria" w:hAnsi="Cambria" w:cstheme="minorHAnsi"/>
                <w:sz w:val="14"/>
                <w:szCs w:val="14"/>
              </w:rPr>
              <w:t>STATUS OF COMPLIANCE</w:t>
            </w:r>
          </w:p>
        </w:tc>
      </w:tr>
      <w:tr w:rsidR="007E31E3" w:rsidRPr="00524435" w14:paraId="67C10E26" w14:textId="77777777" w:rsidTr="00820229">
        <w:trPr>
          <w:cnfStyle w:val="000000100000" w:firstRow="0" w:lastRow="0" w:firstColumn="0" w:lastColumn="0" w:oddVBand="0" w:evenVBand="0" w:oddHBand="1" w:evenHBand="0" w:firstRowFirstColumn="0" w:firstRowLastColumn="0" w:lastRowFirstColumn="0" w:lastRowLastColumn="0"/>
          <w:trHeight w:val="1044"/>
          <w:jc w:val="center"/>
        </w:trPr>
        <w:tc>
          <w:tcPr>
            <w:tcW w:w="2250" w:type="dxa"/>
          </w:tcPr>
          <w:p w14:paraId="56100798" w14:textId="77777777" w:rsidR="007E31E3" w:rsidRPr="00E42B49" w:rsidRDefault="007E31E3" w:rsidP="008B0732">
            <w:pPr>
              <w:numPr>
                <w:ilvl w:val="0"/>
                <w:numId w:val="18"/>
              </w:numPr>
              <w:tabs>
                <w:tab w:val="num" w:pos="341"/>
              </w:tabs>
              <w:ind w:firstLine="0"/>
              <w:contextualSpacing/>
              <w:jc w:val="both"/>
              <w:rPr>
                <w:rFonts w:ascii="Cambria" w:hAnsi="Cambria" w:cstheme="minorHAnsi"/>
                <w:sz w:val="18"/>
                <w:szCs w:val="18"/>
                <w:lang w:val="es-US"/>
              </w:rPr>
            </w:pPr>
            <w:r w:rsidRPr="00E42B49">
              <w:rPr>
                <w:rFonts w:ascii="Cambria" w:hAnsi="Cambria" w:cstheme="minorHAnsi"/>
                <w:sz w:val="18"/>
                <w:szCs w:val="18"/>
                <w:lang w:val="es-US"/>
              </w:rPr>
              <w:t xml:space="preserve">Case 11.307,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103/01, María </w:t>
            </w:r>
            <w:proofErr w:type="spellStart"/>
            <w:r w:rsidRPr="00E42B49">
              <w:rPr>
                <w:rFonts w:ascii="Cambria" w:hAnsi="Cambria" w:cstheme="minorHAnsi"/>
                <w:sz w:val="18"/>
                <w:szCs w:val="18"/>
                <w:lang w:val="es-US"/>
              </w:rPr>
              <w:t>Merciadri</w:t>
            </w:r>
            <w:proofErr w:type="spellEnd"/>
            <w:r w:rsidRPr="00E42B49">
              <w:rPr>
                <w:rFonts w:ascii="Cambria" w:hAnsi="Cambria" w:cstheme="minorHAnsi"/>
                <w:sz w:val="18"/>
                <w:szCs w:val="18"/>
                <w:lang w:val="es-US"/>
              </w:rPr>
              <w:t xml:space="preserve"> de </w:t>
            </w:r>
            <w:proofErr w:type="spellStart"/>
            <w:r w:rsidRPr="00E42B49">
              <w:rPr>
                <w:rFonts w:ascii="Cambria" w:hAnsi="Cambria" w:cstheme="minorHAnsi"/>
                <w:sz w:val="18"/>
                <w:szCs w:val="18"/>
                <w:lang w:val="es-US"/>
              </w:rPr>
              <w:t>Morini</w:t>
            </w:r>
            <w:proofErr w:type="spellEnd"/>
            <w:r w:rsidRPr="00E42B49">
              <w:rPr>
                <w:rFonts w:ascii="Cambria" w:hAnsi="Cambria" w:cstheme="minorHAnsi"/>
                <w:sz w:val="18"/>
                <w:szCs w:val="18"/>
                <w:lang w:val="es-US"/>
              </w:rPr>
              <w:t xml:space="preserve"> (Argentina)</w:t>
            </w:r>
            <w:r w:rsidRPr="00524435">
              <w:rPr>
                <w:rFonts w:ascii="Cambria" w:hAnsi="Cambria" w:cstheme="minorHAnsi"/>
                <w:sz w:val="18"/>
                <w:szCs w:val="18"/>
                <w:vertAlign w:val="superscript"/>
              </w:rPr>
              <w:footnoteReference w:id="26"/>
            </w:r>
          </w:p>
        </w:tc>
        <w:tc>
          <w:tcPr>
            <w:tcW w:w="1170" w:type="dxa"/>
            <w:vMerge w:val="restart"/>
          </w:tcPr>
          <w:p w14:paraId="40003EF1" w14:textId="7066D60C" w:rsidR="007E31E3" w:rsidRPr="00524435" w:rsidRDefault="006B7403" w:rsidP="00820229">
            <w:pPr>
              <w:jc w:val="center"/>
              <w:rPr>
                <w:rFonts w:ascii="Cambria" w:hAnsi="Cambria" w:cstheme="minorHAnsi"/>
                <w:sz w:val="18"/>
                <w:szCs w:val="18"/>
              </w:rPr>
            </w:pPr>
            <w:hyperlink r:id="rId32" w:history="1">
              <w:r w:rsidR="007E31E3" w:rsidRPr="00524435">
                <w:rPr>
                  <w:rStyle w:val="Hyperlink"/>
                  <w:rFonts w:ascii="Cambria" w:hAnsi="Cambria" w:cstheme="minorHAnsi"/>
                  <w:sz w:val="18"/>
                  <w:szCs w:val="18"/>
                </w:rPr>
                <w:t>Link to monitoring sheets on matters related to reports of friendly settlement agreements of Argentina</w:t>
              </w:r>
            </w:hyperlink>
            <w:r w:rsidR="007E31E3" w:rsidRPr="00524435">
              <w:rPr>
                <w:rFonts w:ascii="Cambria" w:hAnsi="Cambria" w:cstheme="minorHAnsi"/>
                <w:sz w:val="18"/>
                <w:szCs w:val="18"/>
              </w:rPr>
              <w:t xml:space="preserve"> </w:t>
            </w:r>
            <w:hyperlink r:id="rId33" w:history="1">
              <w:r w:rsidR="007E31E3" w:rsidRPr="00524435">
                <w:rPr>
                  <w:rStyle w:val="Hyperlink"/>
                  <w:rFonts w:ascii="Cambria" w:hAnsi="Cambria" w:cstheme="minorHAnsi"/>
                  <w:sz w:val="18"/>
                  <w:szCs w:val="18"/>
                </w:rPr>
                <w:t xml:space="preserve">that are subject to monitoring </w:t>
              </w:r>
            </w:hyperlink>
            <w:r w:rsidR="007E31E3" w:rsidRPr="00524435">
              <w:rPr>
                <w:rFonts w:ascii="Cambria" w:hAnsi="Cambria" w:cstheme="minorHAnsi"/>
                <w:sz w:val="18"/>
                <w:szCs w:val="18"/>
              </w:rPr>
              <w:t xml:space="preserve"> </w:t>
            </w:r>
          </w:p>
          <w:p w14:paraId="647B6C87" w14:textId="77777777" w:rsidR="007E31E3" w:rsidRPr="00524435" w:rsidRDefault="007E31E3" w:rsidP="00820229">
            <w:pPr>
              <w:jc w:val="center"/>
              <w:rPr>
                <w:rFonts w:ascii="Cambria" w:hAnsi="Cambria" w:cstheme="minorHAnsi"/>
                <w:sz w:val="18"/>
                <w:szCs w:val="18"/>
              </w:rPr>
            </w:pPr>
          </w:p>
        </w:tc>
        <w:tc>
          <w:tcPr>
            <w:tcW w:w="1316" w:type="dxa"/>
          </w:tcPr>
          <w:p w14:paraId="6DFF7419"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7C15C2FD" w14:textId="77777777" w:rsidR="007E31E3" w:rsidRPr="00524435" w:rsidRDefault="007E31E3" w:rsidP="00820229">
            <w:pPr>
              <w:ind w:firstLine="31"/>
              <w:jc w:val="center"/>
              <w:rPr>
                <w:rFonts w:ascii="Cambria" w:hAnsi="Cambria" w:cstheme="minorHAnsi"/>
                <w:sz w:val="18"/>
                <w:szCs w:val="18"/>
              </w:rPr>
            </w:pPr>
          </w:p>
        </w:tc>
        <w:tc>
          <w:tcPr>
            <w:tcW w:w="1170" w:type="dxa"/>
          </w:tcPr>
          <w:p w14:paraId="69E650EE"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43BB9F64"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0FDE8C82"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Closed</w:t>
            </w:r>
          </w:p>
        </w:tc>
      </w:tr>
      <w:tr w:rsidR="007E31E3" w:rsidRPr="00524435" w14:paraId="3D25ED3C" w14:textId="77777777" w:rsidTr="00820229">
        <w:trPr>
          <w:cnfStyle w:val="000000010000" w:firstRow="0" w:lastRow="0" w:firstColumn="0" w:lastColumn="0" w:oddVBand="0" w:evenVBand="0" w:oddHBand="0" w:evenHBand="1" w:firstRowFirstColumn="0" w:firstRowLastColumn="0" w:lastRowFirstColumn="0" w:lastRowLastColumn="0"/>
          <w:trHeight w:val="936"/>
          <w:jc w:val="center"/>
        </w:trPr>
        <w:tc>
          <w:tcPr>
            <w:tcW w:w="2250" w:type="dxa"/>
          </w:tcPr>
          <w:p w14:paraId="7448A71C" w14:textId="77777777" w:rsidR="007E31E3" w:rsidRPr="00524435" w:rsidRDefault="007E31E3" w:rsidP="008B0732">
            <w:pPr>
              <w:numPr>
                <w:ilvl w:val="0"/>
                <w:numId w:val="18"/>
              </w:numPr>
              <w:tabs>
                <w:tab w:val="num" w:pos="341"/>
              </w:tabs>
              <w:ind w:firstLine="0"/>
              <w:contextualSpacing/>
              <w:jc w:val="both"/>
              <w:rPr>
                <w:rFonts w:ascii="Cambria" w:hAnsi="Cambria" w:cstheme="minorHAnsi"/>
                <w:sz w:val="18"/>
                <w:szCs w:val="18"/>
              </w:rPr>
            </w:pPr>
            <w:r w:rsidRPr="00524435">
              <w:rPr>
                <w:rFonts w:ascii="Cambria" w:hAnsi="Cambria" w:cstheme="minorHAnsi"/>
                <w:sz w:val="18"/>
                <w:szCs w:val="18"/>
              </w:rPr>
              <w:t>Case 11.804, Report No. 91/03, Juan Angel Greco (Argentina)</w:t>
            </w:r>
          </w:p>
        </w:tc>
        <w:tc>
          <w:tcPr>
            <w:tcW w:w="1170" w:type="dxa"/>
            <w:vMerge/>
          </w:tcPr>
          <w:p w14:paraId="223FDF2D" w14:textId="77777777" w:rsidR="007E31E3" w:rsidRPr="00524435" w:rsidRDefault="007E31E3" w:rsidP="00820229">
            <w:pPr>
              <w:jc w:val="center"/>
              <w:rPr>
                <w:rFonts w:ascii="Cambria" w:hAnsi="Cambria" w:cstheme="minorHAnsi"/>
                <w:sz w:val="18"/>
                <w:szCs w:val="18"/>
              </w:rPr>
            </w:pPr>
          </w:p>
        </w:tc>
        <w:tc>
          <w:tcPr>
            <w:tcW w:w="1316" w:type="dxa"/>
          </w:tcPr>
          <w:p w14:paraId="07617A86" w14:textId="77777777" w:rsidR="007E31E3" w:rsidRPr="00524435" w:rsidRDefault="007E31E3" w:rsidP="00820229">
            <w:pPr>
              <w:jc w:val="center"/>
              <w:rPr>
                <w:rFonts w:ascii="Cambria" w:hAnsi="Cambria" w:cstheme="minorHAnsi"/>
                <w:sz w:val="18"/>
                <w:szCs w:val="18"/>
              </w:rPr>
            </w:pPr>
          </w:p>
        </w:tc>
        <w:tc>
          <w:tcPr>
            <w:tcW w:w="1170" w:type="dxa"/>
          </w:tcPr>
          <w:p w14:paraId="41A60A7F" w14:textId="77777777" w:rsidR="007E31E3" w:rsidRPr="00524435" w:rsidRDefault="007E31E3" w:rsidP="00820229">
            <w:pPr>
              <w:ind w:firstLine="31"/>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19ED7D3C"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46EA2B22" w14:textId="77777777" w:rsidR="007E31E3" w:rsidRPr="00524435" w:rsidRDefault="007E31E3" w:rsidP="00820229">
            <w:pPr>
              <w:keepNext/>
              <w:tabs>
                <w:tab w:val="left" w:pos="177"/>
              </w:tabs>
              <w:ind w:firstLine="162"/>
              <w:jc w:val="center"/>
              <w:outlineLvl w:val="2"/>
              <w:rPr>
                <w:rFonts w:ascii="Cambria" w:hAnsi="Cambria" w:cstheme="minorHAnsi"/>
                <w:sz w:val="18"/>
                <w:szCs w:val="18"/>
              </w:rPr>
            </w:pPr>
            <w:r w:rsidRPr="00524435">
              <w:rPr>
                <w:rFonts w:ascii="Cambria" w:hAnsi="Cambria" w:cstheme="minorHAnsi"/>
                <w:sz w:val="18"/>
                <w:szCs w:val="18"/>
              </w:rPr>
              <w:t>63%</w:t>
            </w:r>
          </w:p>
        </w:tc>
        <w:tc>
          <w:tcPr>
            <w:tcW w:w="1260" w:type="dxa"/>
          </w:tcPr>
          <w:p w14:paraId="20858401"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Active</w:t>
            </w:r>
          </w:p>
        </w:tc>
      </w:tr>
      <w:tr w:rsidR="007E31E3" w:rsidRPr="00524435" w14:paraId="4149BDEE" w14:textId="77777777" w:rsidTr="00820229">
        <w:trPr>
          <w:cnfStyle w:val="000000100000" w:firstRow="0" w:lastRow="0" w:firstColumn="0" w:lastColumn="0" w:oddVBand="0" w:evenVBand="0" w:oddHBand="1" w:evenHBand="0" w:firstRowFirstColumn="0" w:firstRowLastColumn="0" w:lastRowFirstColumn="0" w:lastRowLastColumn="0"/>
          <w:trHeight w:val="1206"/>
          <w:jc w:val="center"/>
        </w:trPr>
        <w:tc>
          <w:tcPr>
            <w:tcW w:w="2250" w:type="dxa"/>
          </w:tcPr>
          <w:p w14:paraId="730AEC96" w14:textId="77777777" w:rsidR="007E31E3" w:rsidRPr="00524435" w:rsidRDefault="007E31E3" w:rsidP="008B0732">
            <w:pPr>
              <w:numPr>
                <w:ilvl w:val="0"/>
                <w:numId w:val="18"/>
              </w:numPr>
              <w:tabs>
                <w:tab w:val="num" w:pos="341"/>
              </w:tabs>
              <w:ind w:firstLine="0"/>
              <w:contextualSpacing/>
              <w:jc w:val="both"/>
              <w:rPr>
                <w:rFonts w:ascii="Cambria" w:hAnsi="Cambria" w:cstheme="minorHAnsi"/>
                <w:sz w:val="18"/>
                <w:szCs w:val="18"/>
              </w:rPr>
            </w:pPr>
            <w:r w:rsidRPr="00524435">
              <w:rPr>
                <w:rFonts w:ascii="Cambria" w:hAnsi="Cambria" w:cstheme="minorHAnsi"/>
                <w:sz w:val="18"/>
                <w:szCs w:val="18"/>
              </w:rPr>
              <w:t xml:space="preserve">Case 12.080, Report No. 102/05, Sergio </w:t>
            </w:r>
            <w:proofErr w:type="spellStart"/>
            <w:r w:rsidRPr="00524435">
              <w:rPr>
                <w:rFonts w:ascii="Cambria" w:hAnsi="Cambria" w:cstheme="minorHAnsi"/>
                <w:sz w:val="18"/>
                <w:szCs w:val="18"/>
              </w:rPr>
              <w:t>Schiavini</w:t>
            </w:r>
            <w:proofErr w:type="spellEnd"/>
            <w:r w:rsidRPr="00524435">
              <w:rPr>
                <w:rFonts w:ascii="Cambria" w:hAnsi="Cambria" w:cstheme="minorHAnsi"/>
                <w:sz w:val="18"/>
                <w:szCs w:val="18"/>
              </w:rPr>
              <w:t xml:space="preserve"> and María Teresa </w:t>
            </w:r>
            <w:proofErr w:type="spellStart"/>
            <w:r w:rsidRPr="00524435">
              <w:rPr>
                <w:rFonts w:ascii="Cambria" w:hAnsi="Cambria" w:cstheme="minorHAnsi"/>
                <w:sz w:val="18"/>
                <w:szCs w:val="18"/>
              </w:rPr>
              <w:t>Schnack</w:t>
            </w:r>
            <w:proofErr w:type="spellEnd"/>
            <w:r w:rsidRPr="00524435">
              <w:rPr>
                <w:rFonts w:ascii="Cambria" w:hAnsi="Cambria" w:cstheme="minorHAnsi"/>
                <w:sz w:val="18"/>
                <w:szCs w:val="18"/>
              </w:rPr>
              <w:t xml:space="preserve"> (Argentina)</w:t>
            </w:r>
          </w:p>
        </w:tc>
        <w:tc>
          <w:tcPr>
            <w:tcW w:w="1170" w:type="dxa"/>
            <w:vMerge/>
          </w:tcPr>
          <w:p w14:paraId="052335E0" w14:textId="77777777" w:rsidR="007E31E3" w:rsidRPr="00524435" w:rsidRDefault="007E31E3" w:rsidP="00820229">
            <w:pPr>
              <w:jc w:val="center"/>
              <w:rPr>
                <w:rFonts w:ascii="Cambria" w:hAnsi="Cambria" w:cstheme="minorHAnsi"/>
                <w:sz w:val="18"/>
                <w:szCs w:val="18"/>
              </w:rPr>
            </w:pPr>
          </w:p>
        </w:tc>
        <w:tc>
          <w:tcPr>
            <w:tcW w:w="1316" w:type="dxa"/>
          </w:tcPr>
          <w:p w14:paraId="32D67DC2" w14:textId="77777777" w:rsidR="007E31E3" w:rsidRPr="00524435" w:rsidRDefault="007E31E3" w:rsidP="00820229">
            <w:pPr>
              <w:jc w:val="center"/>
              <w:rPr>
                <w:rFonts w:ascii="Cambria" w:hAnsi="Cambria" w:cstheme="minorHAnsi"/>
                <w:sz w:val="18"/>
                <w:szCs w:val="18"/>
              </w:rPr>
            </w:pPr>
          </w:p>
        </w:tc>
        <w:tc>
          <w:tcPr>
            <w:tcW w:w="1170" w:type="dxa"/>
          </w:tcPr>
          <w:p w14:paraId="69A35BD5" w14:textId="77777777" w:rsidR="007E31E3" w:rsidRPr="00524435" w:rsidRDefault="007E31E3" w:rsidP="00820229">
            <w:pPr>
              <w:ind w:firstLine="31"/>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3B06EAD9"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136C52F6" w14:textId="77777777" w:rsidR="007E31E3" w:rsidRPr="00524435" w:rsidRDefault="007E31E3" w:rsidP="00820229">
            <w:pPr>
              <w:keepNext/>
              <w:tabs>
                <w:tab w:val="left" w:pos="177"/>
              </w:tabs>
              <w:ind w:firstLine="162"/>
              <w:jc w:val="center"/>
              <w:outlineLvl w:val="2"/>
              <w:rPr>
                <w:rFonts w:ascii="Cambria" w:hAnsi="Cambria" w:cstheme="minorHAnsi"/>
                <w:sz w:val="18"/>
                <w:szCs w:val="18"/>
              </w:rPr>
            </w:pPr>
            <w:r w:rsidRPr="00524435">
              <w:rPr>
                <w:rFonts w:ascii="Cambria" w:hAnsi="Cambria" w:cstheme="minorHAnsi"/>
                <w:sz w:val="18"/>
                <w:szCs w:val="18"/>
              </w:rPr>
              <w:t>50%</w:t>
            </w:r>
          </w:p>
        </w:tc>
        <w:tc>
          <w:tcPr>
            <w:tcW w:w="1260" w:type="dxa"/>
          </w:tcPr>
          <w:p w14:paraId="3DB76FD3"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73C83F5A" w14:textId="77777777" w:rsidTr="00820229">
        <w:trPr>
          <w:cnfStyle w:val="000000010000" w:firstRow="0" w:lastRow="0" w:firstColumn="0" w:lastColumn="0" w:oddVBand="0" w:evenVBand="0" w:oddHBand="0" w:evenHBand="1" w:firstRowFirstColumn="0" w:firstRowLastColumn="0" w:lastRowFirstColumn="0" w:lastRowLastColumn="0"/>
          <w:trHeight w:val="963"/>
          <w:jc w:val="center"/>
        </w:trPr>
        <w:tc>
          <w:tcPr>
            <w:tcW w:w="2250" w:type="dxa"/>
          </w:tcPr>
          <w:p w14:paraId="450829DA" w14:textId="77777777" w:rsidR="007E31E3" w:rsidRPr="007A5442" w:rsidRDefault="007E31E3" w:rsidP="008B0732">
            <w:pPr>
              <w:numPr>
                <w:ilvl w:val="0"/>
                <w:numId w:val="18"/>
              </w:numPr>
              <w:tabs>
                <w:tab w:val="num" w:pos="341"/>
              </w:tabs>
              <w:ind w:firstLine="0"/>
              <w:contextualSpacing/>
              <w:jc w:val="both"/>
              <w:rPr>
                <w:rFonts w:ascii="Cambria" w:hAnsi="Cambria" w:cstheme="minorHAnsi"/>
                <w:sz w:val="18"/>
                <w:szCs w:val="18"/>
                <w:lang w:val="pt-PT"/>
              </w:rPr>
            </w:pPr>
            <w:r w:rsidRPr="007A5442">
              <w:rPr>
                <w:rFonts w:ascii="Cambria" w:hAnsi="Cambria" w:cstheme="minorHAnsi"/>
                <w:sz w:val="18"/>
                <w:szCs w:val="18"/>
                <w:lang w:val="pt-PT"/>
              </w:rPr>
              <w:t>Case 12.298, Report No. 81/08, Fernando Giovanelli (Argentina)</w:t>
            </w:r>
            <w:r w:rsidRPr="00524435">
              <w:rPr>
                <w:rStyle w:val="FootnoteReference"/>
                <w:rFonts w:ascii="Cambria" w:hAnsi="Cambria" w:cstheme="minorHAnsi"/>
                <w:sz w:val="18"/>
                <w:szCs w:val="18"/>
              </w:rPr>
              <w:footnoteReference w:id="27"/>
            </w:r>
          </w:p>
        </w:tc>
        <w:tc>
          <w:tcPr>
            <w:tcW w:w="1170" w:type="dxa"/>
            <w:vMerge/>
          </w:tcPr>
          <w:p w14:paraId="653A7A97" w14:textId="77777777" w:rsidR="007E31E3" w:rsidRPr="007A5442" w:rsidRDefault="007E31E3" w:rsidP="00820229">
            <w:pPr>
              <w:jc w:val="center"/>
              <w:rPr>
                <w:rFonts w:ascii="Cambria" w:hAnsi="Cambria" w:cstheme="minorHAnsi"/>
                <w:sz w:val="18"/>
                <w:szCs w:val="18"/>
                <w:lang w:val="pt-PT"/>
              </w:rPr>
            </w:pPr>
          </w:p>
        </w:tc>
        <w:tc>
          <w:tcPr>
            <w:tcW w:w="1316" w:type="dxa"/>
          </w:tcPr>
          <w:p w14:paraId="0F7DF05D" w14:textId="77777777" w:rsidR="007E31E3" w:rsidRPr="007A5442" w:rsidRDefault="007E31E3" w:rsidP="00820229">
            <w:pPr>
              <w:jc w:val="center"/>
              <w:rPr>
                <w:rFonts w:ascii="Cambria" w:hAnsi="Cambria" w:cstheme="minorHAnsi"/>
                <w:sz w:val="18"/>
                <w:szCs w:val="18"/>
                <w:lang w:val="pt-PT"/>
              </w:rPr>
            </w:pPr>
          </w:p>
        </w:tc>
        <w:tc>
          <w:tcPr>
            <w:tcW w:w="1170" w:type="dxa"/>
          </w:tcPr>
          <w:p w14:paraId="6D7ADCC6" w14:textId="77777777" w:rsidR="007E31E3" w:rsidRPr="00524435" w:rsidRDefault="007E31E3" w:rsidP="00820229">
            <w:pPr>
              <w:ind w:firstLine="31"/>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1D749297"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1C286BAC"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60%</w:t>
            </w:r>
          </w:p>
        </w:tc>
        <w:tc>
          <w:tcPr>
            <w:tcW w:w="1260" w:type="dxa"/>
          </w:tcPr>
          <w:p w14:paraId="55B75D88"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p w14:paraId="768BFF26" w14:textId="77777777" w:rsidR="007E31E3" w:rsidRPr="00524435" w:rsidRDefault="007E31E3" w:rsidP="00820229">
            <w:pPr>
              <w:jc w:val="center"/>
              <w:rPr>
                <w:rFonts w:ascii="Cambria" w:hAnsi="Cambria" w:cstheme="minorHAnsi"/>
                <w:sz w:val="18"/>
                <w:szCs w:val="18"/>
              </w:rPr>
            </w:pPr>
          </w:p>
        </w:tc>
      </w:tr>
      <w:tr w:rsidR="007E31E3" w:rsidRPr="00524435" w14:paraId="22C8991D" w14:textId="77777777" w:rsidTr="00820229">
        <w:trPr>
          <w:cnfStyle w:val="000000100000" w:firstRow="0" w:lastRow="0" w:firstColumn="0" w:lastColumn="0" w:oddVBand="0" w:evenVBand="0" w:oddHBand="1" w:evenHBand="0" w:firstRowFirstColumn="0" w:firstRowLastColumn="0" w:lastRowFirstColumn="0" w:lastRowLastColumn="0"/>
          <w:trHeight w:val="1116"/>
          <w:jc w:val="center"/>
        </w:trPr>
        <w:tc>
          <w:tcPr>
            <w:tcW w:w="2250" w:type="dxa"/>
          </w:tcPr>
          <w:p w14:paraId="643344EC" w14:textId="77777777" w:rsidR="007E31E3" w:rsidRPr="00524435" w:rsidRDefault="007E31E3" w:rsidP="008B0732">
            <w:pPr>
              <w:numPr>
                <w:ilvl w:val="0"/>
                <w:numId w:val="18"/>
              </w:numPr>
              <w:tabs>
                <w:tab w:val="num" w:pos="341"/>
              </w:tabs>
              <w:ind w:firstLine="0"/>
              <w:contextualSpacing/>
              <w:jc w:val="both"/>
              <w:rPr>
                <w:rFonts w:ascii="Cambria" w:hAnsi="Cambria" w:cstheme="minorHAnsi"/>
                <w:sz w:val="18"/>
                <w:szCs w:val="18"/>
              </w:rPr>
            </w:pPr>
            <w:r w:rsidRPr="00524435">
              <w:rPr>
                <w:rFonts w:ascii="Cambria" w:hAnsi="Cambria" w:cstheme="minorHAnsi"/>
                <w:sz w:val="18"/>
                <w:szCs w:val="18"/>
              </w:rPr>
              <w:t xml:space="preserve">Case 12.159, Report No. 79/09, Gabriel </w:t>
            </w:r>
            <w:proofErr w:type="spellStart"/>
            <w:r w:rsidRPr="00524435">
              <w:rPr>
                <w:rFonts w:ascii="Cambria" w:hAnsi="Cambria" w:cstheme="minorHAnsi"/>
                <w:sz w:val="18"/>
                <w:szCs w:val="18"/>
              </w:rPr>
              <w:t>Egisto</w:t>
            </w:r>
            <w:proofErr w:type="spellEnd"/>
            <w:r w:rsidRPr="00524435">
              <w:rPr>
                <w:rFonts w:ascii="Cambria" w:hAnsi="Cambria" w:cstheme="minorHAnsi"/>
                <w:sz w:val="18"/>
                <w:szCs w:val="18"/>
              </w:rPr>
              <w:t xml:space="preserve"> Santillan </w:t>
            </w:r>
            <w:proofErr w:type="spellStart"/>
            <w:r w:rsidRPr="00524435">
              <w:rPr>
                <w:rFonts w:ascii="Cambria" w:hAnsi="Cambria" w:cstheme="minorHAnsi"/>
                <w:sz w:val="18"/>
                <w:szCs w:val="18"/>
              </w:rPr>
              <w:t>Reigas</w:t>
            </w:r>
            <w:proofErr w:type="spellEnd"/>
            <w:r w:rsidRPr="00524435">
              <w:rPr>
                <w:rFonts w:ascii="Cambria" w:hAnsi="Cambria" w:cstheme="minorHAnsi"/>
                <w:sz w:val="18"/>
                <w:szCs w:val="18"/>
              </w:rPr>
              <w:t xml:space="preserve"> (Argentina)</w:t>
            </w:r>
          </w:p>
        </w:tc>
        <w:tc>
          <w:tcPr>
            <w:tcW w:w="1170" w:type="dxa"/>
            <w:vMerge/>
          </w:tcPr>
          <w:p w14:paraId="1DE7FADC" w14:textId="77777777" w:rsidR="007E31E3" w:rsidRPr="00524435" w:rsidRDefault="007E31E3" w:rsidP="00820229">
            <w:pPr>
              <w:jc w:val="center"/>
              <w:rPr>
                <w:rFonts w:ascii="Cambria" w:hAnsi="Cambria" w:cstheme="minorHAnsi"/>
                <w:sz w:val="18"/>
                <w:szCs w:val="18"/>
              </w:rPr>
            </w:pPr>
          </w:p>
        </w:tc>
        <w:tc>
          <w:tcPr>
            <w:tcW w:w="1316" w:type="dxa"/>
          </w:tcPr>
          <w:p w14:paraId="678F9DB1" w14:textId="77777777" w:rsidR="007E31E3" w:rsidRPr="00524435" w:rsidRDefault="007E31E3" w:rsidP="00820229">
            <w:pPr>
              <w:jc w:val="center"/>
              <w:rPr>
                <w:rFonts w:ascii="Cambria" w:hAnsi="Cambria" w:cstheme="minorHAnsi"/>
                <w:sz w:val="18"/>
                <w:szCs w:val="18"/>
              </w:rPr>
            </w:pPr>
          </w:p>
        </w:tc>
        <w:tc>
          <w:tcPr>
            <w:tcW w:w="1170" w:type="dxa"/>
          </w:tcPr>
          <w:p w14:paraId="0BA16BFE" w14:textId="77777777" w:rsidR="007E31E3" w:rsidRPr="00524435" w:rsidRDefault="007E31E3" w:rsidP="00820229">
            <w:pPr>
              <w:ind w:firstLine="31"/>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4AB896D6"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267F65FD"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75%</w:t>
            </w:r>
          </w:p>
        </w:tc>
        <w:tc>
          <w:tcPr>
            <w:tcW w:w="1260" w:type="dxa"/>
          </w:tcPr>
          <w:p w14:paraId="00785103"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3EE68F54" w14:textId="77777777" w:rsidTr="00820229">
        <w:trPr>
          <w:cnfStyle w:val="000000010000" w:firstRow="0" w:lastRow="0" w:firstColumn="0" w:lastColumn="0" w:oddVBand="0" w:evenVBand="0" w:oddHBand="0" w:evenHBand="1" w:firstRowFirstColumn="0" w:firstRowLastColumn="0" w:lastRowFirstColumn="0" w:lastRowLastColumn="0"/>
          <w:trHeight w:val="936"/>
          <w:jc w:val="center"/>
        </w:trPr>
        <w:tc>
          <w:tcPr>
            <w:tcW w:w="2250" w:type="dxa"/>
          </w:tcPr>
          <w:p w14:paraId="04A6A9C8" w14:textId="77777777" w:rsidR="007E31E3" w:rsidRPr="00524435" w:rsidRDefault="007E31E3" w:rsidP="008B0732">
            <w:pPr>
              <w:numPr>
                <w:ilvl w:val="0"/>
                <w:numId w:val="18"/>
              </w:numPr>
              <w:tabs>
                <w:tab w:val="num" w:pos="341"/>
              </w:tabs>
              <w:ind w:firstLine="0"/>
              <w:contextualSpacing/>
              <w:jc w:val="both"/>
              <w:rPr>
                <w:rFonts w:ascii="Cambria" w:hAnsi="Cambria" w:cstheme="minorHAnsi"/>
                <w:sz w:val="18"/>
                <w:szCs w:val="18"/>
              </w:rPr>
            </w:pPr>
            <w:r w:rsidRPr="00524435">
              <w:rPr>
                <w:rFonts w:ascii="Cambria" w:hAnsi="Cambria" w:cstheme="minorHAnsi"/>
                <w:sz w:val="18"/>
                <w:szCs w:val="18"/>
              </w:rPr>
              <w:t>Case 11.758, Report No. 15/10, Rodolfo Correa Belisle (Argentina)</w:t>
            </w:r>
            <w:r w:rsidRPr="00524435">
              <w:rPr>
                <w:rFonts w:ascii="Cambria" w:hAnsi="Cambria" w:cstheme="minorHAnsi"/>
                <w:sz w:val="18"/>
                <w:szCs w:val="18"/>
                <w:vertAlign w:val="superscript"/>
              </w:rPr>
              <w:footnoteReference w:id="28"/>
            </w:r>
          </w:p>
        </w:tc>
        <w:tc>
          <w:tcPr>
            <w:tcW w:w="1170" w:type="dxa"/>
            <w:vMerge/>
          </w:tcPr>
          <w:p w14:paraId="08CC1E23" w14:textId="77777777" w:rsidR="007E31E3" w:rsidRPr="00524435" w:rsidRDefault="007E31E3" w:rsidP="00820229">
            <w:pPr>
              <w:jc w:val="center"/>
              <w:rPr>
                <w:rFonts w:ascii="Cambria" w:hAnsi="Cambria" w:cstheme="minorHAnsi"/>
                <w:sz w:val="18"/>
                <w:szCs w:val="18"/>
              </w:rPr>
            </w:pPr>
          </w:p>
        </w:tc>
        <w:tc>
          <w:tcPr>
            <w:tcW w:w="1316" w:type="dxa"/>
          </w:tcPr>
          <w:p w14:paraId="19ACD097"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15CADE9A" w14:textId="77777777" w:rsidR="007E31E3" w:rsidRPr="00524435" w:rsidRDefault="007E31E3" w:rsidP="00820229">
            <w:pPr>
              <w:ind w:firstLine="31"/>
              <w:jc w:val="center"/>
              <w:rPr>
                <w:rFonts w:ascii="Cambria" w:hAnsi="Cambria" w:cstheme="minorHAnsi"/>
                <w:sz w:val="18"/>
                <w:szCs w:val="18"/>
              </w:rPr>
            </w:pPr>
          </w:p>
        </w:tc>
        <w:tc>
          <w:tcPr>
            <w:tcW w:w="1170" w:type="dxa"/>
          </w:tcPr>
          <w:p w14:paraId="22CA7C72"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4D14EFFA" w14:textId="77777777" w:rsidR="007E31E3" w:rsidRPr="00524435" w:rsidRDefault="007E31E3" w:rsidP="00820229">
            <w:pPr>
              <w:keepNext/>
              <w:tabs>
                <w:tab w:val="left" w:pos="177"/>
              </w:tabs>
              <w:ind w:firstLine="162"/>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374721C0"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Closed</w:t>
            </w:r>
          </w:p>
        </w:tc>
      </w:tr>
      <w:tr w:rsidR="007E31E3" w:rsidRPr="00524435" w14:paraId="7276C52C" w14:textId="77777777" w:rsidTr="00820229">
        <w:trPr>
          <w:cnfStyle w:val="000000100000" w:firstRow="0" w:lastRow="0" w:firstColumn="0" w:lastColumn="0" w:oddVBand="0" w:evenVBand="0" w:oddHBand="1" w:evenHBand="0" w:firstRowFirstColumn="0" w:firstRowLastColumn="0" w:lastRowFirstColumn="0" w:lastRowLastColumn="0"/>
          <w:trHeight w:val="981"/>
          <w:jc w:val="center"/>
        </w:trPr>
        <w:tc>
          <w:tcPr>
            <w:tcW w:w="2250" w:type="dxa"/>
          </w:tcPr>
          <w:p w14:paraId="2E15556B" w14:textId="77777777" w:rsidR="007E31E3" w:rsidRPr="00E42B49" w:rsidRDefault="007E31E3" w:rsidP="008B0732">
            <w:pPr>
              <w:numPr>
                <w:ilvl w:val="0"/>
                <w:numId w:val="18"/>
              </w:numPr>
              <w:tabs>
                <w:tab w:val="num" w:pos="341"/>
              </w:tabs>
              <w:ind w:firstLine="0"/>
              <w:contextualSpacing/>
              <w:jc w:val="both"/>
              <w:rPr>
                <w:rFonts w:ascii="Cambria" w:hAnsi="Cambria" w:cstheme="minorHAnsi"/>
                <w:sz w:val="18"/>
                <w:szCs w:val="18"/>
                <w:lang w:val="es-US"/>
              </w:rPr>
            </w:pPr>
            <w:r w:rsidRPr="00E42B49">
              <w:rPr>
                <w:rFonts w:ascii="Cambria" w:hAnsi="Cambria" w:cstheme="minorHAnsi"/>
                <w:sz w:val="18"/>
                <w:szCs w:val="18"/>
                <w:lang w:val="es-US"/>
              </w:rPr>
              <w:t xml:space="preserve">Case 11.796,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16/10, Mario Humberto Gómez </w:t>
            </w:r>
            <w:proofErr w:type="spellStart"/>
            <w:r w:rsidRPr="00E42B49">
              <w:rPr>
                <w:rFonts w:ascii="Cambria" w:hAnsi="Cambria" w:cstheme="minorHAnsi"/>
                <w:sz w:val="18"/>
                <w:szCs w:val="18"/>
                <w:lang w:val="es-US"/>
              </w:rPr>
              <w:t>Yardez</w:t>
            </w:r>
            <w:proofErr w:type="spellEnd"/>
            <w:r w:rsidRPr="00E42B49">
              <w:rPr>
                <w:rFonts w:ascii="Cambria" w:hAnsi="Cambria" w:cstheme="minorHAnsi"/>
                <w:sz w:val="18"/>
                <w:szCs w:val="18"/>
                <w:lang w:val="es-US"/>
              </w:rPr>
              <w:t xml:space="preserve"> (Argentina)</w:t>
            </w:r>
            <w:bookmarkStart w:id="6" w:name="OLE_LINK8"/>
            <w:bookmarkStart w:id="7" w:name="OLE_LINK7"/>
            <w:r w:rsidRPr="00524435">
              <w:rPr>
                <w:rFonts w:ascii="Cambria" w:hAnsi="Cambria" w:cstheme="minorHAnsi"/>
                <w:sz w:val="18"/>
                <w:szCs w:val="18"/>
                <w:vertAlign w:val="superscript"/>
              </w:rPr>
              <w:footnoteReference w:id="29"/>
            </w:r>
            <w:bookmarkEnd w:id="6"/>
            <w:bookmarkEnd w:id="7"/>
          </w:p>
        </w:tc>
        <w:tc>
          <w:tcPr>
            <w:tcW w:w="1170" w:type="dxa"/>
            <w:vMerge/>
          </w:tcPr>
          <w:p w14:paraId="037AC3CA" w14:textId="77777777" w:rsidR="007E31E3" w:rsidRPr="00E42B49" w:rsidRDefault="007E31E3" w:rsidP="00820229">
            <w:pPr>
              <w:jc w:val="center"/>
              <w:rPr>
                <w:rFonts w:ascii="Cambria" w:hAnsi="Cambria" w:cstheme="minorHAnsi"/>
                <w:sz w:val="18"/>
                <w:szCs w:val="18"/>
                <w:lang w:val="es-US"/>
              </w:rPr>
            </w:pPr>
          </w:p>
        </w:tc>
        <w:tc>
          <w:tcPr>
            <w:tcW w:w="1316" w:type="dxa"/>
          </w:tcPr>
          <w:p w14:paraId="17B5CEAA"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34C5FEAA" w14:textId="77777777" w:rsidR="007E31E3" w:rsidRPr="00524435" w:rsidRDefault="007E31E3" w:rsidP="00820229">
            <w:pPr>
              <w:ind w:firstLine="31"/>
              <w:jc w:val="center"/>
              <w:rPr>
                <w:rFonts w:ascii="Cambria" w:hAnsi="Cambria" w:cstheme="minorHAnsi"/>
                <w:sz w:val="18"/>
                <w:szCs w:val="18"/>
              </w:rPr>
            </w:pPr>
          </w:p>
        </w:tc>
        <w:tc>
          <w:tcPr>
            <w:tcW w:w="1170" w:type="dxa"/>
          </w:tcPr>
          <w:p w14:paraId="2AC78E5C"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44AD27A7" w14:textId="77777777" w:rsidR="007E31E3" w:rsidRPr="00524435" w:rsidRDefault="007E31E3" w:rsidP="00820229">
            <w:pPr>
              <w:keepNext/>
              <w:tabs>
                <w:tab w:val="left" w:pos="177"/>
              </w:tabs>
              <w:ind w:firstLine="162"/>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41D70F67"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Closed</w:t>
            </w:r>
          </w:p>
        </w:tc>
      </w:tr>
      <w:tr w:rsidR="007E31E3" w:rsidRPr="00524435" w14:paraId="58C46C07" w14:textId="77777777" w:rsidTr="00820229">
        <w:trPr>
          <w:cnfStyle w:val="000000010000" w:firstRow="0" w:lastRow="0" w:firstColumn="0" w:lastColumn="0" w:oddVBand="0" w:evenVBand="0" w:oddHBand="0" w:evenHBand="1" w:firstRowFirstColumn="0" w:firstRowLastColumn="0" w:lastRowFirstColumn="0" w:lastRowLastColumn="0"/>
          <w:trHeight w:val="1377"/>
          <w:jc w:val="center"/>
        </w:trPr>
        <w:tc>
          <w:tcPr>
            <w:tcW w:w="2250" w:type="dxa"/>
          </w:tcPr>
          <w:p w14:paraId="51771242" w14:textId="77777777" w:rsidR="007E31E3" w:rsidRPr="003F238D" w:rsidRDefault="007E31E3" w:rsidP="008B0732">
            <w:pPr>
              <w:numPr>
                <w:ilvl w:val="0"/>
                <w:numId w:val="18"/>
              </w:numPr>
              <w:tabs>
                <w:tab w:val="num" w:pos="341"/>
              </w:tabs>
              <w:ind w:firstLine="0"/>
              <w:contextualSpacing/>
              <w:jc w:val="both"/>
              <w:rPr>
                <w:rFonts w:ascii="Cambria" w:hAnsi="Cambria" w:cstheme="minorHAnsi"/>
                <w:sz w:val="18"/>
                <w:szCs w:val="18"/>
                <w:lang w:val="es-US"/>
              </w:rPr>
            </w:pPr>
            <w:r w:rsidRPr="003F238D">
              <w:rPr>
                <w:rFonts w:ascii="Cambria" w:hAnsi="Cambria" w:cstheme="minorHAnsi"/>
                <w:sz w:val="18"/>
                <w:szCs w:val="18"/>
                <w:lang w:val="es-US"/>
              </w:rPr>
              <w:t xml:space="preserve">Case 12.536, </w:t>
            </w:r>
            <w:proofErr w:type="spellStart"/>
            <w:r w:rsidRPr="003F238D">
              <w:rPr>
                <w:rFonts w:ascii="Cambria" w:hAnsi="Cambria" w:cstheme="minorHAnsi"/>
                <w:sz w:val="18"/>
                <w:szCs w:val="18"/>
                <w:lang w:val="es-US"/>
              </w:rPr>
              <w:t>Report</w:t>
            </w:r>
            <w:proofErr w:type="spellEnd"/>
            <w:r w:rsidRPr="003F238D">
              <w:rPr>
                <w:rFonts w:ascii="Cambria" w:hAnsi="Cambria" w:cstheme="minorHAnsi"/>
                <w:sz w:val="18"/>
                <w:szCs w:val="18"/>
                <w:lang w:val="es-US"/>
              </w:rPr>
              <w:t xml:space="preserve"> No. 17/10, Raquel Natalia Lagunas and Sergio Antonio </w:t>
            </w:r>
            <w:proofErr w:type="spellStart"/>
            <w:r w:rsidRPr="003F238D">
              <w:rPr>
                <w:rFonts w:ascii="Cambria" w:hAnsi="Cambria" w:cstheme="minorHAnsi"/>
                <w:sz w:val="18"/>
                <w:szCs w:val="18"/>
                <w:lang w:val="es-US"/>
              </w:rPr>
              <w:t>Sorbellini</w:t>
            </w:r>
            <w:proofErr w:type="spellEnd"/>
            <w:r w:rsidRPr="003F238D">
              <w:rPr>
                <w:rFonts w:ascii="Cambria" w:hAnsi="Cambria" w:cstheme="minorHAnsi"/>
                <w:sz w:val="18"/>
                <w:szCs w:val="18"/>
                <w:lang w:val="es-US"/>
              </w:rPr>
              <w:t xml:space="preserve"> (Argentina)</w:t>
            </w:r>
          </w:p>
        </w:tc>
        <w:tc>
          <w:tcPr>
            <w:tcW w:w="1170" w:type="dxa"/>
            <w:vMerge/>
          </w:tcPr>
          <w:p w14:paraId="60044FC2" w14:textId="77777777" w:rsidR="007E31E3" w:rsidRPr="003F238D" w:rsidRDefault="007E31E3" w:rsidP="00820229">
            <w:pPr>
              <w:jc w:val="center"/>
              <w:rPr>
                <w:rFonts w:ascii="Cambria" w:hAnsi="Cambria" w:cstheme="minorHAnsi"/>
                <w:sz w:val="18"/>
                <w:szCs w:val="18"/>
                <w:lang w:val="es-US"/>
              </w:rPr>
            </w:pPr>
          </w:p>
        </w:tc>
        <w:tc>
          <w:tcPr>
            <w:tcW w:w="1316" w:type="dxa"/>
          </w:tcPr>
          <w:p w14:paraId="2074A0E4" w14:textId="77777777" w:rsidR="007E31E3" w:rsidRPr="003F238D" w:rsidRDefault="007E31E3" w:rsidP="00820229">
            <w:pPr>
              <w:jc w:val="center"/>
              <w:rPr>
                <w:rFonts w:ascii="Cambria" w:hAnsi="Cambria" w:cstheme="minorHAnsi"/>
                <w:sz w:val="18"/>
                <w:szCs w:val="18"/>
                <w:lang w:val="es-US"/>
              </w:rPr>
            </w:pPr>
          </w:p>
        </w:tc>
        <w:tc>
          <w:tcPr>
            <w:tcW w:w="1170" w:type="dxa"/>
          </w:tcPr>
          <w:p w14:paraId="354D1562" w14:textId="77777777" w:rsidR="007E31E3" w:rsidRPr="00524435" w:rsidRDefault="007E31E3" w:rsidP="00820229">
            <w:pPr>
              <w:ind w:firstLine="31"/>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693A202C"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75F13470"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80%</w:t>
            </w:r>
          </w:p>
        </w:tc>
        <w:tc>
          <w:tcPr>
            <w:tcW w:w="1260" w:type="dxa"/>
          </w:tcPr>
          <w:p w14:paraId="4175A193"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32DC6AFB" w14:textId="77777777" w:rsidTr="00820229">
        <w:trPr>
          <w:cnfStyle w:val="000000100000" w:firstRow="0" w:lastRow="0" w:firstColumn="0" w:lastColumn="0" w:oddVBand="0" w:evenVBand="0" w:oddHBand="1" w:evenHBand="0" w:firstRowFirstColumn="0" w:firstRowLastColumn="0" w:lastRowFirstColumn="0" w:lastRowLastColumn="0"/>
          <w:trHeight w:val="1044"/>
          <w:jc w:val="center"/>
        </w:trPr>
        <w:tc>
          <w:tcPr>
            <w:tcW w:w="2250" w:type="dxa"/>
          </w:tcPr>
          <w:p w14:paraId="02712A67" w14:textId="77777777" w:rsidR="007E31E3" w:rsidRPr="00E42B49" w:rsidRDefault="007E31E3" w:rsidP="008B0732">
            <w:pPr>
              <w:numPr>
                <w:ilvl w:val="0"/>
                <w:numId w:val="18"/>
              </w:numPr>
              <w:tabs>
                <w:tab w:val="num" w:pos="431"/>
              </w:tabs>
              <w:ind w:firstLine="0"/>
              <w:contextualSpacing/>
              <w:jc w:val="both"/>
              <w:rPr>
                <w:rFonts w:ascii="Cambria" w:hAnsi="Cambria" w:cstheme="minorHAnsi"/>
                <w:sz w:val="18"/>
                <w:szCs w:val="18"/>
                <w:lang w:val="es-US"/>
              </w:rPr>
            </w:pPr>
            <w:proofErr w:type="spellStart"/>
            <w:r w:rsidRPr="00E42B49">
              <w:rPr>
                <w:rFonts w:ascii="Cambria" w:hAnsi="Cambria" w:cstheme="minorHAnsi"/>
                <w:sz w:val="18"/>
                <w:szCs w:val="18"/>
                <w:lang w:val="es-US"/>
              </w:rPr>
              <w:lastRenderedPageBreak/>
              <w:t>Petition</w:t>
            </w:r>
            <w:proofErr w:type="spellEnd"/>
            <w:r w:rsidRPr="00E42B49">
              <w:rPr>
                <w:rFonts w:ascii="Cambria" w:hAnsi="Cambria" w:cstheme="minorHAnsi"/>
                <w:sz w:val="18"/>
                <w:szCs w:val="18"/>
                <w:lang w:val="es-US"/>
              </w:rPr>
              <w:t xml:space="preserve"> 242-03,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160/10, Inocencia Luca </w:t>
            </w:r>
            <w:proofErr w:type="spellStart"/>
            <w:r w:rsidRPr="00E42B49">
              <w:rPr>
                <w:rFonts w:ascii="Cambria" w:hAnsi="Cambria" w:cstheme="minorHAnsi"/>
                <w:sz w:val="18"/>
                <w:szCs w:val="18"/>
                <w:lang w:val="es-US"/>
              </w:rPr>
              <w:t>Pegoraro</w:t>
            </w:r>
            <w:proofErr w:type="spellEnd"/>
            <w:r w:rsidRPr="00E42B49">
              <w:rPr>
                <w:rFonts w:ascii="Cambria" w:hAnsi="Cambria" w:cstheme="minorHAnsi"/>
                <w:sz w:val="18"/>
                <w:szCs w:val="18"/>
                <w:lang w:val="es-US"/>
              </w:rPr>
              <w:t xml:space="preserve"> (Argentina)</w:t>
            </w:r>
          </w:p>
        </w:tc>
        <w:tc>
          <w:tcPr>
            <w:tcW w:w="1170" w:type="dxa"/>
            <w:vMerge/>
          </w:tcPr>
          <w:p w14:paraId="4A746D6F" w14:textId="77777777" w:rsidR="007E31E3" w:rsidRPr="00E42B49" w:rsidRDefault="007E31E3" w:rsidP="00820229">
            <w:pPr>
              <w:jc w:val="center"/>
              <w:rPr>
                <w:rFonts w:ascii="Cambria" w:hAnsi="Cambria" w:cstheme="minorHAnsi"/>
                <w:sz w:val="18"/>
                <w:szCs w:val="18"/>
                <w:lang w:val="es-US"/>
              </w:rPr>
            </w:pPr>
          </w:p>
        </w:tc>
        <w:tc>
          <w:tcPr>
            <w:tcW w:w="1316" w:type="dxa"/>
          </w:tcPr>
          <w:p w14:paraId="6F97281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14EB1437" w14:textId="77777777" w:rsidR="007E31E3" w:rsidRPr="00524435" w:rsidRDefault="007E31E3" w:rsidP="00820229">
            <w:pPr>
              <w:ind w:firstLine="31"/>
              <w:jc w:val="center"/>
              <w:rPr>
                <w:rFonts w:ascii="Cambria" w:hAnsi="Cambria" w:cstheme="minorHAnsi"/>
                <w:sz w:val="18"/>
                <w:szCs w:val="18"/>
              </w:rPr>
            </w:pPr>
          </w:p>
        </w:tc>
        <w:tc>
          <w:tcPr>
            <w:tcW w:w="1170" w:type="dxa"/>
          </w:tcPr>
          <w:p w14:paraId="19734BA3"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772974E4"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0C765660"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 2021</w:t>
            </w:r>
          </w:p>
        </w:tc>
      </w:tr>
      <w:tr w:rsidR="007E31E3" w:rsidRPr="00524435" w14:paraId="48A8D7F8" w14:textId="77777777" w:rsidTr="00820229">
        <w:trPr>
          <w:cnfStyle w:val="000000010000" w:firstRow="0" w:lastRow="0" w:firstColumn="0" w:lastColumn="0" w:oddVBand="0" w:evenVBand="0" w:oddHBand="0" w:evenHBand="1" w:firstRowFirstColumn="0" w:firstRowLastColumn="0" w:lastRowFirstColumn="0" w:lastRowLastColumn="0"/>
          <w:trHeight w:val="954"/>
          <w:jc w:val="center"/>
        </w:trPr>
        <w:tc>
          <w:tcPr>
            <w:tcW w:w="2250" w:type="dxa"/>
          </w:tcPr>
          <w:p w14:paraId="4D00EB4F" w14:textId="77777777" w:rsidR="007E31E3" w:rsidRPr="00E42B49" w:rsidRDefault="007E31E3" w:rsidP="008B0732">
            <w:pPr>
              <w:numPr>
                <w:ilvl w:val="0"/>
                <w:numId w:val="18"/>
              </w:numPr>
              <w:tabs>
                <w:tab w:val="num" w:pos="431"/>
              </w:tabs>
              <w:ind w:firstLine="0"/>
              <w:contextualSpacing/>
              <w:jc w:val="both"/>
              <w:rPr>
                <w:rFonts w:ascii="Cambria" w:hAnsi="Cambria" w:cstheme="minorHAnsi"/>
                <w:sz w:val="18"/>
                <w:szCs w:val="18"/>
                <w:lang w:val="es-US"/>
              </w:rPr>
            </w:pPr>
            <w:proofErr w:type="spellStart"/>
            <w:r w:rsidRPr="00E42B49">
              <w:rPr>
                <w:rFonts w:ascii="Cambria" w:hAnsi="Cambria" w:cstheme="minorHAnsi"/>
                <w:sz w:val="18"/>
                <w:szCs w:val="18"/>
                <w:lang w:val="es-US"/>
              </w:rPr>
              <w:t>Petition</w:t>
            </w:r>
            <w:proofErr w:type="spellEnd"/>
            <w:r w:rsidRPr="00E42B49">
              <w:rPr>
                <w:rFonts w:ascii="Cambria" w:hAnsi="Cambria" w:cstheme="minorHAnsi"/>
                <w:sz w:val="18"/>
                <w:szCs w:val="18"/>
                <w:lang w:val="es-US"/>
              </w:rPr>
              <w:t xml:space="preserve"> 4554-02,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161/10, Valerio Castillo Báez (Argentina)</w:t>
            </w:r>
            <w:r w:rsidRPr="00524435">
              <w:rPr>
                <w:rFonts w:ascii="Cambria" w:hAnsi="Cambria" w:cstheme="minorHAnsi"/>
                <w:sz w:val="18"/>
                <w:szCs w:val="18"/>
                <w:vertAlign w:val="superscript"/>
              </w:rPr>
              <w:footnoteReference w:id="30"/>
            </w:r>
          </w:p>
        </w:tc>
        <w:tc>
          <w:tcPr>
            <w:tcW w:w="1170" w:type="dxa"/>
            <w:vMerge/>
          </w:tcPr>
          <w:p w14:paraId="37502485" w14:textId="77777777" w:rsidR="007E31E3" w:rsidRPr="00E42B49" w:rsidRDefault="007E31E3" w:rsidP="00820229">
            <w:pPr>
              <w:jc w:val="center"/>
              <w:rPr>
                <w:rFonts w:ascii="Cambria" w:hAnsi="Cambria" w:cstheme="minorHAnsi"/>
                <w:sz w:val="18"/>
                <w:szCs w:val="18"/>
                <w:lang w:val="es-US"/>
              </w:rPr>
            </w:pPr>
          </w:p>
        </w:tc>
        <w:tc>
          <w:tcPr>
            <w:tcW w:w="1316" w:type="dxa"/>
          </w:tcPr>
          <w:p w14:paraId="1895CE99"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4623739C" w14:textId="77777777" w:rsidR="007E31E3" w:rsidRPr="00524435" w:rsidRDefault="007E31E3" w:rsidP="00820229">
            <w:pPr>
              <w:ind w:firstLine="31"/>
              <w:jc w:val="center"/>
              <w:rPr>
                <w:rFonts w:ascii="Cambria" w:hAnsi="Cambria" w:cstheme="minorHAnsi"/>
                <w:sz w:val="18"/>
                <w:szCs w:val="18"/>
              </w:rPr>
            </w:pPr>
          </w:p>
        </w:tc>
        <w:tc>
          <w:tcPr>
            <w:tcW w:w="1170" w:type="dxa"/>
          </w:tcPr>
          <w:p w14:paraId="59171212"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651D13AE"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2788DD91"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127B579B" w14:textId="77777777" w:rsidTr="00820229">
        <w:trPr>
          <w:cnfStyle w:val="000000100000" w:firstRow="0" w:lastRow="0" w:firstColumn="0" w:lastColumn="0" w:oddVBand="0" w:evenVBand="0" w:oddHBand="1" w:evenHBand="0" w:firstRowFirstColumn="0" w:firstRowLastColumn="0" w:lastRowFirstColumn="0" w:lastRowLastColumn="0"/>
          <w:trHeight w:val="945"/>
          <w:jc w:val="center"/>
        </w:trPr>
        <w:tc>
          <w:tcPr>
            <w:tcW w:w="2250" w:type="dxa"/>
          </w:tcPr>
          <w:p w14:paraId="10722C33" w14:textId="77777777" w:rsidR="007E31E3" w:rsidRPr="00E42B49" w:rsidRDefault="007E31E3" w:rsidP="008B0732">
            <w:pPr>
              <w:numPr>
                <w:ilvl w:val="0"/>
                <w:numId w:val="18"/>
              </w:numPr>
              <w:tabs>
                <w:tab w:val="num" w:pos="431"/>
              </w:tabs>
              <w:ind w:firstLine="0"/>
              <w:contextualSpacing/>
              <w:jc w:val="both"/>
              <w:rPr>
                <w:rFonts w:ascii="Cambria" w:hAnsi="Cambria" w:cstheme="minorHAnsi"/>
                <w:sz w:val="18"/>
                <w:szCs w:val="18"/>
                <w:lang w:val="es-US"/>
              </w:rPr>
            </w:pPr>
            <w:proofErr w:type="spellStart"/>
            <w:r w:rsidRPr="00E42B49">
              <w:rPr>
                <w:rFonts w:ascii="Cambria" w:hAnsi="Cambria" w:cstheme="minorHAnsi"/>
                <w:sz w:val="18"/>
                <w:szCs w:val="18"/>
                <w:lang w:val="es-US"/>
              </w:rPr>
              <w:t>Petition</w:t>
            </w:r>
            <w:proofErr w:type="spellEnd"/>
            <w:r w:rsidRPr="00E42B49">
              <w:rPr>
                <w:rFonts w:ascii="Cambria" w:hAnsi="Cambria" w:cstheme="minorHAnsi"/>
                <w:sz w:val="18"/>
                <w:szCs w:val="18"/>
                <w:lang w:val="es-US"/>
              </w:rPr>
              <w:t xml:space="preserve"> 2829-02,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11/19, Inocencio Rodríguez (Argentina)</w:t>
            </w:r>
            <w:r w:rsidRPr="00524435">
              <w:rPr>
                <w:rFonts w:ascii="Cambria" w:hAnsi="Cambria" w:cstheme="minorHAnsi"/>
                <w:sz w:val="18"/>
                <w:szCs w:val="18"/>
                <w:vertAlign w:val="superscript"/>
              </w:rPr>
              <w:footnoteReference w:id="31"/>
            </w:r>
          </w:p>
        </w:tc>
        <w:tc>
          <w:tcPr>
            <w:tcW w:w="1170" w:type="dxa"/>
            <w:vMerge/>
          </w:tcPr>
          <w:p w14:paraId="0716519C" w14:textId="77777777" w:rsidR="007E31E3" w:rsidRPr="00E42B49" w:rsidRDefault="007E31E3" w:rsidP="00820229">
            <w:pPr>
              <w:jc w:val="center"/>
              <w:rPr>
                <w:rFonts w:ascii="Cambria" w:hAnsi="Cambria" w:cstheme="minorHAnsi"/>
                <w:sz w:val="18"/>
                <w:szCs w:val="18"/>
                <w:lang w:val="es-US"/>
              </w:rPr>
            </w:pPr>
          </w:p>
        </w:tc>
        <w:tc>
          <w:tcPr>
            <w:tcW w:w="1316" w:type="dxa"/>
          </w:tcPr>
          <w:p w14:paraId="7E45802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4B530228" w14:textId="77777777" w:rsidR="007E31E3" w:rsidRPr="00524435" w:rsidRDefault="007E31E3" w:rsidP="00820229">
            <w:pPr>
              <w:ind w:firstLine="31"/>
              <w:jc w:val="center"/>
              <w:rPr>
                <w:rFonts w:ascii="Cambria" w:hAnsi="Cambria" w:cstheme="minorHAnsi"/>
                <w:sz w:val="18"/>
                <w:szCs w:val="18"/>
              </w:rPr>
            </w:pPr>
          </w:p>
        </w:tc>
        <w:tc>
          <w:tcPr>
            <w:tcW w:w="1170" w:type="dxa"/>
          </w:tcPr>
          <w:p w14:paraId="4A86A135"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29E33E94"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0DE482D1"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3A57E6CB" w14:textId="77777777" w:rsidTr="00820229">
        <w:trPr>
          <w:cnfStyle w:val="000000010000" w:firstRow="0" w:lastRow="0" w:firstColumn="0" w:lastColumn="0" w:oddVBand="0" w:evenVBand="0" w:oddHBand="0" w:evenHBand="1" w:firstRowFirstColumn="0" w:firstRowLastColumn="0" w:lastRowFirstColumn="0" w:lastRowLastColumn="0"/>
          <w:trHeight w:val="945"/>
          <w:jc w:val="center"/>
        </w:trPr>
        <w:tc>
          <w:tcPr>
            <w:tcW w:w="2250" w:type="dxa"/>
          </w:tcPr>
          <w:p w14:paraId="20DC9A52" w14:textId="77777777" w:rsidR="007E31E3" w:rsidRPr="00524435" w:rsidRDefault="007E31E3" w:rsidP="008B0732">
            <w:pPr>
              <w:numPr>
                <w:ilvl w:val="0"/>
                <w:numId w:val="18"/>
              </w:numPr>
              <w:tabs>
                <w:tab w:val="num" w:pos="431"/>
              </w:tabs>
              <w:ind w:firstLine="0"/>
              <w:contextualSpacing/>
              <w:jc w:val="both"/>
              <w:rPr>
                <w:rFonts w:ascii="Cambria" w:hAnsi="Cambria" w:cstheme="minorHAnsi"/>
                <w:sz w:val="18"/>
                <w:szCs w:val="18"/>
              </w:rPr>
            </w:pPr>
            <w:r w:rsidRPr="00524435">
              <w:rPr>
                <w:rFonts w:ascii="Cambria" w:hAnsi="Cambria" w:cstheme="minorHAnsi"/>
                <w:sz w:val="18"/>
                <w:szCs w:val="18"/>
              </w:rPr>
              <w:t xml:space="preserve">Case 11.708, Report No. 20/11, Anibal </w:t>
            </w:r>
            <w:proofErr w:type="gramStart"/>
            <w:r w:rsidRPr="00524435">
              <w:rPr>
                <w:rFonts w:ascii="Cambria" w:hAnsi="Cambria" w:cstheme="minorHAnsi"/>
                <w:sz w:val="18"/>
                <w:szCs w:val="18"/>
              </w:rPr>
              <w:t>Acosta</w:t>
            </w:r>
            <w:proofErr w:type="gramEnd"/>
            <w:r w:rsidRPr="00524435">
              <w:rPr>
                <w:rFonts w:ascii="Cambria" w:hAnsi="Cambria" w:cstheme="minorHAnsi"/>
                <w:sz w:val="18"/>
                <w:szCs w:val="18"/>
              </w:rPr>
              <w:t xml:space="preserve"> and L. Hirsch (Argentina)</w:t>
            </w:r>
            <w:r w:rsidRPr="00524435">
              <w:rPr>
                <w:rFonts w:ascii="Cambria" w:hAnsi="Cambria" w:cstheme="minorHAnsi"/>
                <w:sz w:val="18"/>
                <w:szCs w:val="18"/>
                <w:vertAlign w:val="superscript"/>
              </w:rPr>
              <w:footnoteReference w:id="32"/>
            </w:r>
          </w:p>
        </w:tc>
        <w:tc>
          <w:tcPr>
            <w:tcW w:w="1170" w:type="dxa"/>
            <w:vMerge/>
          </w:tcPr>
          <w:p w14:paraId="4A18FA6E" w14:textId="77777777" w:rsidR="007E31E3" w:rsidRPr="00524435" w:rsidRDefault="007E31E3" w:rsidP="00820229">
            <w:pPr>
              <w:jc w:val="center"/>
              <w:rPr>
                <w:rFonts w:ascii="Cambria" w:hAnsi="Cambria" w:cstheme="minorHAnsi"/>
                <w:sz w:val="18"/>
                <w:szCs w:val="18"/>
              </w:rPr>
            </w:pPr>
          </w:p>
        </w:tc>
        <w:tc>
          <w:tcPr>
            <w:tcW w:w="1316" w:type="dxa"/>
          </w:tcPr>
          <w:p w14:paraId="3B4C221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72C53EF8" w14:textId="77777777" w:rsidR="007E31E3" w:rsidRPr="00524435" w:rsidRDefault="007E31E3" w:rsidP="00820229">
            <w:pPr>
              <w:ind w:firstLine="31"/>
              <w:jc w:val="center"/>
              <w:rPr>
                <w:rFonts w:ascii="Cambria" w:hAnsi="Cambria" w:cstheme="minorHAnsi"/>
                <w:sz w:val="18"/>
                <w:szCs w:val="18"/>
              </w:rPr>
            </w:pPr>
          </w:p>
        </w:tc>
        <w:tc>
          <w:tcPr>
            <w:tcW w:w="1170" w:type="dxa"/>
          </w:tcPr>
          <w:p w14:paraId="140DB625"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6D115B4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4DE737E3"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5E13D216" w14:textId="77777777" w:rsidTr="00820229">
        <w:trPr>
          <w:cnfStyle w:val="000000100000" w:firstRow="0" w:lastRow="0" w:firstColumn="0" w:lastColumn="0" w:oddVBand="0" w:evenVBand="0" w:oddHBand="1" w:evenHBand="0" w:firstRowFirstColumn="0" w:firstRowLastColumn="0" w:lastRowFirstColumn="0" w:lastRowLastColumn="0"/>
          <w:trHeight w:val="945"/>
          <w:jc w:val="center"/>
        </w:trPr>
        <w:tc>
          <w:tcPr>
            <w:tcW w:w="2250" w:type="dxa"/>
          </w:tcPr>
          <w:p w14:paraId="593DBFBA" w14:textId="77777777" w:rsidR="007E31E3" w:rsidRPr="00524435" w:rsidRDefault="007E31E3" w:rsidP="008B0732">
            <w:pPr>
              <w:numPr>
                <w:ilvl w:val="0"/>
                <w:numId w:val="18"/>
              </w:numPr>
              <w:tabs>
                <w:tab w:val="num" w:pos="431"/>
              </w:tabs>
              <w:ind w:firstLine="0"/>
              <w:jc w:val="both"/>
              <w:rPr>
                <w:rFonts w:ascii="Cambria" w:hAnsi="Cambria" w:cstheme="minorHAnsi"/>
                <w:sz w:val="18"/>
                <w:szCs w:val="18"/>
              </w:rPr>
            </w:pPr>
            <w:r w:rsidRPr="00524435">
              <w:rPr>
                <w:rFonts w:ascii="Cambria" w:hAnsi="Cambria" w:cstheme="minorHAnsi"/>
                <w:sz w:val="18"/>
                <w:szCs w:val="18"/>
              </w:rPr>
              <w:t xml:space="preserve">Case 11.833, Report No. 21/11, Ricardo </w:t>
            </w:r>
            <w:proofErr w:type="spellStart"/>
            <w:r w:rsidRPr="00524435">
              <w:rPr>
                <w:rFonts w:ascii="Cambria" w:hAnsi="Cambria" w:cstheme="minorHAnsi"/>
                <w:sz w:val="18"/>
                <w:szCs w:val="18"/>
              </w:rPr>
              <w:t>Monterisi</w:t>
            </w:r>
            <w:proofErr w:type="spellEnd"/>
            <w:r w:rsidRPr="00524435">
              <w:rPr>
                <w:rFonts w:ascii="Cambria" w:hAnsi="Cambria" w:cstheme="minorHAnsi"/>
                <w:sz w:val="18"/>
                <w:szCs w:val="18"/>
              </w:rPr>
              <w:t xml:space="preserve"> (Argentina)</w:t>
            </w:r>
            <w:r w:rsidRPr="00524435">
              <w:rPr>
                <w:rFonts w:ascii="Cambria" w:hAnsi="Cambria" w:cstheme="minorHAnsi"/>
                <w:sz w:val="18"/>
                <w:szCs w:val="18"/>
                <w:vertAlign w:val="superscript"/>
              </w:rPr>
              <w:footnoteReference w:id="33"/>
            </w:r>
          </w:p>
        </w:tc>
        <w:tc>
          <w:tcPr>
            <w:tcW w:w="1170" w:type="dxa"/>
            <w:vMerge/>
          </w:tcPr>
          <w:p w14:paraId="30F13570" w14:textId="77777777" w:rsidR="007E31E3" w:rsidRPr="00524435" w:rsidRDefault="007E31E3" w:rsidP="00820229">
            <w:pPr>
              <w:jc w:val="center"/>
              <w:rPr>
                <w:rFonts w:ascii="Cambria" w:hAnsi="Cambria" w:cstheme="minorHAnsi"/>
                <w:sz w:val="18"/>
                <w:szCs w:val="18"/>
              </w:rPr>
            </w:pPr>
          </w:p>
        </w:tc>
        <w:tc>
          <w:tcPr>
            <w:tcW w:w="1316" w:type="dxa"/>
          </w:tcPr>
          <w:p w14:paraId="309BCE9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645287CB" w14:textId="77777777" w:rsidR="007E31E3" w:rsidRPr="00524435" w:rsidRDefault="007E31E3" w:rsidP="00820229">
            <w:pPr>
              <w:jc w:val="center"/>
              <w:rPr>
                <w:rFonts w:ascii="Cambria" w:hAnsi="Cambria" w:cstheme="minorHAnsi"/>
                <w:sz w:val="18"/>
                <w:szCs w:val="18"/>
              </w:rPr>
            </w:pPr>
          </w:p>
        </w:tc>
        <w:tc>
          <w:tcPr>
            <w:tcW w:w="1170" w:type="dxa"/>
          </w:tcPr>
          <w:p w14:paraId="4D307560" w14:textId="77777777" w:rsidR="007E31E3" w:rsidRPr="00524435" w:rsidRDefault="007E31E3" w:rsidP="00820229">
            <w:pPr>
              <w:keepNext/>
              <w:ind w:left="31"/>
              <w:jc w:val="center"/>
              <w:outlineLvl w:val="2"/>
              <w:rPr>
                <w:rFonts w:ascii="Cambria" w:hAnsi="Cambria" w:cstheme="minorHAnsi"/>
                <w:sz w:val="18"/>
                <w:szCs w:val="18"/>
              </w:rPr>
            </w:pPr>
          </w:p>
        </w:tc>
        <w:tc>
          <w:tcPr>
            <w:tcW w:w="1170" w:type="dxa"/>
          </w:tcPr>
          <w:p w14:paraId="5713BCAA"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2B39A8F7"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24F64204" w14:textId="77777777" w:rsidTr="00820229">
        <w:trPr>
          <w:cnfStyle w:val="000000010000" w:firstRow="0" w:lastRow="0" w:firstColumn="0" w:lastColumn="0" w:oddVBand="0" w:evenVBand="0" w:oddHBand="0" w:evenHBand="1" w:firstRowFirstColumn="0" w:firstRowLastColumn="0" w:lastRowFirstColumn="0" w:lastRowLastColumn="0"/>
          <w:trHeight w:val="936"/>
          <w:jc w:val="center"/>
        </w:trPr>
        <w:tc>
          <w:tcPr>
            <w:tcW w:w="2250" w:type="dxa"/>
          </w:tcPr>
          <w:p w14:paraId="396F8556" w14:textId="77777777" w:rsidR="007E31E3" w:rsidRPr="00524435" w:rsidRDefault="007E31E3" w:rsidP="008B0732">
            <w:pPr>
              <w:numPr>
                <w:ilvl w:val="0"/>
                <w:numId w:val="18"/>
              </w:numPr>
              <w:tabs>
                <w:tab w:val="num" w:pos="431"/>
              </w:tabs>
              <w:ind w:firstLine="0"/>
              <w:jc w:val="both"/>
              <w:rPr>
                <w:rFonts w:ascii="Cambria" w:hAnsi="Cambria" w:cstheme="minorHAnsi"/>
                <w:sz w:val="18"/>
                <w:szCs w:val="18"/>
              </w:rPr>
            </w:pPr>
            <w:r w:rsidRPr="00524435">
              <w:rPr>
                <w:rFonts w:ascii="Cambria" w:hAnsi="Cambria" w:cstheme="minorHAnsi"/>
                <w:sz w:val="18"/>
                <w:szCs w:val="18"/>
              </w:rPr>
              <w:t>Case 12.532, Report No. 84/11, Penitentiaries of Mendoza (Argentina)</w:t>
            </w:r>
          </w:p>
        </w:tc>
        <w:tc>
          <w:tcPr>
            <w:tcW w:w="1170" w:type="dxa"/>
            <w:vMerge/>
          </w:tcPr>
          <w:p w14:paraId="065B0AF0" w14:textId="77777777" w:rsidR="007E31E3" w:rsidRPr="00524435" w:rsidRDefault="007E31E3" w:rsidP="00820229">
            <w:pPr>
              <w:jc w:val="center"/>
              <w:rPr>
                <w:rFonts w:ascii="Cambria" w:hAnsi="Cambria" w:cstheme="minorHAnsi"/>
                <w:sz w:val="18"/>
                <w:szCs w:val="18"/>
              </w:rPr>
            </w:pPr>
          </w:p>
        </w:tc>
        <w:tc>
          <w:tcPr>
            <w:tcW w:w="1316" w:type="dxa"/>
          </w:tcPr>
          <w:p w14:paraId="6DBF52BB" w14:textId="77777777" w:rsidR="007E31E3" w:rsidRPr="00524435" w:rsidRDefault="007E31E3" w:rsidP="00820229">
            <w:pPr>
              <w:jc w:val="center"/>
              <w:rPr>
                <w:rFonts w:ascii="Cambria" w:hAnsi="Cambria" w:cstheme="minorHAnsi"/>
                <w:sz w:val="18"/>
                <w:szCs w:val="18"/>
              </w:rPr>
            </w:pPr>
          </w:p>
        </w:tc>
        <w:tc>
          <w:tcPr>
            <w:tcW w:w="1170" w:type="dxa"/>
          </w:tcPr>
          <w:p w14:paraId="5FD5BCF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25BEC192" w14:textId="77777777" w:rsidR="007E31E3" w:rsidRPr="00524435" w:rsidRDefault="007E31E3" w:rsidP="00820229">
            <w:pPr>
              <w:keepNext/>
              <w:ind w:left="31"/>
              <w:jc w:val="center"/>
              <w:outlineLvl w:val="2"/>
              <w:rPr>
                <w:rFonts w:ascii="Cambria" w:hAnsi="Cambria" w:cstheme="minorHAnsi"/>
                <w:sz w:val="18"/>
                <w:szCs w:val="18"/>
              </w:rPr>
            </w:pPr>
          </w:p>
        </w:tc>
        <w:tc>
          <w:tcPr>
            <w:tcW w:w="1170" w:type="dxa"/>
          </w:tcPr>
          <w:p w14:paraId="2214CB38" w14:textId="77777777" w:rsidR="007E31E3" w:rsidRPr="00524435" w:rsidRDefault="007E31E3" w:rsidP="00820229">
            <w:pPr>
              <w:keepNext/>
              <w:tabs>
                <w:tab w:val="left" w:pos="177"/>
              </w:tabs>
              <w:ind w:left="31"/>
              <w:jc w:val="center"/>
              <w:outlineLvl w:val="2"/>
              <w:rPr>
                <w:rFonts w:ascii="Cambria" w:hAnsi="Cambria" w:cstheme="minorHAnsi"/>
                <w:sz w:val="18"/>
                <w:szCs w:val="18"/>
              </w:rPr>
            </w:pPr>
            <w:r w:rsidRPr="00524435">
              <w:rPr>
                <w:rFonts w:ascii="Cambria" w:hAnsi="Cambria" w:cstheme="minorHAnsi"/>
                <w:sz w:val="18"/>
                <w:szCs w:val="18"/>
              </w:rPr>
              <w:t>73%</w:t>
            </w:r>
          </w:p>
        </w:tc>
        <w:tc>
          <w:tcPr>
            <w:tcW w:w="1260" w:type="dxa"/>
          </w:tcPr>
          <w:p w14:paraId="12C4DA45"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Active</w:t>
            </w:r>
          </w:p>
        </w:tc>
      </w:tr>
      <w:tr w:rsidR="007E31E3" w:rsidRPr="00524435" w14:paraId="4A6D89F4" w14:textId="77777777" w:rsidTr="00820229">
        <w:trPr>
          <w:cnfStyle w:val="000000100000" w:firstRow="0" w:lastRow="0" w:firstColumn="0" w:lastColumn="0" w:oddVBand="0" w:evenVBand="0" w:oddHBand="1" w:evenHBand="0" w:firstRowFirstColumn="0" w:firstRowLastColumn="0" w:lastRowFirstColumn="0" w:lastRowLastColumn="0"/>
          <w:trHeight w:val="954"/>
          <w:jc w:val="center"/>
        </w:trPr>
        <w:tc>
          <w:tcPr>
            <w:tcW w:w="2250" w:type="dxa"/>
          </w:tcPr>
          <w:p w14:paraId="164F48BB" w14:textId="77777777" w:rsidR="007E31E3" w:rsidRPr="00E42B49" w:rsidRDefault="007E31E3" w:rsidP="008B0732">
            <w:pPr>
              <w:numPr>
                <w:ilvl w:val="0"/>
                <w:numId w:val="18"/>
              </w:numPr>
              <w:tabs>
                <w:tab w:val="num" w:pos="431"/>
              </w:tabs>
              <w:ind w:firstLine="0"/>
              <w:jc w:val="both"/>
              <w:rPr>
                <w:rFonts w:ascii="Cambria" w:hAnsi="Cambria" w:cstheme="minorHAnsi"/>
                <w:sz w:val="18"/>
                <w:szCs w:val="18"/>
                <w:lang w:val="es-US"/>
              </w:rPr>
            </w:pPr>
            <w:r w:rsidRPr="00E42B49">
              <w:rPr>
                <w:rFonts w:ascii="Cambria" w:hAnsi="Cambria" w:cstheme="minorHAnsi"/>
                <w:sz w:val="18"/>
                <w:szCs w:val="18"/>
                <w:lang w:val="es-US"/>
              </w:rPr>
              <w:t xml:space="preserve">Case 12.306,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85/11, Juan Carlos de la Torre (Argentina)</w:t>
            </w:r>
          </w:p>
        </w:tc>
        <w:tc>
          <w:tcPr>
            <w:tcW w:w="1170" w:type="dxa"/>
            <w:vMerge/>
          </w:tcPr>
          <w:p w14:paraId="7AA5E707" w14:textId="77777777" w:rsidR="007E31E3" w:rsidRPr="00E42B49" w:rsidRDefault="007E31E3" w:rsidP="00820229">
            <w:pPr>
              <w:jc w:val="center"/>
              <w:rPr>
                <w:rFonts w:ascii="Cambria" w:hAnsi="Cambria" w:cstheme="minorHAnsi"/>
                <w:sz w:val="18"/>
                <w:szCs w:val="18"/>
                <w:lang w:val="es-US"/>
              </w:rPr>
            </w:pPr>
          </w:p>
        </w:tc>
        <w:tc>
          <w:tcPr>
            <w:tcW w:w="1316" w:type="dxa"/>
          </w:tcPr>
          <w:p w14:paraId="499CE11E" w14:textId="77777777" w:rsidR="007E31E3" w:rsidRPr="00E42B49" w:rsidRDefault="007E31E3" w:rsidP="00820229">
            <w:pPr>
              <w:jc w:val="center"/>
              <w:rPr>
                <w:rFonts w:ascii="Cambria" w:hAnsi="Cambria" w:cstheme="minorHAnsi"/>
                <w:sz w:val="18"/>
                <w:szCs w:val="18"/>
                <w:lang w:val="es-US"/>
              </w:rPr>
            </w:pPr>
          </w:p>
        </w:tc>
        <w:tc>
          <w:tcPr>
            <w:tcW w:w="1170" w:type="dxa"/>
          </w:tcPr>
          <w:p w14:paraId="22751331"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006E09BC" w14:textId="77777777" w:rsidR="007E31E3" w:rsidRPr="00524435" w:rsidRDefault="007E31E3" w:rsidP="00820229">
            <w:pPr>
              <w:keepNext/>
              <w:ind w:left="31"/>
              <w:jc w:val="center"/>
              <w:outlineLvl w:val="2"/>
              <w:rPr>
                <w:rFonts w:ascii="Cambria" w:hAnsi="Cambria" w:cstheme="minorHAnsi"/>
                <w:sz w:val="18"/>
                <w:szCs w:val="18"/>
              </w:rPr>
            </w:pPr>
          </w:p>
        </w:tc>
        <w:tc>
          <w:tcPr>
            <w:tcW w:w="1170" w:type="dxa"/>
          </w:tcPr>
          <w:p w14:paraId="187816FD" w14:textId="77777777" w:rsidR="007E31E3" w:rsidRPr="00524435" w:rsidRDefault="007E31E3" w:rsidP="00820229">
            <w:pPr>
              <w:keepNext/>
              <w:tabs>
                <w:tab w:val="left" w:pos="177"/>
              </w:tabs>
              <w:ind w:left="31"/>
              <w:jc w:val="center"/>
              <w:outlineLvl w:val="2"/>
              <w:rPr>
                <w:rFonts w:ascii="Cambria" w:hAnsi="Cambria" w:cstheme="minorHAnsi"/>
                <w:sz w:val="18"/>
                <w:szCs w:val="18"/>
              </w:rPr>
            </w:pPr>
            <w:r w:rsidRPr="00524435">
              <w:rPr>
                <w:rFonts w:ascii="Cambria" w:hAnsi="Cambria" w:cstheme="minorHAnsi"/>
                <w:sz w:val="18"/>
                <w:szCs w:val="18"/>
              </w:rPr>
              <w:t>33%</w:t>
            </w:r>
          </w:p>
        </w:tc>
        <w:tc>
          <w:tcPr>
            <w:tcW w:w="1260" w:type="dxa"/>
          </w:tcPr>
          <w:p w14:paraId="5216A966"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Active</w:t>
            </w:r>
          </w:p>
        </w:tc>
      </w:tr>
      <w:tr w:rsidR="007E31E3" w:rsidRPr="00524435" w14:paraId="28025504" w14:textId="77777777" w:rsidTr="00820229">
        <w:trPr>
          <w:cnfStyle w:val="000000010000" w:firstRow="0" w:lastRow="0" w:firstColumn="0" w:lastColumn="0" w:oddVBand="0" w:evenVBand="0" w:oddHBand="0" w:evenHBand="1" w:firstRowFirstColumn="0" w:firstRowLastColumn="0" w:lastRowFirstColumn="0" w:lastRowLastColumn="0"/>
          <w:trHeight w:val="945"/>
          <w:jc w:val="center"/>
        </w:trPr>
        <w:tc>
          <w:tcPr>
            <w:tcW w:w="2250" w:type="dxa"/>
          </w:tcPr>
          <w:p w14:paraId="67523A58" w14:textId="77777777" w:rsidR="007E31E3" w:rsidRPr="00524435" w:rsidRDefault="007E31E3" w:rsidP="008B0732">
            <w:pPr>
              <w:numPr>
                <w:ilvl w:val="0"/>
                <w:numId w:val="18"/>
              </w:numPr>
              <w:tabs>
                <w:tab w:val="num" w:pos="431"/>
              </w:tabs>
              <w:ind w:firstLine="0"/>
              <w:jc w:val="both"/>
              <w:rPr>
                <w:rFonts w:ascii="Cambria" w:hAnsi="Cambria" w:cstheme="minorHAnsi"/>
                <w:sz w:val="18"/>
                <w:szCs w:val="18"/>
              </w:rPr>
            </w:pPr>
            <w:r w:rsidRPr="00524435">
              <w:rPr>
                <w:rFonts w:ascii="Cambria" w:hAnsi="Cambria" w:cstheme="minorHAnsi"/>
                <w:sz w:val="18"/>
                <w:szCs w:val="18"/>
              </w:rPr>
              <w:t xml:space="preserve">Case 11.670, Report No. 168/11, Menéndez and </w:t>
            </w:r>
            <w:proofErr w:type="spellStart"/>
            <w:r w:rsidRPr="00524435">
              <w:rPr>
                <w:rFonts w:ascii="Cambria" w:hAnsi="Cambria" w:cstheme="minorHAnsi"/>
                <w:sz w:val="18"/>
                <w:szCs w:val="18"/>
              </w:rPr>
              <w:t>Caride</w:t>
            </w:r>
            <w:proofErr w:type="spellEnd"/>
            <w:r w:rsidRPr="00524435">
              <w:rPr>
                <w:rFonts w:ascii="Cambria" w:hAnsi="Cambria" w:cstheme="minorHAnsi"/>
                <w:sz w:val="18"/>
                <w:szCs w:val="18"/>
              </w:rPr>
              <w:t xml:space="preserve"> (Argentina)</w:t>
            </w:r>
            <w:r w:rsidRPr="00524435">
              <w:rPr>
                <w:rFonts w:ascii="Cambria" w:hAnsi="Cambria" w:cstheme="minorHAnsi"/>
                <w:sz w:val="18"/>
                <w:szCs w:val="18"/>
                <w:vertAlign w:val="superscript"/>
              </w:rPr>
              <w:footnoteReference w:id="34"/>
            </w:r>
          </w:p>
        </w:tc>
        <w:tc>
          <w:tcPr>
            <w:tcW w:w="1170" w:type="dxa"/>
            <w:vMerge/>
          </w:tcPr>
          <w:p w14:paraId="5895209A" w14:textId="77777777" w:rsidR="007E31E3" w:rsidRPr="00524435" w:rsidRDefault="007E31E3" w:rsidP="00820229">
            <w:pPr>
              <w:jc w:val="center"/>
              <w:rPr>
                <w:rFonts w:ascii="Cambria" w:hAnsi="Cambria" w:cstheme="minorHAnsi"/>
                <w:sz w:val="18"/>
                <w:szCs w:val="18"/>
              </w:rPr>
            </w:pPr>
          </w:p>
        </w:tc>
        <w:tc>
          <w:tcPr>
            <w:tcW w:w="1316" w:type="dxa"/>
          </w:tcPr>
          <w:p w14:paraId="6C109D98"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547AAE67" w14:textId="77777777" w:rsidR="007E31E3" w:rsidRPr="00524435" w:rsidRDefault="007E31E3" w:rsidP="00820229">
            <w:pPr>
              <w:jc w:val="center"/>
              <w:rPr>
                <w:rFonts w:ascii="Cambria" w:hAnsi="Cambria" w:cstheme="minorHAnsi"/>
                <w:sz w:val="18"/>
                <w:szCs w:val="18"/>
              </w:rPr>
            </w:pPr>
          </w:p>
        </w:tc>
        <w:tc>
          <w:tcPr>
            <w:tcW w:w="1170" w:type="dxa"/>
          </w:tcPr>
          <w:p w14:paraId="01818BB3" w14:textId="77777777" w:rsidR="007E31E3" w:rsidRPr="00524435" w:rsidRDefault="007E31E3" w:rsidP="00820229">
            <w:pPr>
              <w:keepNext/>
              <w:ind w:left="31"/>
              <w:jc w:val="center"/>
              <w:outlineLvl w:val="2"/>
              <w:rPr>
                <w:rFonts w:ascii="Cambria" w:hAnsi="Cambria" w:cstheme="minorHAnsi"/>
                <w:sz w:val="18"/>
                <w:szCs w:val="18"/>
              </w:rPr>
            </w:pPr>
          </w:p>
        </w:tc>
        <w:tc>
          <w:tcPr>
            <w:tcW w:w="1170" w:type="dxa"/>
          </w:tcPr>
          <w:p w14:paraId="61D9032E" w14:textId="77777777" w:rsidR="007E31E3" w:rsidRPr="00524435" w:rsidRDefault="007E31E3" w:rsidP="00820229">
            <w:pPr>
              <w:keepNext/>
              <w:tabs>
                <w:tab w:val="left" w:pos="177"/>
              </w:tabs>
              <w:ind w:left="31"/>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5D5BDB8B"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Closed</w:t>
            </w:r>
          </w:p>
        </w:tc>
      </w:tr>
      <w:tr w:rsidR="007E31E3" w:rsidRPr="00524435" w14:paraId="19CCA9E7" w14:textId="77777777" w:rsidTr="00820229">
        <w:trPr>
          <w:cnfStyle w:val="000000100000" w:firstRow="0" w:lastRow="0" w:firstColumn="0" w:lastColumn="0" w:oddVBand="0" w:evenVBand="0" w:oddHBand="1" w:evenHBand="0" w:firstRowFirstColumn="0" w:firstRowLastColumn="0" w:lastRowFirstColumn="0" w:lastRowLastColumn="0"/>
          <w:trHeight w:val="1035"/>
          <w:jc w:val="center"/>
        </w:trPr>
        <w:tc>
          <w:tcPr>
            <w:tcW w:w="2250" w:type="dxa"/>
          </w:tcPr>
          <w:p w14:paraId="7C84350B" w14:textId="77777777" w:rsidR="007E31E3" w:rsidRPr="00524435" w:rsidRDefault="007E31E3" w:rsidP="008B0732">
            <w:pPr>
              <w:numPr>
                <w:ilvl w:val="0"/>
                <w:numId w:val="18"/>
              </w:numPr>
              <w:tabs>
                <w:tab w:val="num" w:pos="431"/>
              </w:tabs>
              <w:ind w:firstLine="0"/>
              <w:jc w:val="both"/>
              <w:rPr>
                <w:rFonts w:ascii="Cambria" w:hAnsi="Cambria" w:cstheme="minorHAnsi"/>
                <w:sz w:val="18"/>
                <w:szCs w:val="18"/>
              </w:rPr>
            </w:pPr>
            <w:r w:rsidRPr="00524435">
              <w:rPr>
                <w:rFonts w:ascii="Cambria" w:hAnsi="Cambria" w:cstheme="minorHAnsi"/>
                <w:sz w:val="18"/>
                <w:szCs w:val="18"/>
              </w:rPr>
              <w:t>Case 12.182, Report No. 109/13, Florentino Rojas (Argentina)</w:t>
            </w:r>
          </w:p>
        </w:tc>
        <w:tc>
          <w:tcPr>
            <w:tcW w:w="1170" w:type="dxa"/>
            <w:vMerge/>
          </w:tcPr>
          <w:p w14:paraId="76F3E8D8" w14:textId="77777777" w:rsidR="007E31E3" w:rsidRPr="00524435" w:rsidRDefault="007E31E3" w:rsidP="00820229">
            <w:pPr>
              <w:jc w:val="center"/>
              <w:rPr>
                <w:rFonts w:ascii="Cambria" w:hAnsi="Cambria" w:cstheme="minorHAnsi"/>
                <w:sz w:val="18"/>
                <w:szCs w:val="18"/>
              </w:rPr>
            </w:pPr>
          </w:p>
        </w:tc>
        <w:tc>
          <w:tcPr>
            <w:tcW w:w="1316" w:type="dxa"/>
          </w:tcPr>
          <w:p w14:paraId="06389E6F" w14:textId="77777777" w:rsidR="007E31E3" w:rsidRPr="00524435" w:rsidRDefault="007E31E3" w:rsidP="00820229">
            <w:pPr>
              <w:jc w:val="center"/>
              <w:rPr>
                <w:rFonts w:ascii="Cambria" w:hAnsi="Cambria" w:cstheme="minorHAnsi"/>
                <w:sz w:val="18"/>
                <w:szCs w:val="18"/>
              </w:rPr>
            </w:pPr>
          </w:p>
        </w:tc>
        <w:tc>
          <w:tcPr>
            <w:tcW w:w="1170" w:type="dxa"/>
          </w:tcPr>
          <w:p w14:paraId="4522B475"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5F71C5D1" w14:textId="77777777" w:rsidR="007E31E3" w:rsidRPr="00524435" w:rsidRDefault="007E31E3" w:rsidP="00820229">
            <w:pPr>
              <w:keepNext/>
              <w:ind w:left="31"/>
              <w:jc w:val="center"/>
              <w:outlineLvl w:val="2"/>
              <w:rPr>
                <w:rFonts w:ascii="Cambria" w:hAnsi="Cambria" w:cstheme="minorHAnsi"/>
                <w:sz w:val="18"/>
                <w:szCs w:val="18"/>
              </w:rPr>
            </w:pPr>
          </w:p>
        </w:tc>
        <w:tc>
          <w:tcPr>
            <w:tcW w:w="1170" w:type="dxa"/>
          </w:tcPr>
          <w:p w14:paraId="2ABED08C" w14:textId="77777777" w:rsidR="007E31E3" w:rsidRPr="00524435" w:rsidRDefault="007E31E3" w:rsidP="00820229">
            <w:pPr>
              <w:keepNext/>
              <w:tabs>
                <w:tab w:val="left" w:pos="177"/>
              </w:tabs>
              <w:ind w:left="31"/>
              <w:jc w:val="center"/>
              <w:outlineLvl w:val="2"/>
              <w:rPr>
                <w:rFonts w:ascii="Cambria" w:hAnsi="Cambria" w:cstheme="minorHAnsi"/>
                <w:sz w:val="18"/>
                <w:szCs w:val="18"/>
              </w:rPr>
            </w:pPr>
            <w:r w:rsidRPr="00524435">
              <w:rPr>
                <w:rFonts w:ascii="Cambria" w:hAnsi="Cambria" w:cstheme="minorHAnsi"/>
                <w:sz w:val="18"/>
                <w:szCs w:val="18"/>
              </w:rPr>
              <w:t>90%</w:t>
            </w:r>
          </w:p>
        </w:tc>
        <w:tc>
          <w:tcPr>
            <w:tcW w:w="1260" w:type="dxa"/>
          </w:tcPr>
          <w:p w14:paraId="75535ABB"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Active</w:t>
            </w:r>
          </w:p>
        </w:tc>
      </w:tr>
      <w:tr w:rsidR="007E31E3" w:rsidRPr="00524435" w14:paraId="6113F116" w14:textId="77777777" w:rsidTr="00820229">
        <w:trPr>
          <w:cnfStyle w:val="000000010000" w:firstRow="0" w:lastRow="0" w:firstColumn="0" w:lastColumn="0" w:oddVBand="0" w:evenVBand="0" w:oddHBand="0" w:evenHBand="1" w:firstRowFirstColumn="0" w:firstRowLastColumn="0" w:lastRowFirstColumn="0" w:lastRowLastColumn="0"/>
          <w:trHeight w:val="1035"/>
          <w:jc w:val="center"/>
        </w:trPr>
        <w:tc>
          <w:tcPr>
            <w:tcW w:w="2250" w:type="dxa"/>
          </w:tcPr>
          <w:p w14:paraId="5B9EC108" w14:textId="77777777" w:rsidR="007E31E3" w:rsidRPr="00E42B49" w:rsidRDefault="007E31E3" w:rsidP="008B0732">
            <w:pPr>
              <w:numPr>
                <w:ilvl w:val="0"/>
                <w:numId w:val="18"/>
              </w:numPr>
              <w:tabs>
                <w:tab w:val="num" w:pos="431"/>
              </w:tabs>
              <w:ind w:firstLine="0"/>
              <w:jc w:val="both"/>
              <w:rPr>
                <w:rFonts w:ascii="Cambria" w:hAnsi="Cambria" w:cstheme="minorHAnsi"/>
                <w:sz w:val="18"/>
                <w:szCs w:val="18"/>
                <w:lang w:val="es-US"/>
              </w:rPr>
            </w:pPr>
            <w:proofErr w:type="spellStart"/>
            <w:r w:rsidRPr="00E42B49">
              <w:rPr>
                <w:rFonts w:ascii="Cambria" w:hAnsi="Cambria" w:cstheme="minorHAnsi"/>
                <w:sz w:val="18"/>
                <w:szCs w:val="18"/>
                <w:lang w:val="es-US"/>
              </w:rPr>
              <w:t>Petition</w:t>
            </w:r>
            <w:proofErr w:type="spellEnd"/>
            <w:r w:rsidRPr="00E42B49">
              <w:rPr>
                <w:rFonts w:ascii="Cambria" w:hAnsi="Cambria" w:cstheme="minorHAnsi"/>
                <w:sz w:val="18"/>
                <w:szCs w:val="18"/>
                <w:lang w:val="es-US"/>
              </w:rPr>
              <w:t xml:space="preserve"> 21-05,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101/14, Ignacio Cardozo et al. (Argentina)</w:t>
            </w:r>
          </w:p>
        </w:tc>
        <w:tc>
          <w:tcPr>
            <w:tcW w:w="1170" w:type="dxa"/>
            <w:vMerge/>
          </w:tcPr>
          <w:p w14:paraId="74603FFF" w14:textId="77777777" w:rsidR="007E31E3" w:rsidRPr="00E42B49" w:rsidRDefault="007E31E3" w:rsidP="00820229">
            <w:pPr>
              <w:jc w:val="center"/>
              <w:rPr>
                <w:rFonts w:ascii="Cambria" w:hAnsi="Cambria" w:cstheme="minorHAnsi"/>
                <w:sz w:val="18"/>
                <w:szCs w:val="18"/>
                <w:lang w:val="es-US"/>
              </w:rPr>
            </w:pPr>
          </w:p>
        </w:tc>
        <w:tc>
          <w:tcPr>
            <w:tcW w:w="1316" w:type="dxa"/>
          </w:tcPr>
          <w:p w14:paraId="2B840FA6" w14:textId="77777777" w:rsidR="007E31E3" w:rsidRPr="00E42B49" w:rsidRDefault="007E31E3" w:rsidP="00820229">
            <w:pPr>
              <w:jc w:val="center"/>
              <w:rPr>
                <w:rFonts w:ascii="Cambria" w:hAnsi="Cambria" w:cstheme="minorHAnsi"/>
                <w:sz w:val="18"/>
                <w:szCs w:val="18"/>
                <w:lang w:val="es-US"/>
              </w:rPr>
            </w:pPr>
          </w:p>
        </w:tc>
        <w:tc>
          <w:tcPr>
            <w:tcW w:w="1170" w:type="dxa"/>
          </w:tcPr>
          <w:p w14:paraId="04593072"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6CA4306C" w14:textId="77777777" w:rsidR="007E31E3" w:rsidRPr="00524435" w:rsidRDefault="007E31E3" w:rsidP="00820229">
            <w:pPr>
              <w:keepNext/>
              <w:ind w:left="31"/>
              <w:jc w:val="center"/>
              <w:outlineLvl w:val="2"/>
              <w:rPr>
                <w:rFonts w:ascii="Cambria" w:hAnsi="Cambria" w:cstheme="minorHAnsi"/>
                <w:sz w:val="18"/>
                <w:szCs w:val="18"/>
              </w:rPr>
            </w:pPr>
          </w:p>
        </w:tc>
        <w:tc>
          <w:tcPr>
            <w:tcW w:w="1170" w:type="dxa"/>
          </w:tcPr>
          <w:p w14:paraId="71E2831C" w14:textId="77777777" w:rsidR="007E31E3" w:rsidRPr="00524435" w:rsidRDefault="007E31E3" w:rsidP="00820229">
            <w:pPr>
              <w:keepNext/>
              <w:tabs>
                <w:tab w:val="left" w:pos="177"/>
              </w:tabs>
              <w:ind w:left="31"/>
              <w:jc w:val="center"/>
              <w:outlineLvl w:val="2"/>
              <w:rPr>
                <w:rFonts w:ascii="Cambria" w:hAnsi="Cambria" w:cstheme="minorHAnsi"/>
                <w:sz w:val="18"/>
                <w:szCs w:val="18"/>
              </w:rPr>
            </w:pPr>
            <w:r w:rsidRPr="00524435">
              <w:rPr>
                <w:rFonts w:ascii="Cambria" w:hAnsi="Cambria" w:cstheme="minorHAnsi"/>
                <w:sz w:val="18"/>
                <w:szCs w:val="18"/>
              </w:rPr>
              <w:t>20%</w:t>
            </w:r>
          </w:p>
        </w:tc>
        <w:tc>
          <w:tcPr>
            <w:tcW w:w="1260" w:type="dxa"/>
          </w:tcPr>
          <w:p w14:paraId="19CCCE52"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Active</w:t>
            </w:r>
          </w:p>
        </w:tc>
      </w:tr>
      <w:tr w:rsidR="007E31E3" w:rsidRPr="00524435" w14:paraId="44D545BA" w14:textId="77777777" w:rsidTr="00820229">
        <w:trPr>
          <w:cnfStyle w:val="000000100000" w:firstRow="0" w:lastRow="0" w:firstColumn="0" w:lastColumn="0" w:oddVBand="0" w:evenVBand="0" w:oddHBand="1" w:evenHBand="0" w:firstRowFirstColumn="0" w:firstRowLastColumn="0" w:lastRowFirstColumn="0" w:lastRowLastColumn="0"/>
          <w:trHeight w:val="1386"/>
          <w:jc w:val="center"/>
        </w:trPr>
        <w:tc>
          <w:tcPr>
            <w:tcW w:w="2250" w:type="dxa"/>
          </w:tcPr>
          <w:p w14:paraId="5514B5E7" w14:textId="77777777" w:rsidR="007E31E3" w:rsidRPr="00524435" w:rsidRDefault="007E31E3" w:rsidP="008B0732">
            <w:pPr>
              <w:numPr>
                <w:ilvl w:val="0"/>
                <w:numId w:val="18"/>
              </w:numPr>
              <w:tabs>
                <w:tab w:val="num" w:pos="341"/>
              </w:tabs>
              <w:ind w:firstLine="0"/>
              <w:jc w:val="both"/>
              <w:rPr>
                <w:rFonts w:ascii="Cambria" w:hAnsi="Cambria" w:cstheme="minorHAnsi"/>
                <w:sz w:val="18"/>
                <w:szCs w:val="18"/>
              </w:rPr>
            </w:pPr>
            <w:r w:rsidRPr="00524435">
              <w:rPr>
                <w:rFonts w:ascii="Cambria" w:hAnsi="Cambria" w:cstheme="minorHAnsi"/>
                <w:sz w:val="18"/>
                <w:szCs w:val="18"/>
              </w:rPr>
              <w:lastRenderedPageBreak/>
              <w:t xml:space="preserve">Case 12.710, Report No. 102/14, Marcos Gilberto </w:t>
            </w:r>
            <w:proofErr w:type="gramStart"/>
            <w:r w:rsidRPr="00524435">
              <w:rPr>
                <w:rFonts w:ascii="Cambria" w:hAnsi="Cambria" w:cstheme="minorHAnsi"/>
                <w:sz w:val="18"/>
                <w:szCs w:val="18"/>
              </w:rPr>
              <w:t>Chaves</w:t>
            </w:r>
            <w:proofErr w:type="gramEnd"/>
            <w:r w:rsidRPr="00524435">
              <w:rPr>
                <w:rFonts w:ascii="Cambria" w:hAnsi="Cambria" w:cstheme="minorHAnsi"/>
                <w:sz w:val="18"/>
                <w:szCs w:val="18"/>
              </w:rPr>
              <w:t xml:space="preserve"> and Sandra </w:t>
            </w:r>
            <w:proofErr w:type="spellStart"/>
            <w:r w:rsidRPr="00524435">
              <w:rPr>
                <w:rFonts w:ascii="Cambria" w:hAnsi="Cambria" w:cstheme="minorHAnsi"/>
                <w:sz w:val="18"/>
                <w:szCs w:val="18"/>
              </w:rPr>
              <w:t>Beatríz</w:t>
            </w:r>
            <w:proofErr w:type="spellEnd"/>
            <w:r w:rsidRPr="00524435">
              <w:rPr>
                <w:rFonts w:ascii="Cambria" w:hAnsi="Cambria" w:cstheme="minorHAnsi"/>
                <w:sz w:val="18"/>
                <w:szCs w:val="18"/>
              </w:rPr>
              <w:t xml:space="preserve"> Chaves (Argentina)</w:t>
            </w:r>
            <w:r w:rsidRPr="00524435">
              <w:rPr>
                <w:rFonts w:ascii="Cambria" w:hAnsi="Cambria" w:cstheme="minorHAnsi"/>
                <w:sz w:val="18"/>
                <w:szCs w:val="18"/>
                <w:vertAlign w:val="superscript"/>
              </w:rPr>
              <w:t xml:space="preserve"> </w:t>
            </w:r>
            <w:r w:rsidRPr="00524435">
              <w:rPr>
                <w:rFonts w:ascii="Cambria" w:hAnsi="Cambria" w:cstheme="minorHAnsi"/>
                <w:sz w:val="18"/>
                <w:szCs w:val="18"/>
                <w:vertAlign w:val="superscript"/>
              </w:rPr>
              <w:footnoteReference w:id="35"/>
            </w:r>
          </w:p>
        </w:tc>
        <w:tc>
          <w:tcPr>
            <w:tcW w:w="1170" w:type="dxa"/>
            <w:vMerge/>
          </w:tcPr>
          <w:p w14:paraId="169341C0" w14:textId="77777777" w:rsidR="007E31E3" w:rsidRPr="00524435" w:rsidRDefault="007E31E3" w:rsidP="00820229">
            <w:pPr>
              <w:jc w:val="center"/>
              <w:rPr>
                <w:rFonts w:ascii="Cambria" w:hAnsi="Cambria" w:cstheme="minorHAnsi"/>
                <w:sz w:val="18"/>
                <w:szCs w:val="18"/>
              </w:rPr>
            </w:pPr>
          </w:p>
        </w:tc>
        <w:tc>
          <w:tcPr>
            <w:tcW w:w="1316" w:type="dxa"/>
          </w:tcPr>
          <w:p w14:paraId="2A4E2CA2"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1412FA14" w14:textId="77777777" w:rsidR="007E31E3" w:rsidRPr="00524435" w:rsidRDefault="007E31E3" w:rsidP="00820229">
            <w:pPr>
              <w:jc w:val="center"/>
              <w:rPr>
                <w:rFonts w:ascii="Cambria" w:hAnsi="Cambria" w:cstheme="minorHAnsi"/>
                <w:sz w:val="18"/>
                <w:szCs w:val="18"/>
              </w:rPr>
            </w:pPr>
          </w:p>
        </w:tc>
        <w:tc>
          <w:tcPr>
            <w:tcW w:w="1170" w:type="dxa"/>
          </w:tcPr>
          <w:p w14:paraId="37107FB9" w14:textId="77777777" w:rsidR="007E31E3" w:rsidRPr="00524435" w:rsidRDefault="007E31E3" w:rsidP="00820229">
            <w:pPr>
              <w:keepNext/>
              <w:ind w:left="31"/>
              <w:jc w:val="center"/>
              <w:outlineLvl w:val="2"/>
              <w:rPr>
                <w:rFonts w:ascii="Cambria" w:hAnsi="Cambria" w:cstheme="minorHAnsi"/>
                <w:sz w:val="18"/>
                <w:szCs w:val="18"/>
              </w:rPr>
            </w:pPr>
          </w:p>
        </w:tc>
        <w:tc>
          <w:tcPr>
            <w:tcW w:w="1170" w:type="dxa"/>
          </w:tcPr>
          <w:p w14:paraId="0F00A75D" w14:textId="77777777" w:rsidR="007E31E3" w:rsidRPr="00524435" w:rsidRDefault="007E31E3" w:rsidP="00820229">
            <w:pPr>
              <w:keepNext/>
              <w:tabs>
                <w:tab w:val="left" w:pos="177"/>
              </w:tabs>
              <w:ind w:left="31"/>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27215562"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Closed</w:t>
            </w:r>
          </w:p>
        </w:tc>
      </w:tr>
      <w:tr w:rsidR="007E31E3" w:rsidRPr="00524435" w14:paraId="65CCE34A" w14:textId="77777777" w:rsidTr="00820229">
        <w:trPr>
          <w:cnfStyle w:val="000000010000" w:firstRow="0" w:lastRow="0" w:firstColumn="0" w:lastColumn="0" w:oddVBand="0" w:evenVBand="0" w:oddHBand="0" w:evenHBand="1" w:firstRowFirstColumn="0" w:firstRowLastColumn="0" w:lastRowFirstColumn="0" w:lastRowLastColumn="0"/>
          <w:trHeight w:val="756"/>
          <w:jc w:val="center"/>
        </w:trPr>
        <w:tc>
          <w:tcPr>
            <w:tcW w:w="2250" w:type="dxa"/>
          </w:tcPr>
          <w:p w14:paraId="44E0C218" w14:textId="77777777" w:rsidR="007E31E3" w:rsidRPr="00524435" w:rsidRDefault="007E31E3" w:rsidP="008B0732">
            <w:pPr>
              <w:numPr>
                <w:ilvl w:val="0"/>
                <w:numId w:val="18"/>
              </w:numPr>
              <w:tabs>
                <w:tab w:val="num" w:pos="341"/>
              </w:tabs>
              <w:ind w:firstLine="0"/>
              <w:jc w:val="both"/>
              <w:rPr>
                <w:rFonts w:ascii="Cambria" w:hAnsi="Cambria" w:cstheme="minorHAnsi"/>
                <w:sz w:val="18"/>
                <w:szCs w:val="18"/>
              </w:rPr>
            </w:pPr>
            <w:r w:rsidRPr="00524435">
              <w:rPr>
                <w:rFonts w:ascii="Cambria" w:hAnsi="Cambria" w:cstheme="minorHAnsi"/>
                <w:sz w:val="18"/>
                <w:szCs w:val="18"/>
              </w:rPr>
              <w:t xml:space="preserve">Case 12.854, Report No. 36/17, Ricardo Javier </w:t>
            </w:r>
            <w:proofErr w:type="spellStart"/>
            <w:r w:rsidRPr="00524435">
              <w:rPr>
                <w:rFonts w:ascii="Cambria" w:hAnsi="Cambria" w:cstheme="minorHAnsi"/>
                <w:sz w:val="18"/>
                <w:szCs w:val="18"/>
              </w:rPr>
              <w:t>Kaplun</w:t>
            </w:r>
            <w:proofErr w:type="spellEnd"/>
            <w:r w:rsidRPr="00524435">
              <w:rPr>
                <w:rFonts w:ascii="Cambria" w:hAnsi="Cambria" w:cstheme="minorHAnsi"/>
                <w:sz w:val="18"/>
                <w:szCs w:val="18"/>
              </w:rPr>
              <w:t xml:space="preserve"> (Argentina)</w:t>
            </w:r>
          </w:p>
        </w:tc>
        <w:tc>
          <w:tcPr>
            <w:tcW w:w="1170" w:type="dxa"/>
            <w:vMerge/>
          </w:tcPr>
          <w:p w14:paraId="7D82DE2B" w14:textId="77777777" w:rsidR="007E31E3" w:rsidRPr="00524435" w:rsidRDefault="007E31E3" w:rsidP="00820229">
            <w:pPr>
              <w:jc w:val="center"/>
              <w:rPr>
                <w:rFonts w:ascii="Cambria" w:hAnsi="Cambria" w:cstheme="minorHAnsi"/>
                <w:sz w:val="18"/>
                <w:szCs w:val="18"/>
              </w:rPr>
            </w:pPr>
          </w:p>
        </w:tc>
        <w:tc>
          <w:tcPr>
            <w:tcW w:w="1316" w:type="dxa"/>
          </w:tcPr>
          <w:p w14:paraId="20921474" w14:textId="77777777" w:rsidR="007E31E3" w:rsidRPr="00524435" w:rsidRDefault="007E31E3" w:rsidP="00820229">
            <w:pPr>
              <w:jc w:val="center"/>
              <w:rPr>
                <w:rFonts w:ascii="Cambria" w:hAnsi="Cambria" w:cstheme="minorHAnsi"/>
                <w:sz w:val="18"/>
                <w:szCs w:val="18"/>
              </w:rPr>
            </w:pPr>
          </w:p>
        </w:tc>
        <w:tc>
          <w:tcPr>
            <w:tcW w:w="1170" w:type="dxa"/>
          </w:tcPr>
          <w:p w14:paraId="1F27714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47322B34" w14:textId="77777777" w:rsidR="007E31E3" w:rsidRPr="00524435" w:rsidRDefault="007E31E3" w:rsidP="00820229">
            <w:pPr>
              <w:keepNext/>
              <w:ind w:left="31"/>
              <w:jc w:val="center"/>
              <w:outlineLvl w:val="2"/>
              <w:rPr>
                <w:rFonts w:ascii="Cambria" w:hAnsi="Cambria" w:cstheme="minorHAnsi"/>
                <w:sz w:val="18"/>
                <w:szCs w:val="18"/>
              </w:rPr>
            </w:pPr>
          </w:p>
        </w:tc>
        <w:tc>
          <w:tcPr>
            <w:tcW w:w="1170" w:type="dxa"/>
          </w:tcPr>
          <w:p w14:paraId="6AB04560" w14:textId="77777777" w:rsidR="007E31E3" w:rsidRPr="00524435" w:rsidRDefault="007E31E3" w:rsidP="00820229">
            <w:pPr>
              <w:keepNext/>
              <w:tabs>
                <w:tab w:val="left" w:pos="177"/>
              </w:tabs>
              <w:ind w:left="31"/>
              <w:jc w:val="center"/>
              <w:outlineLvl w:val="2"/>
              <w:rPr>
                <w:rFonts w:ascii="Cambria" w:hAnsi="Cambria" w:cstheme="minorHAnsi"/>
                <w:sz w:val="18"/>
                <w:szCs w:val="18"/>
              </w:rPr>
            </w:pPr>
            <w:r w:rsidRPr="00524435">
              <w:rPr>
                <w:rFonts w:ascii="Cambria" w:hAnsi="Cambria" w:cstheme="minorHAnsi"/>
                <w:sz w:val="18"/>
                <w:szCs w:val="18"/>
              </w:rPr>
              <w:t>40%</w:t>
            </w:r>
          </w:p>
        </w:tc>
        <w:tc>
          <w:tcPr>
            <w:tcW w:w="1260" w:type="dxa"/>
          </w:tcPr>
          <w:p w14:paraId="07626BC4"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Active</w:t>
            </w:r>
          </w:p>
        </w:tc>
      </w:tr>
      <w:tr w:rsidR="007E31E3" w:rsidRPr="00524435" w14:paraId="09779EBB" w14:textId="77777777" w:rsidTr="00820229">
        <w:trPr>
          <w:cnfStyle w:val="000000100000" w:firstRow="0" w:lastRow="0" w:firstColumn="0" w:lastColumn="0" w:oddVBand="0" w:evenVBand="0" w:oddHBand="1" w:evenHBand="0" w:firstRowFirstColumn="0" w:firstRowLastColumn="0" w:lastRowFirstColumn="0" w:lastRowLastColumn="0"/>
          <w:trHeight w:val="1053"/>
          <w:jc w:val="center"/>
        </w:trPr>
        <w:tc>
          <w:tcPr>
            <w:tcW w:w="2250" w:type="dxa"/>
          </w:tcPr>
          <w:p w14:paraId="00388AB8" w14:textId="77777777" w:rsidR="007E31E3" w:rsidRPr="00524435" w:rsidRDefault="007E31E3" w:rsidP="008B0732">
            <w:pPr>
              <w:numPr>
                <w:ilvl w:val="0"/>
                <w:numId w:val="18"/>
              </w:numPr>
              <w:tabs>
                <w:tab w:val="num" w:pos="341"/>
              </w:tabs>
              <w:ind w:firstLine="0"/>
              <w:jc w:val="both"/>
              <w:rPr>
                <w:rFonts w:ascii="Cambria" w:hAnsi="Cambria" w:cstheme="minorHAnsi"/>
                <w:sz w:val="18"/>
                <w:szCs w:val="18"/>
              </w:rPr>
            </w:pPr>
            <w:r w:rsidRPr="00524435">
              <w:rPr>
                <w:rFonts w:ascii="Cambria" w:hAnsi="Cambria" w:cstheme="minorHAnsi"/>
                <w:sz w:val="18"/>
                <w:szCs w:val="18"/>
              </w:rPr>
              <w:t>Case 13.011, Report No. 197/20, Graciela Ramos Rocha, and family (Argentina)</w:t>
            </w:r>
          </w:p>
        </w:tc>
        <w:tc>
          <w:tcPr>
            <w:tcW w:w="1170" w:type="dxa"/>
            <w:vMerge/>
          </w:tcPr>
          <w:p w14:paraId="142E597D" w14:textId="77777777" w:rsidR="007E31E3" w:rsidRPr="00524435" w:rsidRDefault="007E31E3" w:rsidP="00820229">
            <w:pPr>
              <w:jc w:val="center"/>
              <w:rPr>
                <w:rFonts w:ascii="Cambria" w:hAnsi="Cambria" w:cstheme="minorHAnsi"/>
                <w:sz w:val="18"/>
                <w:szCs w:val="18"/>
              </w:rPr>
            </w:pPr>
          </w:p>
        </w:tc>
        <w:tc>
          <w:tcPr>
            <w:tcW w:w="1316" w:type="dxa"/>
          </w:tcPr>
          <w:p w14:paraId="512BBD11"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16012747" w14:textId="77777777" w:rsidR="007E31E3" w:rsidRPr="00524435" w:rsidRDefault="007E31E3" w:rsidP="00820229">
            <w:pPr>
              <w:jc w:val="center"/>
              <w:rPr>
                <w:rFonts w:ascii="Cambria" w:hAnsi="Cambria" w:cstheme="minorHAnsi"/>
                <w:sz w:val="18"/>
                <w:szCs w:val="18"/>
              </w:rPr>
            </w:pPr>
          </w:p>
        </w:tc>
        <w:tc>
          <w:tcPr>
            <w:tcW w:w="1170" w:type="dxa"/>
          </w:tcPr>
          <w:p w14:paraId="454C7C46" w14:textId="77777777" w:rsidR="007E31E3" w:rsidRPr="00524435" w:rsidRDefault="007E31E3" w:rsidP="00820229">
            <w:pPr>
              <w:keepNext/>
              <w:ind w:left="31"/>
              <w:jc w:val="center"/>
              <w:outlineLvl w:val="2"/>
              <w:rPr>
                <w:rFonts w:ascii="Cambria" w:hAnsi="Cambria" w:cstheme="minorHAnsi"/>
                <w:sz w:val="18"/>
                <w:szCs w:val="18"/>
              </w:rPr>
            </w:pPr>
          </w:p>
        </w:tc>
        <w:tc>
          <w:tcPr>
            <w:tcW w:w="1170" w:type="dxa"/>
          </w:tcPr>
          <w:p w14:paraId="22486D16" w14:textId="77777777" w:rsidR="007E31E3" w:rsidRPr="00524435" w:rsidRDefault="007E31E3" w:rsidP="00820229">
            <w:pPr>
              <w:keepNext/>
              <w:tabs>
                <w:tab w:val="left" w:pos="177"/>
              </w:tabs>
              <w:ind w:left="31"/>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4F8DAECC"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Closed 2021</w:t>
            </w:r>
          </w:p>
        </w:tc>
      </w:tr>
      <w:tr w:rsidR="007E31E3" w:rsidRPr="00524435" w14:paraId="75CD0CF0" w14:textId="77777777" w:rsidTr="00820229">
        <w:trPr>
          <w:cnfStyle w:val="000000010000" w:firstRow="0" w:lastRow="0" w:firstColumn="0" w:lastColumn="0" w:oddVBand="0" w:evenVBand="0" w:oddHBand="0" w:evenHBand="1" w:firstRowFirstColumn="0" w:firstRowLastColumn="0" w:lastRowFirstColumn="0" w:lastRowLastColumn="0"/>
          <w:trHeight w:val="972"/>
          <w:jc w:val="center"/>
        </w:trPr>
        <w:tc>
          <w:tcPr>
            <w:tcW w:w="2250" w:type="dxa"/>
          </w:tcPr>
          <w:p w14:paraId="4D111E82" w14:textId="77777777" w:rsidR="007E31E3" w:rsidRPr="00524435" w:rsidRDefault="007E31E3" w:rsidP="008B0732">
            <w:pPr>
              <w:numPr>
                <w:ilvl w:val="0"/>
                <w:numId w:val="18"/>
              </w:numPr>
              <w:tabs>
                <w:tab w:val="num" w:pos="341"/>
              </w:tabs>
              <w:ind w:firstLine="0"/>
              <w:jc w:val="both"/>
              <w:rPr>
                <w:rFonts w:ascii="Cambria" w:hAnsi="Cambria" w:cstheme="minorHAnsi"/>
                <w:sz w:val="18"/>
                <w:szCs w:val="18"/>
              </w:rPr>
            </w:pPr>
            <w:r w:rsidRPr="00524435">
              <w:rPr>
                <w:rFonts w:ascii="Cambria" w:hAnsi="Cambria" w:cstheme="minorHAnsi"/>
                <w:sz w:val="18"/>
                <w:szCs w:val="18"/>
              </w:rPr>
              <w:t xml:space="preserve">Petition 245-03, Report No. 39/21, </w:t>
            </w:r>
            <w:r w:rsidRPr="00524435">
              <w:rPr>
                <w:rFonts w:ascii="Cambria" w:hAnsi="Cambria" w:cs="Arial"/>
                <w:sz w:val="18"/>
                <w:szCs w:val="18"/>
              </w:rPr>
              <w:t xml:space="preserve">Walter Mauro </w:t>
            </w:r>
            <w:proofErr w:type="spellStart"/>
            <w:r w:rsidRPr="00524435">
              <w:rPr>
                <w:rFonts w:ascii="Cambria" w:hAnsi="Cambria" w:cs="Arial"/>
                <w:sz w:val="18"/>
                <w:szCs w:val="18"/>
              </w:rPr>
              <w:t>Yañez</w:t>
            </w:r>
            <w:proofErr w:type="spellEnd"/>
            <w:r w:rsidRPr="00524435">
              <w:rPr>
                <w:rFonts w:ascii="Cambria" w:hAnsi="Cambria" w:cs="Arial"/>
                <w:sz w:val="18"/>
                <w:szCs w:val="18"/>
              </w:rPr>
              <w:t xml:space="preserve"> (Argentina)</w:t>
            </w:r>
            <w:r w:rsidRPr="00524435">
              <w:rPr>
                <w:rStyle w:val="FootnoteReference"/>
                <w:rFonts w:ascii="Cambria" w:hAnsi="Cambria" w:cs="Arial"/>
                <w:sz w:val="18"/>
                <w:szCs w:val="18"/>
              </w:rPr>
              <w:footnoteReference w:id="36"/>
            </w:r>
          </w:p>
        </w:tc>
        <w:tc>
          <w:tcPr>
            <w:tcW w:w="1170" w:type="dxa"/>
            <w:vMerge/>
          </w:tcPr>
          <w:p w14:paraId="24CC525F" w14:textId="77777777" w:rsidR="007E31E3" w:rsidRPr="00524435" w:rsidRDefault="007E31E3" w:rsidP="00820229">
            <w:pPr>
              <w:jc w:val="center"/>
              <w:rPr>
                <w:rFonts w:ascii="Cambria" w:hAnsi="Cambria" w:cstheme="minorHAnsi"/>
                <w:sz w:val="18"/>
                <w:szCs w:val="18"/>
              </w:rPr>
            </w:pPr>
          </w:p>
        </w:tc>
        <w:tc>
          <w:tcPr>
            <w:tcW w:w="1316" w:type="dxa"/>
          </w:tcPr>
          <w:p w14:paraId="4D80C4A0" w14:textId="77777777" w:rsidR="007E31E3" w:rsidRPr="00524435" w:rsidRDefault="007E31E3" w:rsidP="00820229">
            <w:pPr>
              <w:jc w:val="center"/>
              <w:rPr>
                <w:rFonts w:ascii="Cambria" w:hAnsi="Cambria" w:cstheme="minorHAnsi"/>
                <w:sz w:val="18"/>
                <w:szCs w:val="18"/>
              </w:rPr>
            </w:pPr>
            <w:r w:rsidRPr="00524435">
              <w:rPr>
                <w:rFonts w:ascii="Cambria" w:hAnsi="Cambria" w:cs="Arial"/>
                <w:sz w:val="18"/>
                <w:szCs w:val="18"/>
              </w:rPr>
              <w:t>X</w:t>
            </w:r>
          </w:p>
        </w:tc>
        <w:tc>
          <w:tcPr>
            <w:tcW w:w="1170" w:type="dxa"/>
          </w:tcPr>
          <w:p w14:paraId="60041E37" w14:textId="77777777" w:rsidR="007E31E3" w:rsidRPr="00524435" w:rsidRDefault="007E31E3" w:rsidP="00820229">
            <w:pPr>
              <w:jc w:val="center"/>
              <w:rPr>
                <w:rFonts w:ascii="Cambria" w:hAnsi="Cambria" w:cstheme="minorHAnsi"/>
                <w:sz w:val="18"/>
                <w:szCs w:val="18"/>
              </w:rPr>
            </w:pPr>
          </w:p>
        </w:tc>
        <w:tc>
          <w:tcPr>
            <w:tcW w:w="1170" w:type="dxa"/>
          </w:tcPr>
          <w:p w14:paraId="190819FF" w14:textId="77777777" w:rsidR="007E31E3" w:rsidRPr="00524435" w:rsidRDefault="007E31E3" w:rsidP="00820229">
            <w:pPr>
              <w:keepNext/>
              <w:ind w:left="31"/>
              <w:jc w:val="center"/>
              <w:outlineLvl w:val="2"/>
              <w:rPr>
                <w:rFonts w:ascii="Cambria" w:hAnsi="Cambria" w:cstheme="minorHAnsi"/>
                <w:sz w:val="18"/>
                <w:szCs w:val="18"/>
              </w:rPr>
            </w:pPr>
          </w:p>
        </w:tc>
        <w:tc>
          <w:tcPr>
            <w:tcW w:w="1170" w:type="dxa"/>
          </w:tcPr>
          <w:p w14:paraId="66DA0255" w14:textId="77777777" w:rsidR="007E31E3" w:rsidRPr="00524435" w:rsidRDefault="007E31E3" w:rsidP="00820229">
            <w:pPr>
              <w:keepNext/>
              <w:tabs>
                <w:tab w:val="left" w:pos="177"/>
              </w:tabs>
              <w:ind w:left="31"/>
              <w:jc w:val="center"/>
              <w:outlineLvl w:val="2"/>
              <w:rPr>
                <w:rFonts w:ascii="Cambria" w:hAnsi="Cambria" w:cstheme="minorHAnsi"/>
                <w:sz w:val="18"/>
                <w:szCs w:val="18"/>
              </w:rPr>
            </w:pPr>
            <w:r w:rsidRPr="00524435">
              <w:rPr>
                <w:rFonts w:ascii="Cambria" w:hAnsi="Cambria" w:cs="Arial"/>
                <w:sz w:val="18"/>
                <w:szCs w:val="18"/>
              </w:rPr>
              <w:t>100%</w:t>
            </w:r>
          </w:p>
        </w:tc>
        <w:tc>
          <w:tcPr>
            <w:tcW w:w="1260" w:type="dxa"/>
          </w:tcPr>
          <w:p w14:paraId="549867A5"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Arial"/>
                <w:sz w:val="18"/>
                <w:szCs w:val="18"/>
              </w:rPr>
              <w:t>Closed 2021</w:t>
            </w:r>
          </w:p>
        </w:tc>
      </w:tr>
      <w:tr w:rsidR="007E31E3" w:rsidRPr="00524435" w14:paraId="3E222826" w14:textId="77777777" w:rsidTr="00820229">
        <w:trPr>
          <w:cnfStyle w:val="000000100000" w:firstRow="0" w:lastRow="0" w:firstColumn="0" w:lastColumn="0" w:oddVBand="0" w:evenVBand="0" w:oddHBand="1" w:evenHBand="0" w:firstRowFirstColumn="0" w:firstRowLastColumn="0" w:lastRowFirstColumn="0" w:lastRowLastColumn="0"/>
          <w:trHeight w:val="1125"/>
          <w:jc w:val="center"/>
        </w:trPr>
        <w:tc>
          <w:tcPr>
            <w:tcW w:w="2250" w:type="dxa"/>
          </w:tcPr>
          <w:p w14:paraId="567657E2" w14:textId="77777777" w:rsidR="007E31E3" w:rsidRPr="00524435" w:rsidRDefault="007E31E3" w:rsidP="008B0732">
            <w:pPr>
              <w:numPr>
                <w:ilvl w:val="0"/>
                <w:numId w:val="18"/>
              </w:numPr>
              <w:tabs>
                <w:tab w:val="num" w:pos="341"/>
              </w:tabs>
              <w:ind w:firstLine="0"/>
              <w:jc w:val="both"/>
              <w:rPr>
                <w:rFonts w:ascii="Cambria" w:hAnsi="Cambria" w:cstheme="minorHAnsi"/>
                <w:sz w:val="18"/>
                <w:szCs w:val="18"/>
              </w:rPr>
            </w:pPr>
            <w:r w:rsidRPr="00524435">
              <w:rPr>
                <w:rFonts w:ascii="Cambria" w:hAnsi="Cambria" w:cstheme="minorHAnsi"/>
                <w:sz w:val="18"/>
                <w:szCs w:val="18"/>
              </w:rPr>
              <w:t xml:space="preserve">Case 13.595, Report No. 207/21, </w:t>
            </w:r>
            <w:r w:rsidRPr="00524435">
              <w:rPr>
                <w:rFonts w:ascii="Cambria" w:hAnsi="Cambria" w:cs="Arial"/>
                <w:sz w:val="18"/>
                <w:szCs w:val="18"/>
              </w:rPr>
              <w:t xml:space="preserve">Amanda Graciela </w:t>
            </w:r>
            <w:proofErr w:type="spellStart"/>
            <w:r w:rsidRPr="00524435">
              <w:rPr>
                <w:rFonts w:ascii="Cambria" w:hAnsi="Cambria" w:cs="Arial"/>
                <w:sz w:val="18"/>
                <w:szCs w:val="18"/>
              </w:rPr>
              <w:t>Encaje</w:t>
            </w:r>
            <w:proofErr w:type="spellEnd"/>
            <w:r w:rsidRPr="00524435">
              <w:rPr>
                <w:rFonts w:ascii="Cambria" w:hAnsi="Cambria" w:cs="Arial"/>
                <w:sz w:val="18"/>
                <w:szCs w:val="18"/>
              </w:rPr>
              <w:t xml:space="preserve"> and Family (Argentina)</w:t>
            </w:r>
          </w:p>
        </w:tc>
        <w:tc>
          <w:tcPr>
            <w:tcW w:w="1170" w:type="dxa"/>
            <w:vMerge/>
          </w:tcPr>
          <w:p w14:paraId="15166D51" w14:textId="77777777" w:rsidR="007E31E3" w:rsidRPr="00524435" w:rsidRDefault="007E31E3" w:rsidP="00820229">
            <w:pPr>
              <w:jc w:val="center"/>
              <w:rPr>
                <w:rFonts w:ascii="Cambria" w:hAnsi="Cambria" w:cstheme="minorHAnsi"/>
                <w:sz w:val="18"/>
                <w:szCs w:val="18"/>
              </w:rPr>
            </w:pPr>
          </w:p>
        </w:tc>
        <w:tc>
          <w:tcPr>
            <w:tcW w:w="1316" w:type="dxa"/>
          </w:tcPr>
          <w:p w14:paraId="186C8BB4" w14:textId="77777777" w:rsidR="007E31E3" w:rsidRPr="00524435" w:rsidRDefault="007E31E3" w:rsidP="00820229">
            <w:pPr>
              <w:jc w:val="center"/>
              <w:rPr>
                <w:rFonts w:ascii="Cambria" w:hAnsi="Cambria" w:cstheme="minorHAnsi"/>
                <w:sz w:val="18"/>
                <w:szCs w:val="18"/>
              </w:rPr>
            </w:pPr>
          </w:p>
        </w:tc>
        <w:tc>
          <w:tcPr>
            <w:tcW w:w="1170" w:type="dxa"/>
          </w:tcPr>
          <w:p w14:paraId="1738329D" w14:textId="77777777" w:rsidR="007E31E3" w:rsidRPr="00524435" w:rsidRDefault="007E31E3" w:rsidP="00820229">
            <w:pPr>
              <w:jc w:val="center"/>
              <w:rPr>
                <w:rFonts w:ascii="Cambria" w:hAnsi="Cambria" w:cstheme="minorHAnsi"/>
                <w:sz w:val="18"/>
                <w:szCs w:val="18"/>
              </w:rPr>
            </w:pPr>
          </w:p>
        </w:tc>
        <w:tc>
          <w:tcPr>
            <w:tcW w:w="1170" w:type="dxa"/>
          </w:tcPr>
          <w:p w14:paraId="61FA69AE" w14:textId="77777777" w:rsidR="007E31E3" w:rsidRPr="00524435" w:rsidRDefault="007E31E3" w:rsidP="00820229">
            <w:pPr>
              <w:keepNext/>
              <w:ind w:left="31"/>
              <w:jc w:val="center"/>
              <w:outlineLvl w:val="2"/>
              <w:rPr>
                <w:rFonts w:ascii="Cambria" w:hAnsi="Cambria" w:cstheme="minorHAnsi"/>
                <w:sz w:val="18"/>
                <w:szCs w:val="18"/>
              </w:rPr>
            </w:pPr>
            <w:r w:rsidRPr="00524435">
              <w:rPr>
                <w:rFonts w:ascii="Cambria" w:hAnsi="Cambria" w:cs="Arial"/>
                <w:sz w:val="18"/>
                <w:szCs w:val="18"/>
              </w:rPr>
              <w:t>X</w:t>
            </w:r>
          </w:p>
        </w:tc>
        <w:tc>
          <w:tcPr>
            <w:tcW w:w="1170" w:type="dxa"/>
          </w:tcPr>
          <w:p w14:paraId="5EB51E56" w14:textId="77777777" w:rsidR="007E31E3" w:rsidRPr="00524435" w:rsidRDefault="007E31E3" w:rsidP="00820229">
            <w:pPr>
              <w:keepNext/>
              <w:tabs>
                <w:tab w:val="left" w:pos="177"/>
              </w:tabs>
              <w:ind w:left="31"/>
              <w:jc w:val="center"/>
              <w:outlineLvl w:val="2"/>
              <w:rPr>
                <w:rFonts w:ascii="Cambria" w:hAnsi="Cambria" w:cstheme="minorHAnsi"/>
                <w:sz w:val="18"/>
                <w:szCs w:val="18"/>
              </w:rPr>
            </w:pPr>
            <w:r w:rsidRPr="00524435">
              <w:rPr>
                <w:rFonts w:ascii="Cambria" w:hAnsi="Cambria" w:cs="Arial"/>
                <w:sz w:val="18"/>
                <w:szCs w:val="18"/>
              </w:rPr>
              <w:t>0%</w:t>
            </w:r>
          </w:p>
        </w:tc>
        <w:tc>
          <w:tcPr>
            <w:tcW w:w="1260" w:type="dxa"/>
          </w:tcPr>
          <w:p w14:paraId="6559B92F" w14:textId="77777777" w:rsidR="007E31E3" w:rsidRPr="00524435" w:rsidRDefault="007E31E3" w:rsidP="00820229">
            <w:pPr>
              <w:keepNext/>
              <w:jc w:val="center"/>
              <w:outlineLvl w:val="2"/>
              <w:rPr>
                <w:rFonts w:ascii="Cambria" w:hAnsi="Cambria" w:cs="Arial"/>
                <w:sz w:val="18"/>
                <w:szCs w:val="18"/>
              </w:rPr>
            </w:pPr>
            <w:r w:rsidRPr="00524435">
              <w:rPr>
                <w:rFonts w:ascii="Cambria" w:hAnsi="Cambria" w:cs="Arial"/>
                <w:sz w:val="18"/>
                <w:szCs w:val="18"/>
              </w:rPr>
              <w:t>Active</w:t>
            </w:r>
          </w:p>
        </w:tc>
      </w:tr>
      <w:tr w:rsidR="007E31E3" w:rsidRPr="00524435" w14:paraId="37F35E61" w14:textId="77777777" w:rsidTr="00820229">
        <w:trPr>
          <w:cnfStyle w:val="000000010000" w:firstRow="0" w:lastRow="0" w:firstColumn="0" w:lastColumn="0" w:oddVBand="0" w:evenVBand="0" w:oddHBand="0" w:evenHBand="1" w:firstRowFirstColumn="0" w:firstRowLastColumn="0" w:lastRowFirstColumn="0" w:lastRowLastColumn="0"/>
          <w:trHeight w:val="945"/>
          <w:jc w:val="center"/>
        </w:trPr>
        <w:tc>
          <w:tcPr>
            <w:tcW w:w="2250" w:type="dxa"/>
          </w:tcPr>
          <w:p w14:paraId="3F6B1F1C" w14:textId="77777777" w:rsidR="007E31E3" w:rsidRPr="00E42B49" w:rsidRDefault="007E31E3" w:rsidP="008B0732">
            <w:pPr>
              <w:numPr>
                <w:ilvl w:val="0"/>
                <w:numId w:val="18"/>
              </w:numPr>
              <w:tabs>
                <w:tab w:val="num" w:pos="341"/>
              </w:tabs>
              <w:ind w:firstLine="0"/>
              <w:jc w:val="both"/>
              <w:rPr>
                <w:rFonts w:ascii="Cambria" w:hAnsi="Cambria" w:cstheme="minorHAnsi"/>
                <w:sz w:val="18"/>
                <w:szCs w:val="18"/>
                <w:lang w:val="es-US"/>
              </w:rPr>
            </w:pPr>
            <w:r w:rsidRPr="00E42B49">
              <w:rPr>
                <w:rFonts w:ascii="Cambria" w:hAnsi="Cambria" w:cstheme="minorHAnsi"/>
                <w:sz w:val="18"/>
                <w:szCs w:val="18"/>
                <w:lang w:val="es-US"/>
              </w:rPr>
              <w:t xml:space="preserve">Case 12.475,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97/05, Alfredo Díaz Bustos (Bolivia)</w:t>
            </w:r>
            <w:r w:rsidRPr="00E42B49">
              <w:rPr>
                <w:rFonts w:ascii="Cambria" w:hAnsi="Cambria" w:cstheme="minorHAnsi"/>
                <w:sz w:val="18"/>
                <w:szCs w:val="18"/>
                <w:vertAlign w:val="superscript"/>
                <w:lang w:val="es-US"/>
              </w:rPr>
              <w:t xml:space="preserve"> </w:t>
            </w:r>
            <w:r w:rsidRPr="00524435">
              <w:rPr>
                <w:rFonts w:ascii="Cambria" w:hAnsi="Cambria" w:cstheme="minorHAnsi"/>
                <w:sz w:val="18"/>
                <w:szCs w:val="18"/>
                <w:vertAlign w:val="superscript"/>
              </w:rPr>
              <w:footnoteReference w:id="37"/>
            </w:r>
          </w:p>
        </w:tc>
        <w:tc>
          <w:tcPr>
            <w:tcW w:w="1170" w:type="dxa"/>
            <w:vMerge w:val="restart"/>
          </w:tcPr>
          <w:p w14:paraId="0B953ED4" w14:textId="46BB5617" w:rsidR="007E31E3" w:rsidRPr="00E42B49" w:rsidRDefault="007E31E3" w:rsidP="00820229">
            <w:pPr>
              <w:jc w:val="center"/>
              <w:rPr>
                <w:rFonts w:ascii="Cambria" w:hAnsi="Cambria" w:cstheme="minorHAnsi"/>
                <w:sz w:val="18"/>
                <w:szCs w:val="18"/>
                <w:lang w:val="es-US"/>
              </w:rPr>
            </w:pPr>
          </w:p>
        </w:tc>
        <w:tc>
          <w:tcPr>
            <w:tcW w:w="1316" w:type="dxa"/>
          </w:tcPr>
          <w:p w14:paraId="779813B1"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203874D9" w14:textId="77777777" w:rsidR="007E31E3" w:rsidRPr="00524435" w:rsidRDefault="007E31E3" w:rsidP="00820229">
            <w:pPr>
              <w:jc w:val="center"/>
              <w:rPr>
                <w:rFonts w:ascii="Cambria" w:hAnsi="Cambria" w:cstheme="minorHAnsi"/>
                <w:sz w:val="18"/>
                <w:szCs w:val="18"/>
              </w:rPr>
            </w:pPr>
          </w:p>
        </w:tc>
        <w:tc>
          <w:tcPr>
            <w:tcW w:w="1170" w:type="dxa"/>
          </w:tcPr>
          <w:p w14:paraId="30E772F0" w14:textId="77777777" w:rsidR="007E31E3" w:rsidRPr="00524435" w:rsidRDefault="007E31E3" w:rsidP="00820229">
            <w:pPr>
              <w:keepNext/>
              <w:ind w:left="31"/>
              <w:jc w:val="center"/>
              <w:outlineLvl w:val="2"/>
              <w:rPr>
                <w:rFonts w:ascii="Cambria" w:hAnsi="Cambria" w:cstheme="minorHAnsi"/>
                <w:sz w:val="18"/>
                <w:szCs w:val="18"/>
              </w:rPr>
            </w:pPr>
          </w:p>
        </w:tc>
        <w:tc>
          <w:tcPr>
            <w:tcW w:w="1170" w:type="dxa"/>
          </w:tcPr>
          <w:p w14:paraId="3A312D51" w14:textId="77777777" w:rsidR="007E31E3" w:rsidRPr="00524435" w:rsidRDefault="007E31E3" w:rsidP="00820229">
            <w:pPr>
              <w:keepNext/>
              <w:tabs>
                <w:tab w:val="left" w:pos="177"/>
              </w:tabs>
              <w:ind w:left="31"/>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0BA444E3"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Closed</w:t>
            </w:r>
          </w:p>
        </w:tc>
      </w:tr>
      <w:tr w:rsidR="007E31E3" w:rsidRPr="00524435" w14:paraId="7D4F8595" w14:textId="77777777" w:rsidTr="00820229">
        <w:trPr>
          <w:cnfStyle w:val="000000100000" w:firstRow="0" w:lastRow="0" w:firstColumn="0" w:lastColumn="0" w:oddVBand="0" w:evenVBand="0" w:oddHBand="1" w:evenHBand="0" w:firstRowFirstColumn="0" w:firstRowLastColumn="0" w:lastRowFirstColumn="0" w:lastRowLastColumn="0"/>
          <w:trHeight w:val="1116"/>
          <w:jc w:val="center"/>
        </w:trPr>
        <w:tc>
          <w:tcPr>
            <w:tcW w:w="2250" w:type="dxa"/>
          </w:tcPr>
          <w:p w14:paraId="0E7885A2" w14:textId="77777777" w:rsidR="007E31E3" w:rsidRPr="007A5442" w:rsidRDefault="007E31E3" w:rsidP="008B0732">
            <w:pPr>
              <w:numPr>
                <w:ilvl w:val="0"/>
                <w:numId w:val="18"/>
              </w:numPr>
              <w:tabs>
                <w:tab w:val="num" w:pos="341"/>
              </w:tabs>
              <w:ind w:firstLine="0"/>
              <w:jc w:val="both"/>
              <w:rPr>
                <w:rFonts w:ascii="Cambria" w:hAnsi="Cambria" w:cstheme="minorHAnsi"/>
                <w:sz w:val="18"/>
                <w:szCs w:val="18"/>
                <w:lang w:val="pt-PT"/>
              </w:rPr>
            </w:pPr>
            <w:r w:rsidRPr="007A5442">
              <w:rPr>
                <w:rFonts w:ascii="Cambria" w:hAnsi="Cambria" w:cstheme="minorHAnsi"/>
                <w:sz w:val="18"/>
                <w:szCs w:val="18"/>
                <w:lang w:val="pt-PT"/>
              </w:rPr>
              <w:t>Case 12.516, Report No. 98/05, Raúl Zavala Málaga and Jorge Pacheco Rondón (Bolivia)</w:t>
            </w:r>
            <w:r w:rsidRPr="00524435">
              <w:rPr>
                <w:rFonts w:ascii="Cambria" w:hAnsi="Cambria" w:cstheme="minorHAnsi"/>
                <w:sz w:val="18"/>
                <w:szCs w:val="18"/>
                <w:vertAlign w:val="superscript"/>
              </w:rPr>
              <w:footnoteReference w:id="38"/>
            </w:r>
          </w:p>
        </w:tc>
        <w:tc>
          <w:tcPr>
            <w:tcW w:w="1170" w:type="dxa"/>
            <w:vMerge/>
          </w:tcPr>
          <w:p w14:paraId="40AB5BE3" w14:textId="77777777" w:rsidR="007E31E3" w:rsidRPr="007A5442" w:rsidRDefault="007E31E3" w:rsidP="00820229">
            <w:pPr>
              <w:jc w:val="center"/>
              <w:rPr>
                <w:rFonts w:ascii="Cambria" w:hAnsi="Cambria" w:cstheme="minorHAnsi"/>
                <w:sz w:val="18"/>
                <w:szCs w:val="18"/>
                <w:lang w:val="pt-PT"/>
              </w:rPr>
            </w:pPr>
          </w:p>
        </w:tc>
        <w:tc>
          <w:tcPr>
            <w:tcW w:w="1316" w:type="dxa"/>
          </w:tcPr>
          <w:p w14:paraId="08F0EA9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1D651FAA" w14:textId="77777777" w:rsidR="007E31E3" w:rsidRPr="00524435" w:rsidRDefault="007E31E3" w:rsidP="00820229">
            <w:pPr>
              <w:jc w:val="center"/>
              <w:rPr>
                <w:rFonts w:ascii="Cambria" w:hAnsi="Cambria" w:cstheme="minorHAnsi"/>
                <w:sz w:val="18"/>
                <w:szCs w:val="18"/>
              </w:rPr>
            </w:pPr>
          </w:p>
        </w:tc>
        <w:tc>
          <w:tcPr>
            <w:tcW w:w="1170" w:type="dxa"/>
          </w:tcPr>
          <w:p w14:paraId="4B7C910D" w14:textId="77777777" w:rsidR="007E31E3" w:rsidRPr="00524435" w:rsidRDefault="007E31E3" w:rsidP="00820229">
            <w:pPr>
              <w:keepNext/>
              <w:ind w:left="31"/>
              <w:jc w:val="center"/>
              <w:outlineLvl w:val="2"/>
              <w:rPr>
                <w:rFonts w:ascii="Cambria" w:hAnsi="Cambria" w:cstheme="minorHAnsi"/>
                <w:sz w:val="18"/>
                <w:szCs w:val="18"/>
              </w:rPr>
            </w:pPr>
          </w:p>
        </w:tc>
        <w:tc>
          <w:tcPr>
            <w:tcW w:w="1170" w:type="dxa"/>
          </w:tcPr>
          <w:p w14:paraId="04D586D4" w14:textId="77777777" w:rsidR="007E31E3" w:rsidRPr="00524435" w:rsidRDefault="007E31E3" w:rsidP="00820229">
            <w:pPr>
              <w:keepNext/>
              <w:tabs>
                <w:tab w:val="left" w:pos="177"/>
              </w:tabs>
              <w:ind w:left="31"/>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0EA22419"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Closed</w:t>
            </w:r>
          </w:p>
        </w:tc>
      </w:tr>
      <w:tr w:rsidR="007E31E3" w:rsidRPr="00524435" w14:paraId="7611640B" w14:textId="77777777" w:rsidTr="00820229">
        <w:trPr>
          <w:cnfStyle w:val="000000010000" w:firstRow="0" w:lastRow="0" w:firstColumn="0" w:lastColumn="0" w:oddVBand="0" w:evenVBand="0" w:oddHBand="0" w:evenHBand="1" w:firstRowFirstColumn="0" w:firstRowLastColumn="0" w:lastRowFirstColumn="0" w:lastRowLastColumn="0"/>
          <w:trHeight w:val="1395"/>
          <w:jc w:val="center"/>
        </w:trPr>
        <w:tc>
          <w:tcPr>
            <w:tcW w:w="2250" w:type="dxa"/>
          </w:tcPr>
          <w:p w14:paraId="6EC48F4D" w14:textId="77777777" w:rsidR="007E31E3" w:rsidRPr="007A5442" w:rsidRDefault="007E31E3" w:rsidP="008B0732">
            <w:pPr>
              <w:numPr>
                <w:ilvl w:val="0"/>
                <w:numId w:val="18"/>
              </w:numPr>
              <w:tabs>
                <w:tab w:val="num" w:pos="341"/>
              </w:tabs>
              <w:ind w:firstLine="0"/>
              <w:jc w:val="both"/>
              <w:rPr>
                <w:rFonts w:ascii="Cambria" w:hAnsi="Cambria" w:cstheme="minorHAnsi"/>
                <w:sz w:val="18"/>
                <w:szCs w:val="18"/>
                <w:lang w:val="pt-PT"/>
              </w:rPr>
            </w:pPr>
            <w:r w:rsidRPr="007A5442">
              <w:rPr>
                <w:rFonts w:ascii="Cambria" w:hAnsi="Cambria" w:cstheme="minorHAnsi"/>
                <w:sz w:val="18"/>
                <w:szCs w:val="18"/>
                <w:lang w:val="pt-PT"/>
              </w:rPr>
              <w:t>Petition 269-05, Report No. 82/07, Miguel Angel Moncada Osorio and James David Rocha Terraza (Bolivia)</w:t>
            </w:r>
            <w:r w:rsidRPr="00524435">
              <w:rPr>
                <w:rFonts w:ascii="Cambria" w:hAnsi="Cambria" w:cstheme="minorHAnsi"/>
                <w:sz w:val="18"/>
                <w:szCs w:val="18"/>
                <w:vertAlign w:val="superscript"/>
              </w:rPr>
              <w:footnoteReference w:id="39"/>
            </w:r>
          </w:p>
        </w:tc>
        <w:tc>
          <w:tcPr>
            <w:tcW w:w="1170" w:type="dxa"/>
            <w:vMerge/>
          </w:tcPr>
          <w:p w14:paraId="05BA65A7" w14:textId="77777777" w:rsidR="007E31E3" w:rsidRPr="007A5442" w:rsidRDefault="007E31E3" w:rsidP="00820229">
            <w:pPr>
              <w:jc w:val="center"/>
              <w:rPr>
                <w:rFonts w:ascii="Cambria" w:hAnsi="Cambria" w:cstheme="minorHAnsi"/>
                <w:sz w:val="18"/>
                <w:szCs w:val="18"/>
                <w:lang w:val="pt-PT"/>
              </w:rPr>
            </w:pPr>
          </w:p>
        </w:tc>
        <w:tc>
          <w:tcPr>
            <w:tcW w:w="1316" w:type="dxa"/>
          </w:tcPr>
          <w:p w14:paraId="5ADA61B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06E30C6A" w14:textId="77777777" w:rsidR="007E31E3" w:rsidRPr="00524435" w:rsidRDefault="007E31E3" w:rsidP="00820229">
            <w:pPr>
              <w:jc w:val="center"/>
              <w:rPr>
                <w:rFonts w:ascii="Cambria" w:hAnsi="Cambria" w:cstheme="minorHAnsi"/>
                <w:sz w:val="18"/>
                <w:szCs w:val="18"/>
              </w:rPr>
            </w:pPr>
          </w:p>
        </w:tc>
        <w:tc>
          <w:tcPr>
            <w:tcW w:w="1170" w:type="dxa"/>
          </w:tcPr>
          <w:p w14:paraId="4F5FDFB3" w14:textId="77777777" w:rsidR="007E31E3" w:rsidRPr="00524435" w:rsidRDefault="007E31E3" w:rsidP="00820229">
            <w:pPr>
              <w:keepNext/>
              <w:ind w:left="31"/>
              <w:jc w:val="center"/>
              <w:outlineLvl w:val="2"/>
              <w:rPr>
                <w:rFonts w:ascii="Cambria" w:hAnsi="Cambria" w:cstheme="minorHAnsi"/>
                <w:sz w:val="18"/>
                <w:szCs w:val="18"/>
              </w:rPr>
            </w:pPr>
          </w:p>
        </w:tc>
        <w:tc>
          <w:tcPr>
            <w:tcW w:w="1170" w:type="dxa"/>
          </w:tcPr>
          <w:p w14:paraId="2C15C1C7"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59B7AA69"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Closed</w:t>
            </w:r>
          </w:p>
        </w:tc>
      </w:tr>
      <w:tr w:rsidR="007E31E3" w:rsidRPr="00524435" w14:paraId="394CFF84" w14:textId="77777777" w:rsidTr="00820229">
        <w:trPr>
          <w:cnfStyle w:val="000000100000" w:firstRow="0" w:lastRow="0" w:firstColumn="0" w:lastColumn="0" w:oddVBand="0" w:evenVBand="0" w:oddHBand="1" w:evenHBand="0" w:firstRowFirstColumn="0" w:firstRowLastColumn="0" w:lastRowFirstColumn="0" w:lastRowLastColumn="0"/>
          <w:trHeight w:val="954"/>
          <w:jc w:val="center"/>
        </w:trPr>
        <w:tc>
          <w:tcPr>
            <w:tcW w:w="2250" w:type="dxa"/>
          </w:tcPr>
          <w:p w14:paraId="1437FB66" w14:textId="77777777" w:rsidR="007E31E3" w:rsidRPr="00E42B49" w:rsidRDefault="007E31E3" w:rsidP="0009324C">
            <w:pPr>
              <w:numPr>
                <w:ilvl w:val="0"/>
                <w:numId w:val="18"/>
              </w:numPr>
              <w:tabs>
                <w:tab w:val="num" w:pos="522"/>
              </w:tabs>
              <w:ind w:firstLine="0"/>
              <w:jc w:val="both"/>
              <w:rPr>
                <w:rFonts w:ascii="Cambria" w:hAnsi="Cambria" w:cstheme="minorHAnsi"/>
                <w:sz w:val="18"/>
                <w:szCs w:val="18"/>
                <w:lang w:val="es-US"/>
              </w:rPr>
            </w:pPr>
            <w:proofErr w:type="spellStart"/>
            <w:r w:rsidRPr="00E42B49">
              <w:rPr>
                <w:rFonts w:ascii="Cambria" w:hAnsi="Cambria" w:cstheme="minorHAnsi"/>
                <w:sz w:val="18"/>
                <w:szCs w:val="18"/>
                <w:lang w:val="es-US"/>
              </w:rPr>
              <w:t>Petition</w:t>
            </w:r>
            <w:proofErr w:type="spellEnd"/>
            <w:r w:rsidRPr="00E42B49">
              <w:rPr>
                <w:rFonts w:ascii="Cambria" w:hAnsi="Cambria" w:cstheme="minorHAnsi"/>
                <w:sz w:val="18"/>
                <w:szCs w:val="18"/>
                <w:lang w:val="es-US"/>
              </w:rPr>
              <w:t xml:space="preserve"> 788-06,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70/07, Víctor Hugo Arce Chávez (Bolivia)</w:t>
            </w:r>
            <w:r w:rsidRPr="00524435">
              <w:rPr>
                <w:rFonts w:ascii="Cambria" w:hAnsi="Cambria" w:cstheme="minorHAnsi"/>
                <w:sz w:val="18"/>
                <w:szCs w:val="18"/>
                <w:vertAlign w:val="superscript"/>
              </w:rPr>
              <w:footnoteReference w:id="40"/>
            </w:r>
          </w:p>
        </w:tc>
        <w:tc>
          <w:tcPr>
            <w:tcW w:w="1170" w:type="dxa"/>
            <w:vMerge/>
          </w:tcPr>
          <w:p w14:paraId="42B44634" w14:textId="77777777" w:rsidR="007E31E3" w:rsidRPr="00E42B49" w:rsidRDefault="007E31E3" w:rsidP="00820229">
            <w:pPr>
              <w:jc w:val="center"/>
              <w:rPr>
                <w:rFonts w:ascii="Cambria" w:hAnsi="Cambria" w:cstheme="minorHAnsi"/>
                <w:sz w:val="18"/>
                <w:szCs w:val="18"/>
                <w:lang w:val="es-US"/>
              </w:rPr>
            </w:pPr>
          </w:p>
        </w:tc>
        <w:tc>
          <w:tcPr>
            <w:tcW w:w="1316" w:type="dxa"/>
          </w:tcPr>
          <w:p w14:paraId="18F6240A"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35D163BB" w14:textId="77777777" w:rsidR="007E31E3" w:rsidRPr="00524435" w:rsidRDefault="007E31E3" w:rsidP="00820229">
            <w:pPr>
              <w:jc w:val="center"/>
              <w:rPr>
                <w:rFonts w:ascii="Cambria" w:hAnsi="Cambria" w:cstheme="minorHAnsi"/>
                <w:sz w:val="18"/>
                <w:szCs w:val="18"/>
              </w:rPr>
            </w:pPr>
          </w:p>
        </w:tc>
        <w:tc>
          <w:tcPr>
            <w:tcW w:w="1170" w:type="dxa"/>
          </w:tcPr>
          <w:p w14:paraId="3CEBDD71" w14:textId="77777777" w:rsidR="007E31E3" w:rsidRPr="00524435" w:rsidRDefault="007E31E3" w:rsidP="00820229">
            <w:pPr>
              <w:keepNext/>
              <w:ind w:left="31"/>
              <w:jc w:val="center"/>
              <w:outlineLvl w:val="2"/>
              <w:rPr>
                <w:rFonts w:ascii="Cambria" w:hAnsi="Cambria" w:cstheme="minorHAnsi"/>
                <w:sz w:val="18"/>
                <w:szCs w:val="18"/>
              </w:rPr>
            </w:pPr>
          </w:p>
        </w:tc>
        <w:tc>
          <w:tcPr>
            <w:tcW w:w="1170" w:type="dxa"/>
          </w:tcPr>
          <w:p w14:paraId="3F9B1018"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3AC52C9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13C8B535" w14:textId="77777777" w:rsidTr="00820229">
        <w:trPr>
          <w:cnfStyle w:val="000000010000" w:firstRow="0" w:lastRow="0" w:firstColumn="0" w:lastColumn="0" w:oddVBand="0" w:evenVBand="0" w:oddHBand="0" w:evenHBand="1" w:firstRowFirstColumn="0" w:firstRowLastColumn="0" w:lastRowFirstColumn="0" w:lastRowLastColumn="0"/>
          <w:trHeight w:val="765"/>
          <w:jc w:val="center"/>
        </w:trPr>
        <w:tc>
          <w:tcPr>
            <w:tcW w:w="2250" w:type="dxa"/>
          </w:tcPr>
          <w:p w14:paraId="59F33030" w14:textId="77777777" w:rsidR="007E31E3" w:rsidRPr="00524435" w:rsidRDefault="007E31E3" w:rsidP="008B0732">
            <w:pPr>
              <w:numPr>
                <w:ilvl w:val="0"/>
                <w:numId w:val="18"/>
              </w:numPr>
              <w:tabs>
                <w:tab w:val="num" w:pos="341"/>
              </w:tabs>
              <w:ind w:firstLine="0"/>
              <w:jc w:val="both"/>
              <w:rPr>
                <w:rFonts w:ascii="Cambria" w:hAnsi="Cambria" w:cstheme="minorHAnsi"/>
                <w:sz w:val="18"/>
                <w:szCs w:val="18"/>
              </w:rPr>
            </w:pPr>
            <w:r w:rsidRPr="00524435">
              <w:rPr>
                <w:rFonts w:ascii="Cambria" w:hAnsi="Cambria" w:cstheme="minorHAnsi"/>
                <w:sz w:val="18"/>
                <w:szCs w:val="18"/>
              </w:rPr>
              <w:lastRenderedPageBreak/>
              <w:t>Case 12.350, Report No. 103/14, M.Z. (Bolivia)</w:t>
            </w:r>
            <w:r w:rsidRPr="00524435">
              <w:rPr>
                <w:rFonts w:ascii="Cambria" w:hAnsi="Cambria" w:cstheme="minorHAnsi"/>
                <w:sz w:val="18"/>
                <w:szCs w:val="18"/>
                <w:vertAlign w:val="superscript"/>
              </w:rPr>
              <w:footnoteReference w:id="41"/>
            </w:r>
          </w:p>
        </w:tc>
        <w:tc>
          <w:tcPr>
            <w:tcW w:w="1170" w:type="dxa"/>
            <w:vMerge/>
          </w:tcPr>
          <w:p w14:paraId="618C74FB" w14:textId="77777777" w:rsidR="007E31E3" w:rsidRPr="00524435" w:rsidRDefault="007E31E3" w:rsidP="00820229">
            <w:pPr>
              <w:jc w:val="center"/>
              <w:rPr>
                <w:rFonts w:ascii="Cambria" w:hAnsi="Cambria" w:cstheme="minorHAnsi"/>
                <w:sz w:val="18"/>
                <w:szCs w:val="18"/>
              </w:rPr>
            </w:pPr>
          </w:p>
        </w:tc>
        <w:tc>
          <w:tcPr>
            <w:tcW w:w="1316" w:type="dxa"/>
          </w:tcPr>
          <w:p w14:paraId="6470AF5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520303CE" w14:textId="77777777" w:rsidR="007E31E3" w:rsidRPr="00524435" w:rsidRDefault="007E31E3" w:rsidP="00820229">
            <w:pPr>
              <w:jc w:val="center"/>
              <w:rPr>
                <w:rFonts w:ascii="Cambria" w:hAnsi="Cambria" w:cstheme="minorHAnsi"/>
                <w:sz w:val="18"/>
                <w:szCs w:val="18"/>
              </w:rPr>
            </w:pPr>
          </w:p>
        </w:tc>
        <w:tc>
          <w:tcPr>
            <w:tcW w:w="1170" w:type="dxa"/>
          </w:tcPr>
          <w:p w14:paraId="58B5CAF4" w14:textId="77777777" w:rsidR="007E31E3" w:rsidRPr="00524435" w:rsidRDefault="007E31E3" w:rsidP="00820229">
            <w:pPr>
              <w:keepNext/>
              <w:ind w:left="31"/>
              <w:jc w:val="center"/>
              <w:outlineLvl w:val="2"/>
              <w:rPr>
                <w:rFonts w:ascii="Cambria" w:hAnsi="Cambria" w:cstheme="minorHAnsi"/>
                <w:sz w:val="18"/>
                <w:szCs w:val="18"/>
              </w:rPr>
            </w:pPr>
          </w:p>
        </w:tc>
        <w:tc>
          <w:tcPr>
            <w:tcW w:w="1170" w:type="dxa"/>
          </w:tcPr>
          <w:p w14:paraId="5137D9A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66A64598"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6CF41B5D" w14:textId="77777777" w:rsidTr="00820229">
        <w:trPr>
          <w:cnfStyle w:val="000000100000" w:firstRow="0" w:lastRow="0" w:firstColumn="0" w:lastColumn="0" w:oddVBand="0" w:evenVBand="0" w:oddHBand="1" w:evenHBand="0" w:firstRowFirstColumn="0" w:firstRowLastColumn="0" w:lastRowFirstColumn="0" w:lastRowLastColumn="0"/>
          <w:trHeight w:val="756"/>
          <w:jc w:val="center"/>
        </w:trPr>
        <w:tc>
          <w:tcPr>
            <w:tcW w:w="2250" w:type="dxa"/>
          </w:tcPr>
          <w:p w14:paraId="15DC75B1" w14:textId="77777777" w:rsidR="007E31E3" w:rsidRPr="007A5442" w:rsidRDefault="007E31E3" w:rsidP="008B0732">
            <w:pPr>
              <w:numPr>
                <w:ilvl w:val="0"/>
                <w:numId w:val="18"/>
              </w:numPr>
              <w:tabs>
                <w:tab w:val="num" w:pos="341"/>
              </w:tabs>
              <w:ind w:firstLine="0"/>
              <w:jc w:val="both"/>
              <w:rPr>
                <w:rFonts w:ascii="Cambria" w:hAnsi="Cambria" w:cstheme="minorHAnsi"/>
                <w:sz w:val="18"/>
                <w:szCs w:val="18"/>
                <w:lang w:val="pt-PT"/>
              </w:rPr>
            </w:pPr>
            <w:r w:rsidRPr="007A5442">
              <w:rPr>
                <w:rFonts w:ascii="Cambria" w:hAnsi="Cambria" w:cstheme="minorHAnsi"/>
                <w:sz w:val="18"/>
                <w:szCs w:val="18"/>
                <w:lang w:val="pt-PT"/>
              </w:rPr>
              <w:t>Case 11.289, Report No. 95/03, José Pereira (Brazil)</w:t>
            </w:r>
          </w:p>
        </w:tc>
        <w:tc>
          <w:tcPr>
            <w:tcW w:w="1170" w:type="dxa"/>
            <w:vMerge w:val="restart"/>
          </w:tcPr>
          <w:p w14:paraId="459BCD0F" w14:textId="28E9C3BF" w:rsidR="007E31E3" w:rsidRPr="00524435" w:rsidRDefault="006B7403" w:rsidP="00820229">
            <w:pPr>
              <w:jc w:val="center"/>
              <w:rPr>
                <w:rFonts w:ascii="Cambria" w:hAnsi="Cambria" w:cstheme="minorHAnsi"/>
                <w:sz w:val="18"/>
                <w:szCs w:val="18"/>
              </w:rPr>
            </w:pPr>
            <w:hyperlink r:id="rId34" w:history="1">
              <w:r w:rsidR="007E31E3" w:rsidRPr="00524435">
                <w:rPr>
                  <w:rStyle w:val="Hyperlink"/>
                  <w:rFonts w:ascii="Cambria" w:hAnsi="Cambria" w:cstheme="minorHAnsi"/>
                  <w:sz w:val="18"/>
                  <w:szCs w:val="18"/>
                </w:rPr>
                <w:t>Link to  monitoring sheets on matters related to reports of friendly settlement agreements of Brazil</w:t>
              </w:r>
            </w:hyperlink>
            <w:r w:rsidR="007E31E3" w:rsidRPr="00524435">
              <w:rPr>
                <w:rFonts w:ascii="Cambria" w:hAnsi="Cambria" w:cstheme="minorHAnsi"/>
                <w:sz w:val="18"/>
                <w:szCs w:val="18"/>
              </w:rPr>
              <w:t xml:space="preserve"> </w:t>
            </w:r>
            <w:hyperlink r:id="rId35" w:history="1">
              <w:r w:rsidR="007E31E3" w:rsidRPr="00524435">
                <w:rPr>
                  <w:rStyle w:val="Hyperlink"/>
                  <w:rFonts w:ascii="Cambria" w:hAnsi="Cambria" w:cstheme="minorHAnsi"/>
                  <w:sz w:val="18"/>
                  <w:szCs w:val="18"/>
                </w:rPr>
                <w:t>that are subject to monitoring</w:t>
              </w:r>
            </w:hyperlink>
            <w:r w:rsidR="007E31E3" w:rsidRPr="00524435">
              <w:rPr>
                <w:rFonts w:ascii="Cambria" w:hAnsi="Cambria" w:cstheme="minorHAnsi"/>
                <w:sz w:val="18"/>
                <w:szCs w:val="18"/>
              </w:rPr>
              <w:t xml:space="preserve"> </w:t>
            </w:r>
          </w:p>
        </w:tc>
        <w:tc>
          <w:tcPr>
            <w:tcW w:w="1316" w:type="dxa"/>
          </w:tcPr>
          <w:p w14:paraId="0516966A" w14:textId="77777777" w:rsidR="007E31E3" w:rsidRPr="00524435" w:rsidRDefault="007E31E3" w:rsidP="00820229">
            <w:pPr>
              <w:jc w:val="center"/>
              <w:rPr>
                <w:rFonts w:ascii="Cambria" w:hAnsi="Cambria" w:cstheme="minorHAnsi"/>
                <w:sz w:val="18"/>
                <w:szCs w:val="18"/>
              </w:rPr>
            </w:pPr>
          </w:p>
        </w:tc>
        <w:tc>
          <w:tcPr>
            <w:tcW w:w="1170" w:type="dxa"/>
          </w:tcPr>
          <w:p w14:paraId="4E950B71" w14:textId="77777777" w:rsidR="007E31E3" w:rsidRPr="00524435" w:rsidRDefault="007E31E3" w:rsidP="00820229">
            <w:pPr>
              <w:ind w:firstLine="31"/>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46E4CAF6"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524B2232"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73%</w:t>
            </w:r>
          </w:p>
        </w:tc>
        <w:tc>
          <w:tcPr>
            <w:tcW w:w="1260" w:type="dxa"/>
          </w:tcPr>
          <w:p w14:paraId="276BC869"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Active</w:t>
            </w:r>
          </w:p>
        </w:tc>
      </w:tr>
      <w:tr w:rsidR="007E31E3" w:rsidRPr="00524435" w14:paraId="694DEC37" w14:textId="77777777" w:rsidTr="00820229">
        <w:trPr>
          <w:cnfStyle w:val="000000010000" w:firstRow="0" w:lastRow="0" w:firstColumn="0" w:lastColumn="0" w:oddVBand="0" w:evenVBand="0" w:oddHBand="0" w:evenHBand="1" w:firstRowFirstColumn="0" w:firstRowLastColumn="0" w:lastRowFirstColumn="0" w:lastRowLastColumn="0"/>
          <w:trHeight w:val="1449"/>
          <w:jc w:val="center"/>
        </w:trPr>
        <w:tc>
          <w:tcPr>
            <w:tcW w:w="2250" w:type="dxa"/>
          </w:tcPr>
          <w:p w14:paraId="6BCAB9F7" w14:textId="77777777" w:rsidR="007E31E3" w:rsidRPr="007A5442" w:rsidRDefault="007E31E3" w:rsidP="008B0732">
            <w:pPr>
              <w:numPr>
                <w:ilvl w:val="0"/>
                <w:numId w:val="18"/>
              </w:numPr>
              <w:tabs>
                <w:tab w:val="num" w:pos="341"/>
              </w:tabs>
              <w:ind w:firstLine="0"/>
              <w:jc w:val="both"/>
              <w:rPr>
                <w:rFonts w:ascii="Cambria" w:hAnsi="Cambria" w:cstheme="minorHAnsi"/>
                <w:sz w:val="18"/>
                <w:szCs w:val="18"/>
                <w:lang w:val="pt-PT"/>
              </w:rPr>
            </w:pPr>
            <w:r w:rsidRPr="007A5442">
              <w:rPr>
                <w:rFonts w:ascii="Cambria" w:hAnsi="Cambria" w:cstheme="minorHAnsi"/>
                <w:sz w:val="18"/>
                <w:szCs w:val="18"/>
                <w:lang w:val="pt-PT"/>
              </w:rPr>
              <w:t>Cases 12.426 and 12.427, Report No. 43/06, Raniê Silva Cruz, Eduardo Rocha da Silva and Raimundo Nonato Conceição Filho (Brazil)</w:t>
            </w:r>
            <w:r w:rsidRPr="00524435">
              <w:rPr>
                <w:rFonts w:ascii="Cambria" w:hAnsi="Cambria" w:cstheme="minorHAnsi"/>
                <w:sz w:val="18"/>
                <w:szCs w:val="18"/>
                <w:vertAlign w:val="superscript"/>
              </w:rPr>
              <w:footnoteReference w:id="42"/>
            </w:r>
          </w:p>
        </w:tc>
        <w:tc>
          <w:tcPr>
            <w:tcW w:w="1170" w:type="dxa"/>
            <w:vMerge/>
          </w:tcPr>
          <w:p w14:paraId="5B4D2A3F" w14:textId="77777777" w:rsidR="007E31E3" w:rsidRPr="007A5442" w:rsidRDefault="007E31E3" w:rsidP="00820229">
            <w:pPr>
              <w:jc w:val="center"/>
              <w:rPr>
                <w:rFonts w:ascii="Cambria" w:hAnsi="Cambria" w:cstheme="minorHAnsi"/>
                <w:sz w:val="18"/>
                <w:szCs w:val="18"/>
                <w:lang w:val="pt-PT"/>
              </w:rPr>
            </w:pPr>
          </w:p>
        </w:tc>
        <w:tc>
          <w:tcPr>
            <w:tcW w:w="1316" w:type="dxa"/>
          </w:tcPr>
          <w:p w14:paraId="3A5A93E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3FE980D4" w14:textId="77777777" w:rsidR="007E31E3" w:rsidRPr="00524435" w:rsidRDefault="007E31E3" w:rsidP="00820229">
            <w:pPr>
              <w:ind w:firstLine="31"/>
              <w:jc w:val="center"/>
              <w:rPr>
                <w:rFonts w:ascii="Cambria" w:hAnsi="Cambria" w:cstheme="minorHAnsi"/>
                <w:sz w:val="18"/>
                <w:szCs w:val="18"/>
              </w:rPr>
            </w:pPr>
          </w:p>
        </w:tc>
        <w:tc>
          <w:tcPr>
            <w:tcW w:w="1170" w:type="dxa"/>
          </w:tcPr>
          <w:p w14:paraId="7C00126A"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29CF5EB3"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1370CBFA"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6A759F56" w14:textId="77777777" w:rsidTr="00820229">
        <w:trPr>
          <w:cnfStyle w:val="000000100000" w:firstRow="0" w:lastRow="0" w:firstColumn="0" w:lastColumn="0" w:oddVBand="0" w:evenVBand="0" w:oddHBand="1" w:evenHBand="0" w:firstRowFirstColumn="0" w:firstRowLastColumn="0" w:lastRowFirstColumn="0" w:lastRowLastColumn="0"/>
          <w:trHeight w:val="999"/>
          <w:jc w:val="center"/>
        </w:trPr>
        <w:tc>
          <w:tcPr>
            <w:tcW w:w="2250" w:type="dxa"/>
          </w:tcPr>
          <w:p w14:paraId="6D6BF53C" w14:textId="77777777" w:rsidR="007E31E3" w:rsidRPr="007A5442" w:rsidRDefault="007E31E3" w:rsidP="008B0732">
            <w:pPr>
              <w:numPr>
                <w:ilvl w:val="0"/>
                <w:numId w:val="18"/>
              </w:numPr>
              <w:tabs>
                <w:tab w:val="num" w:pos="341"/>
              </w:tabs>
              <w:ind w:firstLine="0"/>
              <w:jc w:val="both"/>
              <w:rPr>
                <w:rFonts w:ascii="Cambria" w:hAnsi="Cambria" w:cstheme="minorHAnsi"/>
                <w:sz w:val="18"/>
                <w:szCs w:val="18"/>
                <w:lang w:val="pt-PT"/>
              </w:rPr>
            </w:pPr>
            <w:r w:rsidRPr="007A5442">
              <w:rPr>
                <w:rFonts w:ascii="Cambria" w:hAnsi="Cambria" w:cstheme="minorHAnsi"/>
                <w:sz w:val="18"/>
                <w:szCs w:val="18"/>
                <w:lang w:val="pt-PT"/>
              </w:rPr>
              <w:t>Case 12.674, Report No. 111/20, Marcio Lapoente Da Silveira (Brazil)</w:t>
            </w:r>
          </w:p>
        </w:tc>
        <w:tc>
          <w:tcPr>
            <w:tcW w:w="1170" w:type="dxa"/>
            <w:vMerge/>
          </w:tcPr>
          <w:p w14:paraId="61ABF748" w14:textId="77777777" w:rsidR="007E31E3" w:rsidRPr="007A5442" w:rsidRDefault="007E31E3" w:rsidP="00820229">
            <w:pPr>
              <w:jc w:val="center"/>
              <w:rPr>
                <w:rFonts w:ascii="Cambria" w:hAnsi="Cambria" w:cstheme="minorHAnsi"/>
                <w:sz w:val="18"/>
                <w:szCs w:val="18"/>
                <w:lang w:val="pt-PT"/>
              </w:rPr>
            </w:pPr>
          </w:p>
        </w:tc>
        <w:tc>
          <w:tcPr>
            <w:tcW w:w="1316" w:type="dxa"/>
          </w:tcPr>
          <w:p w14:paraId="1D3A61FF" w14:textId="77777777" w:rsidR="007E31E3" w:rsidRPr="007A5442" w:rsidRDefault="007E31E3" w:rsidP="00820229">
            <w:pPr>
              <w:jc w:val="center"/>
              <w:rPr>
                <w:rFonts w:ascii="Cambria" w:hAnsi="Cambria" w:cstheme="minorHAnsi"/>
                <w:sz w:val="18"/>
                <w:szCs w:val="18"/>
                <w:lang w:val="pt-PT"/>
              </w:rPr>
            </w:pPr>
          </w:p>
        </w:tc>
        <w:tc>
          <w:tcPr>
            <w:tcW w:w="1170" w:type="dxa"/>
          </w:tcPr>
          <w:p w14:paraId="63CE2922" w14:textId="77777777" w:rsidR="007E31E3" w:rsidRPr="00524435" w:rsidRDefault="007E31E3" w:rsidP="00820229">
            <w:pPr>
              <w:ind w:firstLine="31"/>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770CF1B6"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46A1D6B1"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75%</w:t>
            </w:r>
          </w:p>
        </w:tc>
        <w:tc>
          <w:tcPr>
            <w:tcW w:w="1260" w:type="dxa"/>
          </w:tcPr>
          <w:p w14:paraId="49B61CA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6B5072BE" w14:textId="77777777" w:rsidTr="00820229">
        <w:trPr>
          <w:cnfStyle w:val="000000010000" w:firstRow="0" w:lastRow="0" w:firstColumn="0" w:lastColumn="0" w:oddVBand="0" w:evenVBand="0" w:oddHBand="0" w:evenHBand="1" w:firstRowFirstColumn="0" w:firstRowLastColumn="0" w:lastRowFirstColumn="0" w:lastRowLastColumn="0"/>
          <w:trHeight w:val="765"/>
          <w:jc w:val="center"/>
        </w:trPr>
        <w:tc>
          <w:tcPr>
            <w:tcW w:w="2250" w:type="dxa"/>
          </w:tcPr>
          <w:p w14:paraId="3D6E8554" w14:textId="77777777" w:rsidR="007E31E3" w:rsidRPr="007A5442" w:rsidRDefault="007E31E3" w:rsidP="008B0732">
            <w:pPr>
              <w:numPr>
                <w:ilvl w:val="0"/>
                <w:numId w:val="18"/>
              </w:numPr>
              <w:tabs>
                <w:tab w:val="num" w:pos="341"/>
              </w:tabs>
              <w:ind w:firstLine="0"/>
              <w:jc w:val="both"/>
              <w:rPr>
                <w:rFonts w:ascii="Cambria" w:hAnsi="Cambria" w:cstheme="minorHAnsi"/>
                <w:sz w:val="18"/>
                <w:szCs w:val="18"/>
                <w:lang w:val="pt-PT"/>
              </w:rPr>
            </w:pPr>
            <w:r w:rsidRPr="007A5442">
              <w:rPr>
                <w:rFonts w:ascii="Cambria" w:hAnsi="Cambria" w:cstheme="minorHAnsi"/>
                <w:sz w:val="18"/>
                <w:szCs w:val="18"/>
                <w:lang w:val="pt-PT"/>
              </w:rPr>
              <w:t>Case 12.277, Report No. 136/21, Fazenda Ubá (Brazil)</w:t>
            </w:r>
          </w:p>
        </w:tc>
        <w:tc>
          <w:tcPr>
            <w:tcW w:w="1170" w:type="dxa"/>
            <w:vMerge/>
          </w:tcPr>
          <w:p w14:paraId="53FDAE3F" w14:textId="77777777" w:rsidR="007E31E3" w:rsidRPr="007A5442" w:rsidRDefault="007E31E3" w:rsidP="00820229">
            <w:pPr>
              <w:jc w:val="center"/>
              <w:rPr>
                <w:rFonts w:ascii="Cambria" w:hAnsi="Cambria" w:cstheme="minorHAnsi"/>
                <w:sz w:val="18"/>
                <w:szCs w:val="18"/>
                <w:lang w:val="pt-PT"/>
              </w:rPr>
            </w:pPr>
          </w:p>
        </w:tc>
        <w:tc>
          <w:tcPr>
            <w:tcW w:w="1316" w:type="dxa"/>
          </w:tcPr>
          <w:p w14:paraId="461292B5" w14:textId="77777777" w:rsidR="007E31E3" w:rsidRPr="007A5442" w:rsidRDefault="007E31E3" w:rsidP="00820229">
            <w:pPr>
              <w:jc w:val="center"/>
              <w:rPr>
                <w:rFonts w:ascii="Cambria" w:hAnsi="Cambria" w:cstheme="minorHAnsi"/>
                <w:sz w:val="18"/>
                <w:szCs w:val="18"/>
                <w:lang w:val="pt-PT"/>
              </w:rPr>
            </w:pPr>
          </w:p>
        </w:tc>
        <w:tc>
          <w:tcPr>
            <w:tcW w:w="1170" w:type="dxa"/>
          </w:tcPr>
          <w:p w14:paraId="51931234" w14:textId="77777777" w:rsidR="007E31E3" w:rsidRPr="00524435" w:rsidRDefault="007E31E3" w:rsidP="00820229">
            <w:pPr>
              <w:ind w:firstLine="31"/>
              <w:jc w:val="center"/>
              <w:rPr>
                <w:rFonts w:ascii="Cambria" w:hAnsi="Cambria" w:cstheme="minorHAnsi"/>
                <w:sz w:val="18"/>
                <w:szCs w:val="18"/>
              </w:rPr>
            </w:pPr>
            <w:r w:rsidRPr="00524435">
              <w:rPr>
                <w:rFonts w:ascii="Cambria" w:hAnsi="Cambria" w:cs="Arial"/>
                <w:sz w:val="18"/>
                <w:szCs w:val="18"/>
                <w:lang w:eastAsia="es-ES_tradnl"/>
              </w:rPr>
              <w:t>X</w:t>
            </w:r>
          </w:p>
        </w:tc>
        <w:tc>
          <w:tcPr>
            <w:tcW w:w="1170" w:type="dxa"/>
          </w:tcPr>
          <w:p w14:paraId="122E36AD"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11F43FE6" w14:textId="77777777" w:rsidR="007E31E3" w:rsidRPr="00524435" w:rsidRDefault="007E31E3" w:rsidP="00820229">
            <w:pPr>
              <w:jc w:val="center"/>
              <w:rPr>
                <w:rFonts w:ascii="Cambria" w:hAnsi="Cambria" w:cstheme="minorHAnsi"/>
                <w:sz w:val="18"/>
                <w:szCs w:val="18"/>
              </w:rPr>
            </w:pPr>
            <w:r w:rsidRPr="00524435">
              <w:rPr>
                <w:rFonts w:ascii="Cambria" w:hAnsi="Cambria" w:cs="Arial"/>
                <w:sz w:val="18"/>
                <w:szCs w:val="18"/>
              </w:rPr>
              <w:t>44%</w:t>
            </w:r>
          </w:p>
        </w:tc>
        <w:tc>
          <w:tcPr>
            <w:tcW w:w="1260" w:type="dxa"/>
          </w:tcPr>
          <w:p w14:paraId="6244251B" w14:textId="77777777" w:rsidR="007E31E3" w:rsidRPr="00524435" w:rsidRDefault="007E31E3" w:rsidP="00820229">
            <w:pPr>
              <w:jc w:val="center"/>
              <w:rPr>
                <w:rFonts w:ascii="Cambria" w:hAnsi="Cambria" w:cstheme="minorHAnsi"/>
                <w:sz w:val="18"/>
                <w:szCs w:val="18"/>
              </w:rPr>
            </w:pPr>
            <w:r w:rsidRPr="00524435">
              <w:rPr>
                <w:rFonts w:ascii="Cambria" w:hAnsi="Cambria" w:cs="Arial"/>
                <w:sz w:val="18"/>
                <w:szCs w:val="18"/>
              </w:rPr>
              <w:t>Active</w:t>
            </w:r>
          </w:p>
        </w:tc>
      </w:tr>
      <w:tr w:rsidR="007E31E3" w:rsidRPr="00524435" w14:paraId="13BF7B9C" w14:textId="77777777" w:rsidTr="00820229">
        <w:trPr>
          <w:cnfStyle w:val="000000100000" w:firstRow="0" w:lastRow="0" w:firstColumn="0" w:lastColumn="0" w:oddVBand="0" w:evenVBand="0" w:oddHBand="1" w:evenHBand="0" w:firstRowFirstColumn="0" w:firstRowLastColumn="0" w:lastRowFirstColumn="0" w:lastRowLastColumn="0"/>
          <w:trHeight w:val="954"/>
          <w:jc w:val="center"/>
        </w:trPr>
        <w:tc>
          <w:tcPr>
            <w:tcW w:w="2250" w:type="dxa"/>
          </w:tcPr>
          <w:p w14:paraId="084EDF7C" w14:textId="77777777" w:rsidR="007E31E3" w:rsidRPr="00524435" w:rsidRDefault="007E31E3" w:rsidP="008B0732">
            <w:pPr>
              <w:numPr>
                <w:ilvl w:val="0"/>
                <w:numId w:val="18"/>
              </w:numPr>
              <w:tabs>
                <w:tab w:val="num" w:pos="341"/>
              </w:tabs>
              <w:ind w:firstLine="0"/>
              <w:jc w:val="both"/>
              <w:rPr>
                <w:rFonts w:ascii="Cambria" w:hAnsi="Cambria" w:cstheme="minorHAnsi"/>
                <w:sz w:val="18"/>
                <w:szCs w:val="18"/>
              </w:rPr>
            </w:pPr>
            <w:r w:rsidRPr="00E42B49">
              <w:rPr>
                <w:rFonts w:ascii="Cambria" w:hAnsi="Cambria" w:cstheme="minorHAnsi"/>
                <w:sz w:val="18"/>
                <w:szCs w:val="18"/>
                <w:lang w:val="es-US"/>
              </w:rPr>
              <w:t xml:space="preserve">Case 11.715,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32/02, Juan Manuel Contreras San Martín et al. </w:t>
            </w:r>
            <w:r w:rsidRPr="00524435">
              <w:rPr>
                <w:rFonts w:ascii="Cambria" w:hAnsi="Cambria" w:cstheme="minorHAnsi"/>
                <w:sz w:val="18"/>
                <w:szCs w:val="18"/>
              </w:rPr>
              <w:t>(Chile)</w:t>
            </w:r>
            <w:r w:rsidRPr="00524435">
              <w:rPr>
                <w:rFonts w:ascii="Cambria" w:hAnsi="Cambria" w:cstheme="minorHAnsi"/>
                <w:sz w:val="18"/>
                <w:szCs w:val="18"/>
                <w:vertAlign w:val="superscript"/>
              </w:rPr>
              <w:footnoteReference w:id="43"/>
            </w:r>
          </w:p>
        </w:tc>
        <w:tc>
          <w:tcPr>
            <w:tcW w:w="1170" w:type="dxa"/>
            <w:vMerge w:val="restart"/>
            <w:shd w:val="clear" w:color="auto" w:fill="BFBFBF" w:themeFill="background1" w:themeFillShade="BF"/>
          </w:tcPr>
          <w:p w14:paraId="54E04048" w14:textId="4E8461F2" w:rsidR="007E31E3" w:rsidRPr="00524435" w:rsidRDefault="006B7403" w:rsidP="00820229">
            <w:pPr>
              <w:jc w:val="center"/>
              <w:rPr>
                <w:rFonts w:ascii="Cambria" w:hAnsi="Cambria" w:cstheme="minorHAnsi"/>
                <w:sz w:val="18"/>
                <w:szCs w:val="18"/>
              </w:rPr>
            </w:pPr>
            <w:hyperlink r:id="rId36" w:history="1">
              <w:r w:rsidR="007E31E3" w:rsidRPr="00524435">
                <w:rPr>
                  <w:rStyle w:val="Hyperlink"/>
                  <w:rFonts w:ascii="Cambria" w:hAnsi="Cambria" w:cstheme="minorHAnsi"/>
                  <w:sz w:val="18"/>
                  <w:szCs w:val="18"/>
                </w:rPr>
                <w:t>Link to monitoring sheets on matters related to reports of friendly settlement agreements of Chile that are subject to monitoring</w:t>
              </w:r>
            </w:hyperlink>
            <w:r w:rsidR="007E31E3" w:rsidRPr="00524435">
              <w:rPr>
                <w:rFonts w:ascii="Cambria" w:hAnsi="Cambria" w:cstheme="minorHAnsi"/>
                <w:sz w:val="18"/>
                <w:szCs w:val="18"/>
              </w:rPr>
              <w:t xml:space="preserve"> </w:t>
            </w:r>
          </w:p>
          <w:p w14:paraId="3A0EF8C0" w14:textId="77777777" w:rsidR="007E31E3" w:rsidRPr="00524435" w:rsidRDefault="007E31E3" w:rsidP="00820229">
            <w:pPr>
              <w:rPr>
                <w:rFonts w:ascii="Cambria" w:hAnsi="Cambria" w:cstheme="minorHAnsi"/>
                <w:sz w:val="18"/>
                <w:szCs w:val="18"/>
              </w:rPr>
            </w:pPr>
          </w:p>
          <w:p w14:paraId="6B69BB7C" w14:textId="77777777" w:rsidR="007E31E3" w:rsidRPr="00524435" w:rsidRDefault="007E31E3" w:rsidP="00820229">
            <w:pPr>
              <w:rPr>
                <w:rFonts w:ascii="Cambria" w:hAnsi="Cambria" w:cstheme="minorHAnsi"/>
                <w:sz w:val="18"/>
                <w:szCs w:val="18"/>
              </w:rPr>
            </w:pPr>
          </w:p>
          <w:p w14:paraId="524A66CD" w14:textId="77777777" w:rsidR="007E31E3" w:rsidRPr="00524435" w:rsidRDefault="007E31E3" w:rsidP="00820229">
            <w:pPr>
              <w:jc w:val="center"/>
              <w:rPr>
                <w:rFonts w:ascii="Cambria" w:hAnsi="Cambria" w:cstheme="minorHAnsi"/>
                <w:sz w:val="18"/>
                <w:szCs w:val="18"/>
              </w:rPr>
            </w:pPr>
          </w:p>
        </w:tc>
        <w:tc>
          <w:tcPr>
            <w:tcW w:w="1316" w:type="dxa"/>
          </w:tcPr>
          <w:p w14:paraId="0B56AFE6"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17A6D3D6" w14:textId="77777777" w:rsidR="007E31E3" w:rsidRPr="00524435" w:rsidRDefault="007E31E3" w:rsidP="00820229">
            <w:pPr>
              <w:ind w:firstLine="31"/>
              <w:jc w:val="center"/>
              <w:rPr>
                <w:rFonts w:ascii="Cambria" w:hAnsi="Cambria" w:cstheme="minorHAnsi"/>
                <w:sz w:val="18"/>
                <w:szCs w:val="18"/>
              </w:rPr>
            </w:pPr>
          </w:p>
        </w:tc>
        <w:tc>
          <w:tcPr>
            <w:tcW w:w="1170" w:type="dxa"/>
          </w:tcPr>
          <w:p w14:paraId="761984F1"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4C0E0756"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513C5CC3"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289D2962" w14:textId="77777777" w:rsidTr="00820229">
        <w:trPr>
          <w:cnfStyle w:val="000000010000" w:firstRow="0" w:lastRow="0" w:firstColumn="0" w:lastColumn="0" w:oddVBand="0" w:evenVBand="0" w:oddHBand="0" w:evenHBand="1" w:firstRowFirstColumn="0" w:firstRowLastColumn="0" w:lastRowFirstColumn="0" w:lastRowLastColumn="0"/>
          <w:trHeight w:val="945"/>
          <w:jc w:val="center"/>
        </w:trPr>
        <w:tc>
          <w:tcPr>
            <w:tcW w:w="2250" w:type="dxa"/>
          </w:tcPr>
          <w:p w14:paraId="33F5D030" w14:textId="77777777" w:rsidR="007E31E3" w:rsidRPr="00E42B49" w:rsidRDefault="007E31E3" w:rsidP="008B0732">
            <w:pPr>
              <w:numPr>
                <w:ilvl w:val="0"/>
                <w:numId w:val="18"/>
              </w:numPr>
              <w:tabs>
                <w:tab w:val="num" w:pos="341"/>
              </w:tabs>
              <w:ind w:firstLine="0"/>
              <w:jc w:val="both"/>
              <w:rPr>
                <w:rFonts w:ascii="Cambria" w:hAnsi="Cambria" w:cstheme="minorHAnsi"/>
                <w:sz w:val="18"/>
                <w:szCs w:val="18"/>
                <w:lang w:val="es-US"/>
              </w:rPr>
            </w:pPr>
            <w:r w:rsidRPr="00E42B49">
              <w:rPr>
                <w:rFonts w:ascii="Cambria" w:hAnsi="Cambria" w:cstheme="minorHAnsi"/>
                <w:sz w:val="18"/>
                <w:szCs w:val="18"/>
                <w:lang w:val="es-US"/>
              </w:rPr>
              <w:t xml:space="preserve">Case 12.046,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33/02, Mónica Carabantes Galleguillos (Chile)</w:t>
            </w:r>
            <w:r w:rsidRPr="00524435">
              <w:rPr>
                <w:rFonts w:ascii="Cambria" w:hAnsi="Cambria" w:cstheme="minorHAnsi"/>
                <w:sz w:val="18"/>
                <w:szCs w:val="18"/>
                <w:vertAlign w:val="superscript"/>
              </w:rPr>
              <w:footnoteReference w:id="44"/>
            </w:r>
          </w:p>
        </w:tc>
        <w:tc>
          <w:tcPr>
            <w:tcW w:w="1170" w:type="dxa"/>
            <w:vMerge/>
            <w:shd w:val="clear" w:color="auto" w:fill="BFBFBF" w:themeFill="background1" w:themeFillShade="BF"/>
          </w:tcPr>
          <w:p w14:paraId="784083F9" w14:textId="77777777" w:rsidR="007E31E3" w:rsidRPr="00E42B49" w:rsidRDefault="007E31E3" w:rsidP="00820229">
            <w:pPr>
              <w:jc w:val="center"/>
              <w:rPr>
                <w:rFonts w:ascii="Cambria" w:hAnsi="Cambria" w:cstheme="minorHAnsi"/>
                <w:sz w:val="18"/>
                <w:szCs w:val="18"/>
                <w:lang w:val="es-US"/>
              </w:rPr>
            </w:pPr>
          </w:p>
        </w:tc>
        <w:tc>
          <w:tcPr>
            <w:tcW w:w="1316" w:type="dxa"/>
          </w:tcPr>
          <w:p w14:paraId="5E13CCA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38A03EB3" w14:textId="77777777" w:rsidR="007E31E3" w:rsidRPr="00524435" w:rsidRDefault="007E31E3" w:rsidP="00820229">
            <w:pPr>
              <w:ind w:firstLine="31"/>
              <w:jc w:val="center"/>
              <w:rPr>
                <w:rFonts w:ascii="Cambria" w:hAnsi="Cambria" w:cstheme="minorHAnsi"/>
                <w:sz w:val="18"/>
                <w:szCs w:val="18"/>
              </w:rPr>
            </w:pPr>
          </w:p>
        </w:tc>
        <w:tc>
          <w:tcPr>
            <w:tcW w:w="1170" w:type="dxa"/>
          </w:tcPr>
          <w:p w14:paraId="76922CCB"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60CD6AC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4386E21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6D519936" w14:textId="77777777" w:rsidTr="00820229">
        <w:trPr>
          <w:cnfStyle w:val="000000100000" w:firstRow="0" w:lastRow="0" w:firstColumn="0" w:lastColumn="0" w:oddVBand="0" w:evenVBand="0" w:oddHBand="1" w:evenHBand="0" w:firstRowFirstColumn="0" w:firstRowLastColumn="0" w:lastRowFirstColumn="0" w:lastRowLastColumn="0"/>
          <w:trHeight w:val="1134"/>
          <w:jc w:val="center"/>
        </w:trPr>
        <w:tc>
          <w:tcPr>
            <w:tcW w:w="2250" w:type="dxa"/>
          </w:tcPr>
          <w:p w14:paraId="30496CF1" w14:textId="77777777" w:rsidR="007E31E3" w:rsidRPr="00524435" w:rsidRDefault="007E31E3" w:rsidP="008B0732">
            <w:pPr>
              <w:numPr>
                <w:ilvl w:val="0"/>
                <w:numId w:val="18"/>
              </w:numPr>
              <w:tabs>
                <w:tab w:val="num" w:pos="341"/>
              </w:tabs>
              <w:ind w:firstLine="0"/>
              <w:jc w:val="both"/>
              <w:rPr>
                <w:rFonts w:ascii="Cambria" w:hAnsi="Cambria" w:cstheme="minorHAnsi"/>
                <w:sz w:val="18"/>
                <w:szCs w:val="18"/>
              </w:rPr>
            </w:pPr>
            <w:proofErr w:type="spellStart"/>
            <w:r w:rsidRPr="00E42B49">
              <w:rPr>
                <w:rFonts w:ascii="Cambria" w:hAnsi="Cambria" w:cstheme="minorHAnsi"/>
                <w:sz w:val="18"/>
                <w:szCs w:val="18"/>
                <w:lang w:val="es-US"/>
              </w:rPr>
              <w:t>Petition</w:t>
            </w:r>
            <w:proofErr w:type="spellEnd"/>
            <w:r w:rsidRPr="00E42B49">
              <w:rPr>
                <w:rFonts w:ascii="Cambria" w:hAnsi="Cambria" w:cstheme="minorHAnsi"/>
                <w:sz w:val="18"/>
                <w:szCs w:val="18"/>
                <w:lang w:val="es-US"/>
              </w:rPr>
              <w:t xml:space="preserve"> 4617/02,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30/04, Mercedes Julia Huenteao </w:t>
            </w:r>
            <w:proofErr w:type="spellStart"/>
            <w:r w:rsidRPr="00E42B49">
              <w:rPr>
                <w:rFonts w:ascii="Cambria" w:hAnsi="Cambria" w:cstheme="minorHAnsi"/>
                <w:sz w:val="18"/>
                <w:szCs w:val="18"/>
                <w:lang w:val="es-US"/>
              </w:rPr>
              <w:t>Beroiza</w:t>
            </w:r>
            <w:proofErr w:type="spellEnd"/>
            <w:r w:rsidRPr="00E42B49">
              <w:rPr>
                <w:rFonts w:ascii="Cambria" w:hAnsi="Cambria" w:cstheme="minorHAnsi"/>
                <w:sz w:val="18"/>
                <w:szCs w:val="18"/>
                <w:lang w:val="es-US"/>
              </w:rPr>
              <w:t xml:space="preserve"> et al. </w:t>
            </w:r>
            <w:r w:rsidRPr="00524435">
              <w:rPr>
                <w:rFonts w:ascii="Cambria" w:hAnsi="Cambria" w:cstheme="minorHAnsi"/>
                <w:sz w:val="18"/>
                <w:szCs w:val="18"/>
              </w:rPr>
              <w:t>(Chile)</w:t>
            </w:r>
          </w:p>
        </w:tc>
        <w:tc>
          <w:tcPr>
            <w:tcW w:w="1170" w:type="dxa"/>
            <w:vMerge/>
            <w:shd w:val="clear" w:color="auto" w:fill="BFBFBF" w:themeFill="background1" w:themeFillShade="BF"/>
          </w:tcPr>
          <w:p w14:paraId="0BE53950" w14:textId="77777777" w:rsidR="007E31E3" w:rsidRPr="00524435" w:rsidRDefault="007E31E3" w:rsidP="00820229">
            <w:pPr>
              <w:jc w:val="center"/>
              <w:rPr>
                <w:rFonts w:ascii="Cambria" w:hAnsi="Cambria" w:cstheme="minorHAnsi"/>
                <w:sz w:val="18"/>
                <w:szCs w:val="18"/>
              </w:rPr>
            </w:pPr>
          </w:p>
        </w:tc>
        <w:tc>
          <w:tcPr>
            <w:tcW w:w="1316" w:type="dxa"/>
          </w:tcPr>
          <w:p w14:paraId="73D46AC8" w14:textId="77777777" w:rsidR="007E31E3" w:rsidRPr="00524435" w:rsidRDefault="007E31E3" w:rsidP="00820229">
            <w:pPr>
              <w:jc w:val="center"/>
              <w:rPr>
                <w:rFonts w:ascii="Cambria" w:hAnsi="Cambria" w:cstheme="minorHAnsi"/>
                <w:sz w:val="18"/>
                <w:szCs w:val="18"/>
              </w:rPr>
            </w:pPr>
          </w:p>
        </w:tc>
        <w:tc>
          <w:tcPr>
            <w:tcW w:w="1170" w:type="dxa"/>
          </w:tcPr>
          <w:p w14:paraId="371167C1" w14:textId="77777777" w:rsidR="007E31E3" w:rsidRPr="00524435" w:rsidRDefault="007E31E3" w:rsidP="00820229">
            <w:pPr>
              <w:ind w:firstLine="31"/>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31C61C93"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1842F57E"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33%</w:t>
            </w:r>
          </w:p>
        </w:tc>
        <w:tc>
          <w:tcPr>
            <w:tcW w:w="1260" w:type="dxa"/>
          </w:tcPr>
          <w:p w14:paraId="5BD09E31"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Active</w:t>
            </w:r>
          </w:p>
        </w:tc>
      </w:tr>
      <w:tr w:rsidR="007E31E3" w:rsidRPr="00524435" w14:paraId="5D6B5F61" w14:textId="77777777" w:rsidTr="00820229">
        <w:trPr>
          <w:cnfStyle w:val="000000010000" w:firstRow="0" w:lastRow="0" w:firstColumn="0" w:lastColumn="0" w:oddVBand="0" w:evenVBand="0" w:oddHBand="0" w:evenHBand="1" w:firstRowFirstColumn="0" w:firstRowLastColumn="0" w:lastRowFirstColumn="0" w:lastRowLastColumn="0"/>
          <w:trHeight w:val="936"/>
          <w:jc w:val="center"/>
        </w:trPr>
        <w:tc>
          <w:tcPr>
            <w:tcW w:w="2250" w:type="dxa"/>
          </w:tcPr>
          <w:p w14:paraId="6E6F9D88" w14:textId="77777777" w:rsidR="007E31E3" w:rsidRPr="00524435" w:rsidRDefault="007E31E3" w:rsidP="008B0732">
            <w:pPr>
              <w:numPr>
                <w:ilvl w:val="0"/>
                <w:numId w:val="18"/>
              </w:numPr>
              <w:tabs>
                <w:tab w:val="num" w:pos="341"/>
              </w:tabs>
              <w:ind w:firstLine="0"/>
              <w:jc w:val="both"/>
              <w:rPr>
                <w:rFonts w:ascii="Cambria" w:hAnsi="Cambria" w:cstheme="minorHAnsi"/>
                <w:sz w:val="18"/>
                <w:szCs w:val="18"/>
              </w:rPr>
            </w:pPr>
            <w:r w:rsidRPr="00524435">
              <w:rPr>
                <w:rFonts w:ascii="Cambria" w:hAnsi="Cambria" w:cstheme="minorHAnsi"/>
                <w:sz w:val="18"/>
                <w:szCs w:val="18"/>
              </w:rPr>
              <w:t>Case 12.337, Report No. 80/09, Marcela Andrea Valdés Díaz (Chile)</w:t>
            </w:r>
            <w:r w:rsidRPr="00524435">
              <w:rPr>
                <w:rFonts w:ascii="Cambria" w:hAnsi="Cambria" w:cstheme="minorHAnsi"/>
                <w:sz w:val="18"/>
                <w:szCs w:val="18"/>
                <w:vertAlign w:val="superscript"/>
              </w:rPr>
              <w:footnoteReference w:id="45"/>
            </w:r>
          </w:p>
        </w:tc>
        <w:tc>
          <w:tcPr>
            <w:tcW w:w="1170" w:type="dxa"/>
            <w:vMerge/>
            <w:shd w:val="clear" w:color="auto" w:fill="BFBFBF" w:themeFill="background1" w:themeFillShade="BF"/>
          </w:tcPr>
          <w:p w14:paraId="4AFB606B" w14:textId="77777777" w:rsidR="007E31E3" w:rsidRPr="00524435" w:rsidRDefault="007E31E3" w:rsidP="00820229">
            <w:pPr>
              <w:jc w:val="center"/>
              <w:rPr>
                <w:rFonts w:ascii="Cambria" w:hAnsi="Cambria" w:cstheme="minorHAnsi"/>
                <w:sz w:val="18"/>
                <w:szCs w:val="18"/>
              </w:rPr>
            </w:pPr>
          </w:p>
        </w:tc>
        <w:tc>
          <w:tcPr>
            <w:tcW w:w="1316" w:type="dxa"/>
          </w:tcPr>
          <w:p w14:paraId="28AEC602"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53EF0C19" w14:textId="77777777" w:rsidR="007E31E3" w:rsidRPr="00524435" w:rsidRDefault="007E31E3" w:rsidP="00820229">
            <w:pPr>
              <w:ind w:firstLine="121"/>
              <w:jc w:val="center"/>
              <w:rPr>
                <w:rFonts w:ascii="Cambria" w:hAnsi="Cambria" w:cstheme="minorHAnsi"/>
                <w:sz w:val="18"/>
                <w:szCs w:val="18"/>
              </w:rPr>
            </w:pPr>
          </w:p>
        </w:tc>
        <w:tc>
          <w:tcPr>
            <w:tcW w:w="1170" w:type="dxa"/>
          </w:tcPr>
          <w:p w14:paraId="14AFFEF7"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3ED5021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0CBD8386"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7CDA0DF8" w14:textId="77777777" w:rsidTr="00820229">
        <w:trPr>
          <w:cnfStyle w:val="000000100000" w:firstRow="0" w:lastRow="0" w:firstColumn="0" w:lastColumn="0" w:oddVBand="0" w:evenVBand="0" w:oddHBand="1" w:evenHBand="0" w:firstRowFirstColumn="0" w:firstRowLastColumn="0" w:lastRowFirstColumn="0" w:lastRowLastColumn="0"/>
          <w:trHeight w:val="675"/>
          <w:jc w:val="center"/>
        </w:trPr>
        <w:tc>
          <w:tcPr>
            <w:tcW w:w="2250" w:type="dxa"/>
          </w:tcPr>
          <w:p w14:paraId="7B36F2D0" w14:textId="77777777" w:rsidR="007E31E3" w:rsidRPr="00524435" w:rsidRDefault="007E31E3" w:rsidP="008B0732">
            <w:pPr>
              <w:numPr>
                <w:ilvl w:val="0"/>
                <w:numId w:val="18"/>
              </w:numPr>
              <w:tabs>
                <w:tab w:val="num" w:pos="341"/>
              </w:tabs>
              <w:ind w:firstLine="0"/>
              <w:jc w:val="both"/>
              <w:rPr>
                <w:rFonts w:ascii="Cambria" w:hAnsi="Cambria" w:cstheme="minorHAnsi"/>
                <w:sz w:val="18"/>
                <w:szCs w:val="18"/>
              </w:rPr>
            </w:pPr>
            <w:r w:rsidRPr="00524435">
              <w:rPr>
                <w:rFonts w:ascii="Cambria" w:hAnsi="Cambria" w:cstheme="minorHAnsi"/>
                <w:sz w:val="18"/>
                <w:szCs w:val="18"/>
              </w:rPr>
              <w:t>Petition 490-03, Report No. 81/09 "X" (Chile)</w:t>
            </w:r>
            <w:r w:rsidRPr="00524435">
              <w:rPr>
                <w:rFonts w:ascii="Cambria" w:hAnsi="Cambria" w:cstheme="minorHAnsi"/>
                <w:sz w:val="18"/>
                <w:szCs w:val="18"/>
                <w:vertAlign w:val="superscript"/>
              </w:rPr>
              <w:footnoteReference w:id="46"/>
            </w:r>
          </w:p>
        </w:tc>
        <w:tc>
          <w:tcPr>
            <w:tcW w:w="1170" w:type="dxa"/>
            <w:vMerge/>
            <w:shd w:val="clear" w:color="auto" w:fill="BFBFBF" w:themeFill="background1" w:themeFillShade="BF"/>
          </w:tcPr>
          <w:p w14:paraId="060E08F5" w14:textId="77777777" w:rsidR="007E31E3" w:rsidRPr="00524435" w:rsidRDefault="007E31E3" w:rsidP="00820229">
            <w:pPr>
              <w:jc w:val="center"/>
              <w:rPr>
                <w:rFonts w:ascii="Cambria" w:hAnsi="Cambria" w:cstheme="minorHAnsi"/>
                <w:sz w:val="18"/>
                <w:szCs w:val="18"/>
              </w:rPr>
            </w:pPr>
          </w:p>
        </w:tc>
        <w:tc>
          <w:tcPr>
            <w:tcW w:w="1316" w:type="dxa"/>
          </w:tcPr>
          <w:p w14:paraId="637A47FD"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65289C76" w14:textId="77777777" w:rsidR="007E31E3" w:rsidRPr="00524435" w:rsidRDefault="007E31E3" w:rsidP="00820229">
            <w:pPr>
              <w:ind w:firstLine="121"/>
              <w:jc w:val="center"/>
              <w:rPr>
                <w:rFonts w:ascii="Cambria" w:hAnsi="Cambria" w:cstheme="minorHAnsi"/>
                <w:sz w:val="18"/>
                <w:szCs w:val="18"/>
              </w:rPr>
            </w:pPr>
          </w:p>
        </w:tc>
        <w:tc>
          <w:tcPr>
            <w:tcW w:w="1170" w:type="dxa"/>
          </w:tcPr>
          <w:p w14:paraId="620735C1"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49A6139D"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034B5A76"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354A4293" w14:textId="77777777" w:rsidTr="00820229">
        <w:trPr>
          <w:cnfStyle w:val="000000010000" w:firstRow="0" w:lastRow="0" w:firstColumn="0" w:lastColumn="0" w:oddVBand="0" w:evenVBand="0" w:oddHBand="0" w:evenHBand="1" w:firstRowFirstColumn="0" w:firstRowLastColumn="0" w:lastRowFirstColumn="0" w:lastRowLastColumn="0"/>
          <w:trHeight w:val="954"/>
          <w:jc w:val="center"/>
        </w:trPr>
        <w:tc>
          <w:tcPr>
            <w:tcW w:w="2250" w:type="dxa"/>
          </w:tcPr>
          <w:p w14:paraId="5456F0A2" w14:textId="77777777" w:rsidR="007E31E3" w:rsidRPr="00524435" w:rsidRDefault="007E31E3" w:rsidP="008B0732">
            <w:pPr>
              <w:numPr>
                <w:ilvl w:val="0"/>
                <w:numId w:val="18"/>
              </w:numPr>
              <w:tabs>
                <w:tab w:val="num" w:pos="341"/>
              </w:tabs>
              <w:ind w:firstLine="0"/>
              <w:jc w:val="both"/>
              <w:rPr>
                <w:rFonts w:ascii="Cambria" w:hAnsi="Cambria" w:cstheme="minorHAnsi"/>
                <w:sz w:val="18"/>
                <w:szCs w:val="18"/>
              </w:rPr>
            </w:pPr>
            <w:r w:rsidRPr="00E42B49">
              <w:rPr>
                <w:rFonts w:ascii="Cambria" w:hAnsi="Cambria" w:cstheme="minorHAnsi"/>
                <w:sz w:val="18"/>
                <w:szCs w:val="18"/>
                <w:lang w:val="es-US"/>
              </w:rPr>
              <w:lastRenderedPageBreak/>
              <w:t xml:space="preserve">Case 12.281,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162/10, Gilda Rosario Pizarro et al. </w:t>
            </w:r>
            <w:r w:rsidRPr="00524435">
              <w:rPr>
                <w:rFonts w:ascii="Cambria" w:hAnsi="Cambria" w:cstheme="minorHAnsi"/>
                <w:sz w:val="18"/>
                <w:szCs w:val="18"/>
              </w:rPr>
              <w:t>(Chile)</w:t>
            </w:r>
            <w:r w:rsidRPr="00524435">
              <w:rPr>
                <w:rFonts w:ascii="Cambria" w:hAnsi="Cambria" w:cstheme="minorHAnsi"/>
                <w:sz w:val="18"/>
                <w:szCs w:val="18"/>
                <w:vertAlign w:val="superscript"/>
              </w:rPr>
              <w:footnoteReference w:id="47"/>
            </w:r>
          </w:p>
        </w:tc>
        <w:tc>
          <w:tcPr>
            <w:tcW w:w="1170" w:type="dxa"/>
            <w:vMerge/>
            <w:shd w:val="clear" w:color="auto" w:fill="BFBFBF" w:themeFill="background1" w:themeFillShade="BF"/>
          </w:tcPr>
          <w:p w14:paraId="265A6C44" w14:textId="77777777" w:rsidR="007E31E3" w:rsidRPr="00524435" w:rsidRDefault="007E31E3" w:rsidP="00820229">
            <w:pPr>
              <w:jc w:val="center"/>
              <w:rPr>
                <w:rFonts w:ascii="Cambria" w:hAnsi="Cambria" w:cstheme="minorHAnsi"/>
                <w:sz w:val="18"/>
                <w:szCs w:val="18"/>
              </w:rPr>
            </w:pPr>
          </w:p>
        </w:tc>
        <w:tc>
          <w:tcPr>
            <w:tcW w:w="1316" w:type="dxa"/>
          </w:tcPr>
          <w:p w14:paraId="75F83861"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4E97CC9C" w14:textId="77777777" w:rsidR="007E31E3" w:rsidRPr="00524435" w:rsidRDefault="007E31E3" w:rsidP="00820229">
            <w:pPr>
              <w:ind w:firstLine="121"/>
              <w:jc w:val="center"/>
              <w:rPr>
                <w:rFonts w:ascii="Cambria" w:hAnsi="Cambria" w:cstheme="minorHAnsi"/>
                <w:sz w:val="18"/>
                <w:szCs w:val="18"/>
              </w:rPr>
            </w:pPr>
          </w:p>
        </w:tc>
        <w:tc>
          <w:tcPr>
            <w:tcW w:w="1170" w:type="dxa"/>
          </w:tcPr>
          <w:p w14:paraId="309161C0"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545FDDDD"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7CCF3C53"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109B4C6D" w14:textId="77777777" w:rsidTr="00820229">
        <w:trPr>
          <w:cnfStyle w:val="000000100000" w:firstRow="0" w:lastRow="0" w:firstColumn="0" w:lastColumn="0" w:oddVBand="0" w:evenVBand="0" w:oddHBand="1" w:evenHBand="0" w:firstRowFirstColumn="0" w:firstRowLastColumn="0" w:lastRowFirstColumn="0" w:lastRowLastColumn="0"/>
          <w:trHeight w:val="1026"/>
          <w:jc w:val="center"/>
        </w:trPr>
        <w:tc>
          <w:tcPr>
            <w:tcW w:w="2250" w:type="dxa"/>
          </w:tcPr>
          <w:p w14:paraId="7CE8D625" w14:textId="77777777" w:rsidR="007E31E3" w:rsidRPr="00524435" w:rsidRDefault="007E31E3" w:rsidP="008B0732">
            <w:pPr>
              <w:numPr>
                <w:ilvl w:val="0"/>
                <w:numId w:val="18"/>
              </w:numPr>
              <w:tabs>
                <w:tab w:val="num" w:pos="341"/>
              </w:tabs>
              <w:ind w:firstLine="0"/>
              <w:jc w:val="both"/>
              <w:rPr>
                <w:rFonts w:ascii="Cambria" w:hAnsi="Cambria" w:cstheme="minorHAnsi"/>
                <w:sz w:val="18"/>
                <w:szCs w:val="18"/>
              </w:rPr>
            </w:pPr>
            <w:r w:rsidRPr="00524435">
              <w:rPr>
                <w:rFonts w:ascii="Cambria" w:hAnsi="Cambria" w:cstheme="minorHAnsi"/>
                <w:sz w:val="18"/>
                <w:szCs w:val="18"/>
              </w:rPr>
              <w:t xml:space="preserve">Case 12.195, Report No. 163/10, Mario Alberto </w:t>
            </w:r>
            <w:proofErr w:type="spellStart"/>
            <w:r w:rsidRPr="00524435">
              <w:rPr>
                <w:rFonts w:ascii="Cambria" w:hAnsi="Cambria" w:cstheme="minorHAnsi"/>
                <w:sz w:val="18"/>
                <w:szCs w:val="18"/>
              </w:rPr>
              <w:t>Jara</w:t>
            </w:r>
            <w:proofErr w:type="spellEnd"/>
            <w:r w:rsidRPr="00524435">
              <w:rPr>
                <w:rFonts w:ascii="Cambria" w:hAnsi="Cambria" w:cstheme="minorHAnsi"/>
                <w:sz w:val="18"/>
                <w:szCs w:val="18"/>
              </w:rPr>
              <w:t xml:space="preserve"> </w:t>
            </w:r>
            <w:proofErr w:type="spellStart"/>
            <w:r w:rsidRPr="00524435">
              <w:rPr>
                <w:rFonts w:ascii="Cambria" w:hAnsi="Cambria" w:cstheme="minorHAnsi"/>
                <w:sz w:val="18"/>
                <w:szCs w:val="18"/>
              </w:rPr>
              <w:t>Oñate</w:t>
            </w:r>
            <w:proofErr w:type="spellEnd"/>
            <w:r w:rsidRPr="00524435">
              <w:rPr>
                <w:rFonts w:ascii="Cambria" w:hAnsi="Cambria" w:cstheme="minorHAnsi"/>
                <w:sz w:val="18"/>
                <w:szCs w:val="18"/>
              </w:rPr>
              <w:t xml:space="preserve"> (Chile)</w:t>
            </w:r>
            <w:r w:rsidRPr="00524435">
              <w:rPr>
                <w:rFonts w:ascii="Cambria" w:hAnsi="Cambria" w:cstheme="minorHAnsi"/>
                <w:sz w:val="18"/>
                <w:szCs w:val="18"/>
                <w:vertAlign w:val="superscript"/>
              </w:rPr>
              <w:footnoteReference w:id="48"/>
            </w:r>
          </w:p>
        </w:tc>
        <w:tc>
          <w:tcPr>
            <w:tcW w:w="1170" w:type="dxa"/>
            <w:vMerge/>
            <w:shd w:val="clear" w:color="auto" w:fill="BFBFBF" w:themeFill="background1" w:themeFillShade="BF"/>
          </w:tcPr>
          <w:p w14:paraId="0B6C33FE" w14:textId="77777777" w:rsidR="007E31E3" w:rsidRPr="00524435" w:rsidRDefault="007E31E3" w:rsidP="00820229">
            <w:pPr>
              <w:jc w:val="center"/>
              <w:rPr>
                <w:rFonts w:ascii="Cambria" w:hAnsi="Cambria" w:cstheme="minorHAnsi"/>
                <w:sz w:val="18"/>
                <w:szCs w:val="18"/>
              </w:rPr>
            </w:pPr>
          </w:p>
        </w:tc>
        <w:tc>
          <w:tcPr>
            <w:tcW w:w="1316" w:type="dxa"/>
          </w:tcPr>
          <w:p w14:paraId="51135623"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6DDC65C3" w14:textId="77777777" w:rsidR="007E31E3" w:rsidRPr="00524435" w:rsidRDefault="007E31E3" w:rsidP="00820229">
            <w:pPr>
              <w:ind w:firstLine="121"/>
              <w:jc w:val="center"/>
              <w:rPr>
                <w:rFonts w:ascii="Cambria" w:hAnsi="Cambria" w:cstheme="minorHAnsi"/>
                <w:sz w:val="18"/>
                <w:szCs w:val="18"/>
              </w:rPr>
            </w:pPr>
          </w:p>
        </w:tc>
        <w:tc>
          <w:tcPr>
            <w:tcW w:w="1170" w:type="dxa"/>
          </w:tcPr>
          <w:p w14:paraId="3B38DD01"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0F835040"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3BAA5568"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5FB35BBE" w14:textId="77777777" w:rsidTr="00820229">
        <w:trPr>
          <w:cnfStyle w:val="000000010000" w:firstRow="0" w:lastRow="0" w:firstColumn="0" w:lastColumn="0" w:oddVBand="0" w:evenVBand="0" w:oddHBand="0" w:evenHBand="1" w:firstRowFirstColumn="0" w:firstRowLastColumn="0" w:lastRowFirstColumn="0" w:lastRowLastColumn="0"/>
          <w:trHeight w:val="954"/>
          <w:jc w:val="center"/>
        </w:trPr>
        <w:tc>
          <w:tcPr>
            <w:tcW w:w="2250" w:type="dxa"/>
          </w:tcPr>
          <w:p w14:paraId="30CFBCAD" w14:textId="77777777" w:rsidR="007E31E3" w:rsidRPr="00524435" w:rsidRDefault="007E31E3" w:rsidP="008B0732">
            <w:pPr>
              <w:numPr>
                <w:ilvl w:val="0"/>
                <w:numId w:val="18"/>
              </w:numPr>
              <w:tabs>
                <w:tab w:val="num" w:pos="341"/>
              </w:tabs>
              <w:ind w:firstLine="0"/>
              <w:jc w:val="both"/>
              <w:rPr>
                <w:rFonts w:ascii="Cambria" w:hAnsi="Cambria" w:cstheme="minorHAnsi"/>
                <w:sz w:val="18"/>
                <w:szCs w:val="18"/>
              </w:rPr>
            </w:pPr>
            <w:r w:rsidRPr="00524435">
              <w:rPr>
                <w:rFonts w:ascii="Cambria" w:hAnsi="Cambria" w:cstheme="minorHAnsi"/>
                <w:sz w:val="18"/>
                <w:szCs w:val="18"/>
              </w:rPr>
              <w:t xml:space="preserve">Case 12.232, Report No. 86/11, María Soledad </w:t>
            </w:r>
            <w:proofErr w:type="spellStart"/>
            <w:r w:rsidRPr="00524435">
              <w:rPr>
                <w:rFonts w:ascii="Cambria" w:hAnsi="Cambria" w:cstheme="minorHAnsi"/>
                <w:sz w:val="18"/>
                <w:szCs w:val="18"/>
              </w:rPr>
              <w:t>Cisternas</w:t>
            </w:r>
            <w:proofErr w:type="spellEnd"/>
            <w:r w:rsidRPr="00524435">
              <w:rPr>
                <w:rFonts w:ascii="Cambria" w:hAnsi="Cambria" w:cstheme="minorHAnsi"/>
                <w:sz w:val="18"/>
                <w:szCs w:val="18"/>
              </w:rPr>
              <w:t xml:space="preserve"> (Chile)</w:t>
            </w:r>
            <w:r w:rsidRPr="00524435">
              <w:rPr>
                <w:rFonts w:ascii="Cambria" w:hAnsi="Cambria" w:cstheme="minorHAnsi"/>
                <w:sz w:val="18"/>
                <w:szCs w:val="18"/>
                <w:vertAlign w:val="superscript"/>
              </w:rPr>
              <w:footnoteReference w:id="49"/>
            </w:r>
          </w:p>
        </w:tc>
        <w:tc>
          <w:tcPr>
            <w:tcW w:w="1170" w:type="dxa"/>
            <w:vMerge/>
            <w:shd w:val="clear" w:color="auto" w:fill="BFBFBF" w:themeFill="background1" w:themeFillShade="BF"/>
          </w:tcPr>
          <w:p w14:paraId="2C8612D7" w14:textId="77777777" w:rsidR="007E31E3" w:rsidRPr="00524435" w:rsidRDefault="007E31E3" w:rsidP="00820229">
            <w:pPr>
              <w:jc w:val="center"/>
              <w:rPr>
                <w:rFonts w:ascii="Cambria" w:hAnsi="Cambria" w:cstheme="minorHAnsi"/>
                <w:sz w:val="18"/>
                <w:szCs w:val="18"/>
              </w:rPr>
            </w:pPr>
          </w:p>
        </w:tc>
        <w:tc>
          <w:tcPr>
            <w:tcW w:w="1316" w:type="dxa"/>
          </w:tcPr>
          <w:p w14:paraId="2E8D7B5A"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04C1FCD9" w14:textId="77777777" w:rsidR="007E31E3" w:rsidRPr="00524435" w:rsidRDefault="007E31E3" w:rsidP="00820229">
            <w:pPr>
              <w:ind w:firstLine="121"/>
              <w:jc w:val="center"/>
              <w:rPr>
                <w:rFonts w:ascii="Cambria" w:hAnsi="Cambria" w:cstheme="minorHAnsi"/>
                <w:sz w:val="18"/>
                <w:szCs w:val="18"/>
              </w:rPr>
            </w:pPr>
          </w:p>
        </w:tc>
        <w:tc>
          <w:tcPr>
            <w:tcW w:w="1170" w:type="dxa"/>
          </w:tcPr>
          <w:p w14:paraId="210DB972"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26900F20"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7FA107C0"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Closed</w:t>
            </w:r>
          </w:p>
        </w:tc>
      </w:tr>
      <w:tr w:rsidR="007E31E3" w:rsidRPr="00524435" w14:paraId="2B100381" w14:textId="77777777" w:rsidTr="00820229">
        <w:trPr>
          <w:cnfStyle w:val="000000100000" w:firstRow="0" w:lastRow="0" w:firstColumn="0" w:lastColumn="0" w:oddVBand="0" w:evenVBand="0" w:oddHBand="1" w:evenHBand="0" w:firstRowFirstColumn="0" w:firstRowLastColumn="0" w:lastRowFirstColumn="0" w:lastRowLastColumn="0"/>
          <w:trHeight w:val="1035"/>
          <w:jc w:val="center"/>
        </w:trPr>
        <w:tc>
          <w:tcPr>
            <w:tcW w:w="2250" w:type="dxa"/>
          </w:tcPr>
          <w:p w14:paraId="7ED35FC3" w14:textId="77777777" w:rsidR="007E31E3" w:rsidRPr="00524435" w:rsidRDefault="007E31E3" w:rsidP="008B0732">
            <w:pPr>
              <w:numPr>
                <w:ilvl w:val="0"/>
                <w:numId w:val="18"/>
              </w:numPr>
              <w:tabs>
                <w:tab w:val="num" w:pos="341"/>
              </w:tabs>
              <w:ind w:firstLine="0"/>
              <w:jc w:val="both"/>
              <w:rPr>
                <w:rFonts w:ascii="Cambria" w:hAnsi="Cambria" w:cstheme="minorHAnsi"/>
                <w:sz w:val="18"/>
                <w:szCs w:val="18"/>
              </w:rPr>
            </w:pPr>
            <w:r w:rsidRPr="00524435">
              <w:rPr>
                <w:rFonts w:ascii="Cambria" w:hAnsi="Cambria" w:cstheme="minorHAnsi"/>
                <w:sz w:val="18"/>
                <w:szCs w:val="18"/>
              </w:rPr>
              <w:t>Petition 687-11, Report No. 138/19,</w:t>
            </w:r>
            <w:r w:rsidRPr="00524435">
              <w:rPr>
                <w:rFonts w:ascii="Cambria" w:hAnsi="Cambria" w:cstheme="minorHAnsi"/>
                <w:color w:val="333333"/>
                <w:sz w:val="18"/>
                <w:szCs w:val="18"/>
                <w:shd w:val="clear" w:color="auto" w:fill="FFFFFF"/>
              </w:rPr>
              <w:t xml:space="preserve"> </w:t>
            </w:r>
            <w:r w:rsidRPr="00524435">
              <w:rPr>
                <w:rFonts w:ascii="Cambria" w:hAnsi="Cambria" w:cstheme="minorHAnsi"/>
                <w:sz w:val="18"/>
                <w:szCs w:val="18"/>
              </w:rPr>
              <w:t xml:space="preserve">Gabriela Blas </w:t>
            </w:r>
            <w:proofErr w:type="spellStart"/>
            <w:proofErr w:type="gramStart"/>
            <w:r w:rsidRPr="00524435">
              <w:rPr>
                <w:rFonts w:ascii="Cambria" w:hAnsi="Cambria" w:cstheme="minorHAnsi"/>
                <w:sz w:val="18"/>
                <w:szCs w:val="18"/>
              </w:rPr>
              <w:t>Blas</w:t>
            </w:r>
            <w:proofErr w:type="spellEnd"/>
            <w:proofErr w:type="gramEnd"/>
            <w:r w:rsidRPr="00524435">
              <w:rPr>
                <w:rFonts w:ascii="Cambria" w:hAnsi="Cambria" w:cstheme="minorHAnsi"/>
                <w:sz w:val="18"/>
                <w:szCs w:val="18"/>
              </w:rPr>
              <w:t xml:space="preserve"> and her daughter C.B.B. (Chile)</w:t>
            </w:r>
          </w:p>
        </w:tc>
        <w:tc>
          <w:tcPr>
            <w:tcW w:w="1170" w:type="dxa"/>
            <w:vMerge/>
            <w:shd w:val="clear" w:color="auto" w:fill="BFBFBF" w:themeFill="background1" w:themeFillShade="BF"/>
          </w:tcPr>
          <w:p w14:paraId="0E0DB095" w14:textId="77777777" w:rsidR="007E31E3" w:rsidRPr="00524435" w:rsidRDefault="007E31E3" w:rsidP="00820229">
            <w:pPr>
              <w:jc w:val="center"/>
              <w:rPr>
                <w:rFonts w:ascii="Cambria" w:hAnsi="Cambria" w:cstheme="minorHAnsi"/>
                <w:color w:val="1F497D"/>
                <w:sz w:val="18"/>
                <w:szCs w:val="18"/>
              </w:rPr>
            </w:pPr>
          </w:p>
        </w:tc>
        <w:tc>
          <w:tcPr>
            <w:tcW w:w="1316" w:type="dxa"/>
          </w:tcPr>
          <w:p w14:paraId="3E3BF79B" w14:textId="77777777" w:rsidR="007E31E3" w:rsidRPr="00524435" w:rsidRDefault="007E31E3" w:rsidP="00820229">
            <w:pPr>
              <w:jc w:val="center"/>
              <w:rPr>
                <w:rFonts w:ascii="Cambria" w:hAnsi="Cambria" w:cstheme="minorHAnsi"/>
                <w:sz w:val="18"/>
                <w:szCs w:val="18"/>
              </w:rPr>
            </w:pPr>
          </w:p>
        </w:tc>
        <w:tc>
          <w:tcPr>
            <w:tcW w:w="1170" w:type="dxa"/>
          </w:tcPr>
          <w:p w14:paraId="1D96C6FC" w14:textId="77777777" w:rsidR="007E31E3" w:rsidRPr="00524435" w:rsidRDefault="007E31E3" w:rsidP="00820229">
            <w:pPr>
              <w:ind w:firstLine="121"/>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3C5C6493"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3F8B29A1"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75%</w:t>
            </w:r>
          </w:p>
        </w:tc>
        <w:tc>
          <w:tcPr>
            <w:tcW w:w="1260" w:type="dxa"/>
          </w:tcPr>
          <w:p w14:paraId="58C8D13D"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4F2E4322" w14:textId="77777777" w:rsidTr="00820229">
        <w:trPr>
          <w:cnfStyle w:val="000000010000" w:firstRow="0" w:lastRow="0" w:firstColumn="0" w:lastColumn="0" w:oddVBand="0" w:evenVBand="0" w:oddHBand="0" w:evenHBand="1" w:firstRowFirstColumn="0" w:firstRowLastColumn="0" w:lastRowFirstColumn="0" w:lastRowLastColumn="0"/>
          <w:trHeight w:val="1215"/>
          <w:jc w:val="center"/>
        </w:trPr>
        <w:tc>
          <w:tcPr>
            <w:tcW w:w="2250" w:type="dxa"/>
          </w:tcPr>
          <w:p w14:paraId="20632662" w14:textId="77777777" w:rsidR="007E31E3" w:rsidRPr="00524435" w:rsidRDefault="007E31E3" w:rsidP="008B0732">
            <w:pPr>
              <w:numPr>
                <w:ilvl w:val="0"/>
                <w:numId w:val="18"/>
              </w:numPr>
              <w:tabs>
                <w:tab w:val="num" w:pos="341"/>
              </w:tabs>
              <w:ind w:firstLine="0"/>
              <w:jc w:val="both"/>
              <w:rPr>
                <w:rFonts w:ascii="Cambria" w:hAnsi="Cambria" w:cstheme="minorHAnsi"/>
                <w:sz w:val="18"/>
                <w:szCs w:val="18"/>
              </w:rPr>
            </w:pPr>
            <w:r w:rsidRPr="00524435">
              <w:rPr>
                <w:rFonts w:ascii="Cambria" w:hAnsi="Cambria" w:cstheme="minorHAnsi"/>
                <w:sz w:val="18"/>
                <w:szCs w:val="18"/>
              </w:rPr>
              <w:t>Case 12.190; Report No. 37/19, Jose Luis Tapia, and Other Members of the Carabineros (Chile)</w:t>
            </w:r>
            <w:r w:rsidRPr="00524435">
              <w:rPr>
                <w:rFonts w:ascii="Cambria" w:hAnsi="Cambria" w:cstheme="minorHAnsi"/>
                <w:sz w:val="18"/>
                <w:szCs w:val="18"/>
                <w:vertAlign w:val="superscript"/>
              </w:rPr>
              <w:footnoteReference w:id="50"/>
            </w:r>
          </w:p>
        </w:tc>
        <w:tc>
          <w:tcPr>
            <w:tcW w:w="1170" w:type="dxa"/>
            <w:vMerge/>
            <w:shd w:val="clear" w:color="auto" w:fill="BFBFBF" w:themeFill="background1" w:themeFillShade="BF"/>
          </w:tcPr>
          <w:p w14:paraId="16C45220" w14:textId="77777777" w:rsidR="007E31E3" w:rsidRPr="00524435" w:rsidRDefault="007E31E3" w:rsidP="00820229">
            <w:pPr>
              <w:jc w:val="center"/>
              <w:rPr>
                <w:rFonts w:ascii="Cambria" w:hAnsi="Cambria" w:cstheme="minorHAnsi"/>
                <w:color w:val="1F497D"/>
                <w:sz w:val="18"/>
                <w:szCs w:val="18"/>
              </w:rPr>
            </w:pPr>
          </w:p>
        </w:tc>
        <w:tc>
          <w:tcPr>
            <w:tcW w:w="1316" w:type="dxa"/>
          </w:tcPr>
          <w:p w14:paraId="048F44E9"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0753435D" w14:textId="77777777" w:rsidR="007E31E3" w:rsidRPr="00524435" w:rsidRDefault="007E31E3" w:rsidP="00820229">
            <w:pPr>
              <w:ind w:firstLine="121"/>
              <w:jc w:val="center"/>
              <w:rPr>
                <w:rFonts w:ascii="Cambria" w:hAnsi="Cambria" w:cstheme="minorHAnsi"/>
                <w:sz w:val="18"/>
                <w:szCs w:val="18"/>
              </w:rPr>
            </w:pPr>
          </w:p>
        </w:tc>
        <w:tc>
          <w:tcPr>
            <w:tcW w:w="1170" w:type="dxa"/>
          </w:tcPr>
          <w:p w14:paraId="204BFA6A"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1DD26DC1"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2CC95643"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p w14:paraId="42FF1750" w14:textId="77777777" w:rsidR="007E31E3" w:rsidRPr="00524435" w:rsidRDefault="007E31E3" w:rsidP="00820229">
            <w:pPr>
              <w:jc w:val="center"/>
              <w:rPr>
                <w:rFonts w:ascii="Cambria" w:hAnsi="Cambria" w:cstheme="minorHAnsi"/>
                <w:sz w:val="18"/>
                <w:szCs w:val="18"/>
              </w:rPr>
            </w:pPr>
          </w:p>
        </w:tc>
      </w:tr>
      <w:tr w:rsidR="007E31E3" w:rsidRPr="00524435" w14:paraId="0EC115A2" w14:textId="77777777" w:rsidTr="00820229">
        <w:trPr>
          <w:cnfStyle w:val="000000100000" w:firstRow="0" w:lastRow="0" w:firstColumn="0" w:lastColumn="0" w:oddVBand="0" w:evenVBand="0" w:oddHBand="1" w:evenHBand="0" w:firstRowFirstColumn="0" w:firstRowLastColumn="0" w:lastRowFirstColumn="0" w:lastRowLastColumn="0"/>
          <w:trHeight w:val="1044"/>
          <w:jc w:val="center"/>
        </w:trPr>
        <w:tc>
          <w:tcPr>
            <w:tcW w:w="2250" w:type="dxa"/>
          </w:tcPr>
          <w:p w14:paraId="3CD25ED8" w14:textId="77777777" w:rsidR="007E31E3" w:rsidRPr="00524435" w:rsidRDefault="007E31E3" w:rsidP="008B0732">
            <w:pPr>
              <w:numPr>
                <w:ilvl w:val="0"/>
                <w:numId w:val="18"/>
              </w:numPr>
              <w:tabs>
                <w:tab w:val="num" w:pos="341"/>
              </w:tabs>
              <w:ind w:firstLine="0"/>
              <w:jc w:val="both"/>
              <w:rPr>
                <w:rFonts w:ascii="Cambria" w:hAnsi="Cambria" w:cstheme="minorHAnsi"/>
                <w:sz w:val="18"/>
                <w:szCs w:val="18"/>
              </w:rPr>
            </w:pPr>
            <w:r w:rsidRPr="00524435">
              <w:rPr>
                <w:rFonts w:ascii="Cambria" w:hAnsi="Cambria" w:cstheme="minorHAnsi"/>
                <w:sz w:val="18"/>
                <w:szCs w:val="18"/>
              </w:rPr>
              <w:t xml:space="preserve">Case12.233, Report No. 137/19, Víctor </w:t>
            </w:r>
            <w:proofErr w:type="spellStart"/>
            <w:r w:rsidRPr="00524435">
              <w:rPr>
                <w:rFonts w:ascii="Cambria" w:hAnsi="Cambria" w:cstheme="minorHAnsi"/>
                <w:sz w:val="18"/>
                <w:szCs w:val="18"/>
              </w:rPr>
              <w:t>Améstica</w:t>
            </w:r>
            <w:proofErr w:type="spellEnd"/>
            <w:r w:rsidRPr="00524435">
              <w:rPr>
                <w:rFonts w:ascii="Cambria" w:hAnsi="Cambria" w:cstheme="minorHAnsi"/>
                <w:sz w:val="18"/>
                <w:szCs w:val="18"/>
              </w:rPr>
              <w:t xml:space="preserve"> </w:t>
            </w:r>
            <w:proofErr w:type="gramStart"/>
            <w:r w:rsidRPr="00524435">
              <w:rPr>
                <w:rFonts w:ascii="Cambria" w:hAnsi="Cambria" w:cstheme="minorHAnsi"/>
                <w:sz w:val="18"/>
                <w:szCs w:val="18"/>
              </w:rPr>
              <w:t>Moreno</w:t>
            </w:r>
            <w:proofErr w:type="gramEnd"/>
            <w:r w:rsidRPr="00524435">
              <w:rPr>
                <w:rFonts w:ascii="Cambria" w:hAnsi="Cambria" w:cstheme="minorHAnsi"/>
                <w:sz w:val="18"/>
                <w:szCs w:val="18"/>
              </w:rPr>
              <w:t xml:space="preserve"> and Others (Chile)</w:t>
            </w:r>
            <w:r w:rsidRPr="00524435">
              <w:rPr>
                <w:rStyle w:val="FootnoteReference"/>
                <w:rFonts w:ascii="Cambria" w:hAnsi="Cambria" w:cstheme="minorHAnsi"/>
                <w:sz w:val="18"/>
                <w:szCs w:val="18"/>
              </w:rPr>
              <w:footnoteReference w:id="51"/>
            </w:r>
          </w:p>
        </w:tc>
        <w:tc>
          <w:tcPr>
            <w:tcW w:w="1170" w:type="dxa"/>
            <w:vMerge/>
            <w:shd w:val="clear" w:color="auto" w:fill="BFBFBF" w:themeFill="background1" w:themeFillShade="BF"/>
          </w:tcPr>
          <w:p w14:paraId="6D8D6918" w14:textId="77777777" w:rsidR="007E31E3" w:rsidRPr="00524435" w:rsidRDefault="007E31E3" w:rsidP="00820229">
            <w:pPr>
              <w:jc w:val="center"/>
              <w:rPr>
                <w:rFonts w:ascii="Cambria" w:hAnsi="Cambria" w:cstheme="minorHAnsi"/>
                <w:color w:val="1F497D"/>
                <w:sz w:val="18"/>
                <w:szCs w:val="18"/>
              </w:rPr>
            </w:pPr>
          </w:p>
        </w:tc>
        <w:tc>
          <w:tcPr>
            <w:tcW w:w="1316" w:type="dxa"/>
          </w:tcPr>
          <w:p w14:paraId="6505BBB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28007C4F" w14:textId="77777777" w:rsidR="007E31E3" w:rsidRPr="00524435" w:rsidRDefault="007E31E3" w:rsidP="00820229">
            <w:pPr>
              <w:ind w:firstLine="121"/>
              <w:jc w:val="center"/>
              <w:rPr>
                <w:rFonts w:ascii="Cambria" w:hAnsi="Cambria" w:cstheme="minorHAnsi"/>
                <w:sz w:val="18"/>
                <w:szCs w:val="18"/>
              </w:rPr>
            </w:pPr>
          </w:p>
        </w:tc>
        <w:tc>
          <w:tcPr>
            <w:tcW w:w="1170" w:type="dxa"/>
          </w:tcPr>
          <w:p w14:paraId="35ADA815"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62160F1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034E8B1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p w14:paraId="773A32F0" w14:textId="77777777" w:rsidR="007E31E3" w:rsidRPr="00524435" w:rsidRDefault="007E31E3" w:rsidP="00820229">
            <w:pPr>
              <w:jc w:val="center"/>
              <w:rPr>
                <w:rFonts w:ascii="Cambria" w:hAnsi="Cambria" w:cstheme="minorHAnsi"/>
                <w:sz w:val="18"/>
                <w:szCs w:val="18"/>
              </w:rPr>
            </w:pPr>
          </w:p>
        </w:tc>
      </w:tr>
      <w:tr w:rsidR="007E31E3" w:rsidRPr="00524435" w14:paraId="3F54425F" w14:textId="77777777" w:rsidTr="00820229">
        <w:trPr>
          <w:cnfStyle w:val="000000010000" w:firstRow="0" w:lastRow="0" w:firstColumn="0" w:lastColumn="0" w:oddVBand="0" w:evenVBand="0" w:oddHBand="0" w:evenHBand="1" w:firstRowFirstColumn="0" w:firstRowLastColumn="0" w:lastRowFirstColumn="0" w:lastRowLastColumn="0"/>
          <w:trHeight w:val="972"/>
          <w:jc w:val="center"/>
        </w:trPr>
        <w:tc>
          <w:tcPr>
            <w:tcW w:w="2250" w:type="dxa"/>
          </w:tcPr>
          <w:p w14:paraId="20679662" w14:textId="77777777" w:rsidR="007E31E3" w:rsidRPr="00524435" w:rsidRDefault="007E31E3" w:rsidP="008B0732">
            <w:pPr>
              <w:numPr>
                <w:ilvl w:val="0"/>
                <w:numId w:val="18"/>
              </w:numPr>
              <w:tabs>
                <w:tab w:val="num" w:pos="341"/>
              </w:tabs>
              <w:ind w:firstLine="0"/>
              <w:jc w:val="both"/>
              <w:rPr>
                <w:rFonts w:ascii="Cambria" w:hAnsi="Cambria" w:cstheme="minorHAnsi"/>
                <w:sz w:val="18"/>
                <w:szCs w:val="18"/>
              </w:rPr>
            </w:pPr>
            <w:r w:rsidRPr="00524435">
              <w:rPr>
                <w:rFonts w:ascii="Cambria" w:hAnsi="Cambria" w:cstheme="minorHAnsi"/>
                <w:sz w:val="18"/>
                <w:szCs w:val="18"/>
              </w:rPr>
              <w:t xml:space="preserve">Petition 1275-04 A, Report No. 23/20, Juan Luis Rivera </w:t>
            </w:r>
            <w:proofErr w:type="spellStart"/>
            <w:r w:rsidRPr="00524435">
              <w:rPr>
                <w:rFonts w:ascii="Cambria" w:hAnsi="Cambria" w:cstheme="minorHAnsi"/>
                <w:sz w:val="18"/>
                <w:szCs w:val="18"/>
              </w:rPr>
              <w:t>Matus</w:t>
            </w:r>
            <w:proofErr w:type="spellEnd"/>
            <w:r w:rsidRPr="00524435">
              <w:rPr>
                <w:rFonts w:ascii="Cambria" w:hAnsi="Cambria" w:cstheme="minorHAnsi"/>
                <w:sz w:val="18"/>
                <w:szCs w:val="18"/>
              </w:rPr>
              <w:t xml:space="preserve"> (Chile)</w:t>
            </w:r>
            <w:r w:rsidRPr="00524435">
              <w:rPr>
                <w:rStyle w:val="FootnoteReference"/>
                <w:rFonts w:ascii="Cambria" w:hAnsi="Cambria" w:cstheme="minorHAnsi"/>
                <w:sz w:val="18"/>
                <w:szCs w:val="18"/>
              </w:rPr>
              <w:footnoteReference w:id="52"/>
            </w:r>
          </w:p>
        </w:tc>
        <w:tc>
          <w:tcPr>
            <w:tcW w:w="1170" w:type="dxa"/>
            <w:vMerge/>
            <w:shd w:val="clear" w:color="auto" w:fill="BFBFBF" w:themeFill="background1" w:themeFillShade="BF"/>
          </w:tcPr>
          <w:p w14:paraId="4100FFB9" w14:textId="77777777" w:rsidR="007E31E3" w:rsidRPr="00524435" w:rsidRDefault="007E31E3" w:rsidP="00820229">
            <w:pPr>
              <w:jc w:val="center"/>
              <w:rPr>
                <w:rFonts w:ascii="Cambria" w:hAnsi="Cambria" w:cstheme="minorHAnsi"/>
                <w:color w:val="1F497D"/>
                <w:sz w:val="18"/>
                <w:szCs w:val="18"/>
              </w:rPr>
            </w:pPr>
          </w:p>
        </w:tc>
        <w:tc>
          <w:tcPr>
            <w:tcW w:w="1316" w:type="dxa"/>
          </w:tcPr>
          <w:p w14:paraId="5E5F390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061C36DD" w14:textId="77777777" w:rsidR="007E31E3" w:rsidRPr="00524435" w:rsidRDefault="007E31E3" w:rsidP="00820229">
            <w:pPr>
              <w:ind w:firstLine="121"/>
              <w:jc w:val="center"/>
              <w:rPr>
                <w:rFonts w:ascii="Cambria" w:hAnsi="Cambria" w:cstheme="minorHAnsi"/>
                <w:sz w:val="18"/>
                <w:szCs w:val="18"/>
              </w:rPr>
            </w:pPr>
          </w:p>
        </w:tc>
        <w:tc>
          <w:tcPr>
            <w:tcW w:w="1170" w:type="dxa"/>
          </w:tcPr>
          <w:p w14:paraId="037163ED"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301331F2"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6B6FE941"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6E6B5724" w14:textId="77777777" w:rsidTr="00820229">
        <w:trPr>
          <w:cnfStyle w:val="000000100000" w:firstRow="0" w:lastRow="0" w:firstColumn="0" w:lastColumn="0" w:oddVBand="0" w:evenVBand="0" w:oddHBand="1" w:evenHBand="0" w:firstRowFirstColumn="0" w:firstRowLastColumn="0" w:lastRowFirstColumn="0" w:lastRowLastColumn="0"/>
          <w:trHeight w:val="945"/>
          <w:jc w:val="center"/>
        </w:trPr>
        <w:tc>
          <w:tcPr>
            <w:tcW w:w="2250" w:type="dxa"/>
          </w:tcPr>
          <w:p w14:paraId="1E8315BF" w14:textId="07FEC2BA" w:rsidR="007E31E3" w:rsidRPr="00524435" w:rsidRDefault="006B7403" w:rsidP="008B0732">
            <w:pPr>
              <w:numPr>
                <w:ilvl w:val="0"/>
                <w:numId w:val="18"/>
              </w:numPr>
              <w:tabs>
                <w:tab w:val="num" w:pos="341"/>
              </w:tabs>
              <w:ind w:firstLine="0"/>
              <w:jc w:val="both"/>
              <w:rPr>
                <w:rFonts w:ascii="Cambria" w:hAnsi="Cambria" w:cstheme="minorHAnsi"/>
                <w:sz w:val="18"/>
                <w:szCs w:val="18"/>
              </w:rPr>
            </w:pPr>
            <w:hyperlink r:id="rId37" w:anchor="11.141">
              <w:r w:rsidR="007E31E3" w:rsidRPr="00524435">
                <w:rPr>
                  <w:rFonts w:ascii="Cambria" w:hAnsi="Cambria" w:cstheme="minorHAnsi"/>
                  <w:sz w:val="18"/>
                  <w:szCs w:val="18"/>
                </w:rPr>
                <w:t>Case 11.141</w:t>
              </w:r>
            </w:hyperlink>
            <w:r w:rsidR="007E31E3" w:rsidRPr="00524435">
              <w:rPr>
                <w:rFonts w:ascii="Cambria" w:hAnsi="Cambria" w:cstheme="minorHAnsi"/>
                <w:sz w:val="18"/>
                <w:szCs w:val="18"/>
              </w:rPr>
              <w:t xml:space="preserve">, Report No. 105/05, Massacre of </w:t>
            </w:r>
            <w:proofErr w:type="spellStart"/>
            <w:r w:rsidR="007E31E3" w:rsidRPr="00524435">
              <w:rPr>
                <w:rFonts w:ascii="Cambria" w:hAnsi="Cambria" w:cstheme="minorHAnsi"/>
                <w:sz w:val="18"/>
                <w:szCs w:val="18"/>
              </w:rPr>
              <w:t>Villatina</w:t>
            </w:r>
            <w:proofErr w:type="spellEnd"/>
            <w:r w:rsidR="007E31E3" w:rsidRPr="00524435">
              <w:rPr>
                <w:rFonts w:ascii="Cambria" w:hAnsi="Cambria" w:cstheme="minorHAnsi"/>
                <w:sz w:val="18"/>
                <w:szCs w:val="18"/>
              </w:rPr>
              <w:t xml:space="preserve"> (Colombia)</w:t>
            </w:r>
            <w:r w:rsidR="007E31E3" w:rsidRPr="00524435">
              <w:rPr>
                <w:rStyle w:val="FootnoteReference"/>
                <w:rFonts w:ascii="Cambria" w:hAnsi="Cambria" w:cstheme="minorHAnsi"/>
                <w:sz w:val="18"/>
                <w:szCs w:val="18"/>
              </w:rPr>
              <w:footnoteReference w:id="53"/>
            </w:r>
          </w:p>
        </w:tc>
        <w:tc>
          <w:tcPr>
            <w:tcW w:w="1170" w:type="dxa"/>
            <w:vMerge w:val="restart"/>
          </w:tcPr>
          <w:p w14:paraId="25E6150F" w14:textId="04F21B3C" w:rsidR="007E31E3" w:rsidRPr="00524435" w:rsidRDefault="006B7403" w:rsidP="00820229">
            <w:pPr>
              <w:jc w:val="center"/>
              <w:rPr>
                <w:rFonts w:ascii="Cambria" w:hAnsi="Cambria" w:cstheme="minorHAnsi"/>
                <w:sz w:val="18"/>
                <w:szCs w:val="18"/>
              </w:rPr>
            </w:pPr>
            <w:hyperlink r:id="rId38" w:history="1">
              <w:r w:rsidR="007E31E3" w:rsidRPr="00524435">
                <w:rPr>
                  <w:rStyle w:val="Hyperlink"/>
                  <w:rFonts w:ascii="Cambria" w:hAnsi="Cambria" w:cstheme="minorHAnsi"/>
                  <w:sz w:val="18"/>
                  <w:szCs w:val="18"/>
                </w:rPr>
                <w:t xml:space="preserve">Link to monitoring sheets on matters </w:t>
              </w:r>
              <w:r w:rsidR="007E31E3" w:rsidRPr="00524435">
                <w:rPr>
                  <w:rStyle w:val="Hyperlink"/>
                  <w:rFonts w:ascii="Cambria" w:hAnsi="Cambria" w:cstheme="minorHAnsi"/>
                  <w:sz w:val="18"/>
                  <w:szCs w:val="18"/>
                </w:rPr>
                <w:lastRenderedPageBreak/>
                <w:t>related to reports of friendly settlement agreements</w:t>
              </w:r>
            </w:hyperlink>
            <w:r w:rsidR="007E31E3" w:rsidRPr="00524435">
              <w:rPr>
                <w:rFonts w:ascii="Cambria" w:hAnsi="Cambria" w:cstheme="minorHAnsi"/>
                <w:sz w:val="18"/>
                <w:szCs w:val="18"/>
              </w:rPr>
              <w:t xml:space="preserve"> of </w:t>
            </w:r>
            <w:hyperlink r:id="rId39" w:history="1">
              <w:r w:rsidR="007E31E3" w:rsidRPr="00524435">
                <w:rPr>
                  <w:rStyle w:val="Hyperlink"/>
                  <w:rFonts w:ascii="Cambria" w:hAnsi="Cambria" w:cstheme="minorHAnsi"/>
                  <w:sz w:val="18"/>
                  <w:szCs w:val="18"/>
                </w:rPr>
                <w:t>Colombia that are subject to monitoring</w:t>
              </w:r>
            </w:hyperlink>
            <w:r w:rsidR="007E31E3" w:rsidRPr="00524435">
              <w:rPr>
                <w:rFonts w:ascii="Cambria" w:hAnsi="Cambria" w:cstheme="minorHAnsi"/>
                <w:sz w:val="18"/>
                <w:szCs w:val="18"/>
              </w:rPr>
              <w:t xml:space="preserve"> </w:t>
            </w:r>
          </w:p>
        </w:tc>
        <w:tc>
          <w:tcPr>
            <w:tcW w:w="1316" w:type="dxa"/>
          </w:tcPr>
          <w:p w14:paraId="06C29DA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lastRenderedPageBreak/>
              <w:t>X</w:t>
            </w:r>
          </w:p>
        </w:tc>
        <w:tc>
          <w:tcPr>
            <w:tcW w:w="1170" w:type="dxa"/>
          </w:tcPr>
          <w:p w14:paraId="73276BF4" w14:textId="77777777" w:rsidR="007E31E3" w:rsidRPr="00524435" w:rsidRDefault="007E31E3" w:rsidP="00820229">
            <w:pPr>
              <w:ind w:firstLine="121"/>
              <w:jc w:val="center"/>
              <w:rPr>
                <w:rFonts w:ascii="Cambria" w:hAnsi="Cambria" w:cstheme="minorHAnsi"/>
                <w:sz w:val="18"/>
                <w:szCs w:val="18"/>
              </w:rPr>
            </w:pPr>
          </w:p>
        </w:tc>
        <w:tc>
          <w:tcPr>
            <w:tcW w:w="1170" w:type="dxa"/>
          </w:tcPr>
          <w:p w14:paraId="4A6570BE"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30A301AA"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7883AC06"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0C5E1B77" w14:textId="77777777" w:rsidTr="00820229">
        <w:trPr>
          <w:cnfStyle w:val="000000010000" w:firstRow="0" w:lastRow="0" w:firstColumn="0" w:lastColumn="0" w:oddVBand="0" w:evenVBand="0" w:oddHBand="0" w:evenHBand="1" w:firstRowFirstColumn="0" w:firstRowLastColumn="0" w:lastRowFirstColumn="0" w:lastRowLastColumn="0"/>
          <w:trHeight w:val="1116"/>
          <w:jc w:val="center"/>
        </w:trPr>
        <w:tc>
          <w:tcPr>
            <w:tcW w:w="2250" w:type="dxa"/>
          </w:tcPr>
          <w:p w14:paraId="26FAEEC0" w14:textId="6FEE6778" w:rsidR="007E31E3" w:rsidRPr="00E42B49" w:rsidRDefault="006B7403" w:rsidP="008B0732">
            <w:pPr>
              <w:numPr>
                <w:ilvl w:val="0"/>
                <w:numId w:val="18"/>
              </w:numPr>
              <w:tabs>
                <w:tab w:val="num" w:pos="341"/>
              </w:tabs>
              <w:ind w:firstLine="0"/>
              <w:jc w:val="both"/>
              <w:rPr>
                <w:rFonts w:ascii="Cambria" w:hAnsi="Cambria" w:cstheme="minorHAnsi"/>
                <w:sz w:val="18"/>
                <w:szCs w:val="18"/>
                <w:lang w:val="es-US"/>
              </w:rPr>
            </w:pPr>
            <w:hyperlink r:id="rId40" w:anchor="10.205">
              <w:r w:rsidR="007E31E3" w:rsidRPr="00E42B49">
                <w:rPr>
                  <w:rFonts w:ascii="Cambria" w:hAnsi="Cambria" w:cstheme="minorHAnsi"/>
                  <w:sz w:val="18"/>
                  <w:szCs w:val="18"/>
                  <w:lang w:val="es-US"/>
                </w:rPr>
                <w:t>Case 10.205</w:t>
              </w:r>
            </w:hyperlink>
            <w:r w:rsidR="007E31E3" w:rsidRPr="00E42B49">
              <w:rPr>
                <w:rFonts w:ascii="Cambria" w:hAnsi="Cambria" w:cstheme="minorHAnsi"/>
                <w:sz w:val="18"/>
                <w:szCs w:val="18"/>
                <w:lang w:val="es-US"/>
              </w:rPr>
              <w:t xml:space="preserve">, </w:t>
            </w:r>
            <w:proofErr w:type="spellStart"/>
            <w:r w:rsidR="007E31E3" w:rsidRPr="00E42B49">
              <w:rPr>
                <w:rFonts w:ascii="Cambria" w:hAnsi="Cambria" w:cstheme="minorHAnsi"/>
                <w:sz w:val="18"/>
                <w:szCs w:val="18"/>
                <w:lang w:val="es-US"/>
              </w:rPr>
              <w:t>Report</w:t>
            </w:r>
            <w:proofErr w:type="spellEnd"/>
            <w:r w:rsidR="007E31E3" w:rsidRPr="00E42B49">
              <w:rPr>
                <w:rFonts w:ascii="Cambria" w:hAnsi="Cambria" w:cstheme="minorHAnsi"/>
                <w:sz w:val="18"/>
                <w:szCs w:val="18"/>
                <w:lang w:val="es-US"/>
              </w:rPr>
              <w:t xml:space="preserve"> No. 53/06, Germán Enrique Guerra Achuri (Colombia)</w:t>
            </w:r>
            <w:r w:rsidR="007E31E3" w:rsidRPr="00524435">
              <w:rPr>
                <w:rFonts w:ascii="Cambria" w:hAnsi="Cambria" w:cstheme="minorHAnsi"/>
                <w:sz w:val="18"/>
                <w:szCs w:val="18"/>
                <w:vertAlign w:val="superscript"/>
              </w:rPr>
              <w:footnoteReference w:id="54"/>
            </w:r>
          </w:p>
        </w:tc>
        <w:tc>
          <w:tcPr>
            <w:tcW w:w="1170" w:type="dxa"/>
            <w:vMerge/>
          </w:tcPr>
          <w:p w14:paraId="03A5FA2B" w14:textId="77777777" w:rsidR="007E31E3" w:rsidRPr="00E42B49" w:rsidRDefault="007E31E3" w:rsidP="00820229">
            <w:pPr>
              <w:jc w:val="center"/>
              <w:rPr>
                <w:rFonts w:ascii="Cambria" w:hAnsi="Cambria" w:cstheme="minorHAnsi"/>
                <w:sz w:val="18"/>
                <w:szCs w:val="18"/>
                <w:lang w:val="es-US"/>
              </w:rPr>
            </w:pPr>
          </w:p>
        </w:tc>
        <w:tc>
          <w:tcPr>
            <w:tcW w:w="1316" w:type="dxa"/>
          </w:tcPr>
          <w:p w14:paraId="117B02DD"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37299773" w14:textId="77777777" w:rsidR="007E31E3" w:rsidRPr="00524435" w:rsidRDefault="007E31E3" w:rsidP="00820229">
            <w:pPr>
              <w:ind w:firstLine="121"/>
              <w:jc w:val="center"/>
              <w:rPr>
                <w:rFonts w:ascii="Cambria" w:hAnsi="Cambria" w:cstheme="minorHAnsi"/>
                <w:sz w:val="18"/>
                <w:szCs w:val="18"/>
              </w:rPr>
            </w:pPr>
          </w:p>
        </w:tc>
        <w:tc>
          <w:tcPr>
            <w:tcW w:w="1170" w:type="dxa"/>
          </w:tcPr>
          <w:p w14:paraId="51A3F556"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1A07C6ED"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37672E0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5461372C" w14:textId="77777777" w:rsidTr="00820229">
        <w:trPr>
          <w:cnfStyle w:val="000000100000" w:firstRow="0" w:lastRow="0" w:firstColumn="0" w:lastColumn="0" w:oddVBand="0" w:evenVBand="0" w:oddHBand="1" w:evenHBand="0" w:firstRowFirstColumn="0" w:firstRowLastColumn="0" w:lastRowFirstColumn="0" w:lastRowLastColumn="0"/>
          <w:trHeight w:val="945"/>
          <w:jc w:val="center"/>
        </w:trPr>
        <w:tc>
          <w:tcPr>
            <w:tcW w:w="2250" w:type="dxa"/>
          </w:tcPr>
          <w:p w14:paraId="115051F1" w14:textId="77777777" w:rsidR="007E31E3" w:rsidRPr="00524435" w:rsidRDefault="007E31E3" w:rsidP="008B0732">
            <w:pPr>
              <w:numPr>
                <w:ilvl w:val="0"/>
                <w:numId w:val="18"/>
              </w:numPr>
              <w:tabs>
                <w:tab w:val="num" w:pos="341"/>
              </w:tabs>
              <w:ind w:firstLine="0"/>
              <w:jc w:val="both"/>
              <w:rPr>
                <w:rFonts w:ascii="Cambria" w:hAnsi="Cambria" w:cstheme="minorHAnsi"/>
                <w:sz w:val="18"/>
                <w:szCs w:val="18"/>
              </w:rPr>
            </w:pPr>
            <w:r w:rsidRPr="00524435">
              <w:rPr>
                <w:rFonts w:ascii="Cambria" w:hAnsi="Cambria" w:cstheme="minorHAnsi"/>
                <w:sz w:val="18"/>
                <w:szCs w:val="18"/>
              </w:rPr>
              <w:t xml:space="preserve">Petition 477-05, Report No. 82/08 </w:t>
            </w:r>
            <w:proofErr w:type="gramStart"/>
            <w:r w:rsidRPr="00524435">
              <w:rPr>
                <w:rFonts w:ascii="Cambria" w:hAnsi="Cambria" w:cstheme="minorHAnsi"/>
                <w:sz w:val="18"/>
                <w:szCs w:val="18"/>
              </w:rPr>
              <w:t>X</w:t>
            </w:r>
            <w:proofErr w:type="gramEnd"/>
            <w:r w:rsidRPr="00524435">
              <w:rPr>
                <w:rFonts w:ascii="Cambria" w:hAnsi="Cambria" w:cstheme="minorHAnsi"/>
                <w:sz w:val="18"/>
                <w:szCs w:val="18"/>
              </w:rPr>
              <w:t xml:space="preserve"> and relatives (Colombia)</w:t>
            </w:r>
            <w:r w:rsidRPr="00524435">
              <w:rPr>
                <w:rFonts w:ascii="Cambria" w:hAnsi="Cambria" w:cstheme="minorHAnsi"/>
                <w:sz w:val="18"/>
                <w:szCs w:val="18"/>
                <w:vertAlign w:val="superscript"/>
              </w:rPr>
              <w:footnoteReference w:id="55"/>
            </w:r>
          </w:p>
        </w:tc>
        <w:tc>
          <w:tcPr>
            <w:tcW w:w="1170" w:type="dxa"/>
            <w:vMerge/>
          </w:tcPr>
          <w:p w14:paraId="51643662" w14:textId="77777777" w:rsidR="007E31E3" w:rsidRPr="00524435" w:rsidRDefault="007E31E3" w:rsidP="00820229">
            <w:pPr>
              <w:jc w:val="center"/>
              <w:rPr>
                <w:rFonts w:ascii="Cambria" w:hAnsi="Cambria" w:cstheme="minorHAnsi"/>
                <w:sz w:val="18"/>
                <w:szCs w:val="18"/>
              </w:rPr>
            </w:pPr>
          </w:p>
        </w:tc>
        <w:tc>
          <w:tcPr>
            <w:tcW w:w="1316" w:type="dxa"/>
          </w:tcPr>
          <w:p w14:paraId="0C873169"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397F3A86" w14:textId="77777777" w:rsidR="007E31E3" w:rsidRPr="00524435" w:rsidRDefault="007E31E3" w:rsidP="00820229">
            <w:pPr>
              <w:ind w:firstLine="121"/>
              <w:jc w:val="center"/>
              <w:rPr>
                <w:rFonts w:ascii="Cambria" w:hAnsi="Cambria" w:cstheme="minorHAnsi"/>
                <w:sz w:val="18"/>
                <w:szCs w:val="18"/>
              </w:rPr>
            </w:pPr>
          </w:p>
        </w:tc>
        <w:tc>
          <w:tcPr>
            <w:tcW w:w="1170" w:type="dxa"/>
          </w:tcPr>
          <w:p w14:paraId="60F4F50E"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3069F3C7"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6BB9DD07"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070348F5" w14:textId="77777777" w:rsidTr="00820229">
        <w:trPr>
          <w:cnfStyle w:val="000000010000" w:firstRow="0" w:lastRow="0" w:firstColumn="0" w:lastColumn="0" w:oddVBand="0" w:evenVBand="0" w:oddHBand="0" w:evenHBand="1" w:firstRowFirstColumn="0" w:firstRowLastColumn="0" w:lastRowFirstColumn="0" w:lastRowLastColumn="0"/>
          <w:trHeight w:val="1134"/>
          <w:jc w:val="center"/>
        </w:trPr>
        <w:tc>
          <w:tcPr>
            <w:tcW w:w="2250" w:type="dxa"/>
          </w:tcPr>
          <w:p w14:paraId="308E86E6" w14:textId="77777777" w:rsidR="007E31E3" w:rsidRPr="00524435" w:rsidRDefault="007E31E3" w:rsidP="008B0732">
            <w:pPr>
              <w:numPr>
                <w:ilvl w:val="0"/>
                <w:numId w:val="18"/>
              </w:numPr>
              <w:tabs>
                <w:tab w:val="num" w:pos="341"/>
              </w:tabs>
              <w:ind w:firstLine="0"/>
              <w:jc w:val="both"/>
              <w:rPr>
                <w:rFonts w:ascii="Cambria" w:hAnsi="Cambria" w:cstheme="minorHAnsi"/>
                <w:sz w:val="18"/>
                <w:szCs w:val="18"/>
              </w:rPr>
            </w:pPr>
            <w:proofErr w:type="spellStart"/>
            <w:r w:rsidRPr="00E42B49">
              <w:rPr>
                <w:rFonts w:ascii="Cambria" w:hAnsi="Cambria" w:cstheme="minorHAnsi"/>
                <w:sz w:val="18"/>
                <w:szCs w:val="18"/>
                <w:lang w:val="es-US"/>
              </w:rPr>
              <w:t>Petition</w:t>
            </w:r>
            <w:proofErr w:type="spellEnd"/>
            <w:r w:rsidRPr="00E42B49">
              <w:rPr>
                <w:rFonts w:ascii="Cambria" w:hAnsi="Cambria" w:cstheme="minorHAnsi"/>
                <w:sz w:val="18"/>
                <w:szCs w:val="18"/>
                <w:lang w:val="es-US"/>
              </w:rPr>
              <w:t xml:space="preserve"> 401-05,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83/08 Jorge Antonio Barbosa Tarazona </w:t>
            </w:r>
            <w:r w:rsidRPr="00E42B49">
              <w:rPr>
                <w:rFonts w:ascii="Cambria" w:hAnsi="Cambria" w:cstheme="minorHAnsi"/>
                <w:i/>
                <w:sz w:val="18"/>
                <w:szCs w:val="18"/>
                <w:lang w:val="es-US"/>
              </w:rPr>
              <w:t xml:space="preserve">et al. </w:t>
            </w:r>
            <w:r w:rsidRPr="00524435">
              <w:rPr>
                <w:rFonts w:ascii="Cambria" w:hAnsi="Cambria" w:cstheme="minorHAnsi"/>
                <w:sz w:val="18"/>
                <w:szCs w:val="18"/>
              </w:rPr>
              <w:t>(Colombia)</w:t>
            </w:r>
          </w:p>
        </w:tc>
        <w:tc>
          <w:tcPr>
            <w:tcW w:w="1170" w:type="dxa"/>
            <w:vMerge/>
          </w:tcPr>
          <w:p w14:paraId="66D9FF51" w14:textId="77777777" w:rsidR="007E31E3" w:rsidRPr="00524435" w:rsidRDefault="007E31E3" w:rsidP="00820229">
            <w:pPr>
              <w:jc w:val="center"/>
              <w:rPr>
                <w:rFonts w:ascii="Cambria" w:hAnsi="Cambria" w:cstheme="minorHAnsi"/>
                <w:sz w:val="18"/>
                <w:szCs w:val="18"/>
              </w:rPr>
            </w:pPr>
          </w:p>
        </w:tc>
        <w:tc>
          <w:tcPr>
            <w:tcW w:w="1316" w:type="dxa"/>
          </w:tcPr>
          <w:p w14:paraId="5424B77E" w14:textId="77777777" w:rsidR="007E31E3" w:rsidRPr="00524435" w:rsidRDefault="007E31E3" w:rsidP="00820229">
            <w:pPr>
              <w:jc w:val="center"/>
              <w:rPr>
                <w:rFonts w:ascii="Cambria" w:hAnsi="Cambria" w:cstheme="minorHAnsi"/>
                <w:sz w:val="18"/>
                <w:szCs w:val="18"/>
              </w:rPr>
            </w:pPr>
          </w:p>
        </w:tc>
        <w:tc>
          <w:tcPr>
            <w:tcW w:w="1170" w:type="dxa"/>
          </w:tcPr>
          <w:p w14:paraId="1FA03A49" w14:textId="77777777" w:rsidR="007E31E3" w:rsidRPr="00524435" w:rsidRDefault="007E31E3" w:rsidP="00820229">
            <w:pPr>
              <w:ind w:firstLine="41"/>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60E8D05E"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5E8E9BC9"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67%</w:t>
            </w:r>
          </w:p>
        </w:tc>
        <w:tc>
          <w:tcPr>
            <w:tcW w:w="1260" w:type="dxa"/>
          </w:tcPr>
          <w:p w14:paraId="1FFB4E9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17D5C542" w14:textId="77777777" w:rsidTr="00820229">
        <w:trPr>
          <w:cnfStyle w:val="000000100000" w:firstRow="0" w:lastRow="0" w:firstColumn="0" w:lastColumn="0" w:oddVBand="0" w:evenVBand="0" w:oddHBand="1" w:evenHBand="0" w:firstRowFirstColumn="0" w:firstRowLastColumn="0" w:lastRowFirstColumn="0" w:lastRowLastColumn="0"/>
          <w:trHeight w:val="945"/>
          <w:jc w:val="center"/>
        </w:trPr>
        <w:tc>
          <w:tcPr>
            <w:tcW w:w="2250" w:type="dxa"/>
          </w:tcPr>
          <w:p w14:paraId="24129EC5" w14:textId="77777777" w:rsidR="007E31E3" w:rsidRPr="00E42B49" w:rsidRDefault="007E31E3" w:rsidP="008B0732">
            <w:pPr>
              <w:numPr>
                <w:ilvl w:val="0"/>
                <w:numId w:val="18"/>
              </w:numPr>
              <w:tabs>
                <w:tab w:val="num" w:pos="341"/>
              </w:tabs>
              <w:ind w:firstLine="0"/>
              <w:jc w:val="both"/>
              <w:rPr>
                <w:rFonts w:ascii="Cambria" w:hAnsi="Cambria" w:cstheme="minorHAnsi"/>
                <w:sz w:val="18"/>
                <w:szCs w:val="18"/>
                <w:lang w:val="es-US"/>
              </w:rPr>
            </w:pPr>
            <w:r w:rsidRPr="00E42B49">
              <w:rPr>
                <w:rFonts w:ascii="Cambria" w:hAnsi="Cambria" w:cstheme="minorHAnsi"/>
                <w:sz w:val="18"/>
                <w:szCs w:val="18"/>
                <w:lang w:val="es-US"/>
              </w:rPr>
              <w:t xml:space="preserve">Case 12.376,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59/14, Alba Lucía, Rodríguez (Colombia)</w:t>
            </w:r>
          </w:p>
        </w:tc>
        <w:tc>
          <w:tcPr>
            <w:tcW w:w="1170" w:type="dxa"/>
            <w:vMerge/>
          </w:tcPr>
          <w:p w14:paraId="7961B525" w14:textId="77777777" w:rsidR="007E31E3" w:rsidRPr="00E42B49" w:rsidRDefault="007E31E3" w:rsidP="00820229">
            <w:pPr>
              <w:jc w:val="center"/>
              <w:rPr>
                <w:rFonts w:ascii="Cambria" w:hAnsi="Cambria" w:cstheme="minorHAnsi"/>
                <w:sz w:val="18"/>
                <w:szCs w:val="18"/>
                <w:lang w:val="es-US"/>
              </w:rPr>
            </w:pPr>
          </w:p>
        </w:tc>
        <w:tc>
          <w:tcPr>
            <w:tcW w:w="1316" w:type="dxa"/>
          </w:tcPr>
          <w:p w14:paraId="346F3485" w14:textId="77777777" w:rsidR="007E31E3" w:rsidRPr="00E42B49" w:rsidRDefault="007E31E3" w:rsidP="00820229">
            <w:pPr>
              <w:jc w:val="center"/>
              <w:rPr>
                <w:rFonts w:ascii="Cambria" w:hAnsi="Cambria" w:cstheme="minorHAnsi"/>
                <w:sz w:val="18"/>
                <w:szCs w:val="18"/>
                <w:lang w:val="es-US"/>
              </w:rPr>
            </w:pPr>
          </w:p>
        </w:tc>
        <w:tc>
          <w:tcPr>
            <w:tcW w:w="1170" w:type="dxa"/>
          </w:tcPr>
          <w:p w14:paraId="293E9155"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605A3A80"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00832B6D"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29%</w:t>
            </w:r>
          </w:p>
        </w:tc>
        <w:tc>
          <w:tcPr>
            <w:tcW w:w="1260" w:type="dxa"/>
          </w:tcPr>
          <w:p w14:paraId="4325AFC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25C3EC90" w14:textId="77777777" w:rsidTr="00820229">
        <w:trPr>
          <w:cnfStyle w:val="000000010000" w:firstRow="0" w:lastRow="0" w:firstColumn="0" w:lastColumn="0" w:oddVBand="0" w:evenVBand="0" w:oddHBand="0" w:evenHBand="1" w:firstRowFirstColumn="0" w:firstRowLastColumn="0" w:lastRowFirstColumn="0" w:lastRowLastColumn="0"/>
          <w:trHeight w:val="1116"/>
          <w:jc w:val="center"/>
        </w:trPr>
        <w:tc>
          <w:tcPr>
            <w:tcW w:w="2250" w:type="dxa"/>
          </w:tcPr>
          <w:p w14:paraId="7EFD30FE" w14:textId="77777777" w:rsidR="007E31E3" w:rsidRPr="00524435" w:rsidRDefault="007E31E3" w:rsidP="008B0732">
            <w:pPr>
              <w:numPr>
                <w:ilvl w:val="0"/>
                <w:numId w:val="18"/>
              </w:numPr>
              <w:tabs>
                <w:tab w:val="num" w:pos="341"/>
              </w:tabs>
              <w:ind w:firstLine="0"/>
              <w:jc w:val="both"/>
              <w:rPr>
                <w:rFonts w:ascii="Cambria" w:hAnsi="Cambria" w:cstheme="minorHAnsi"/>
                <w:sz w:val="18"/>
                <w:szCs w:val="18"/>
              </w:rPr>
            </w:pPr>
            <w:r w:rsidRPr="00524435">
              <w:rPr>
                <w:rFonts w:ascii="Cambria" w:hAnsi="Cambria" w:cstheme="minorHAnsi"/>
                <w:sz w:val="18"/>
                <w:szCs w:val="18"/>
              </w:rPr>
              <w:t xml:space="preserve">Case 12.756, Report No. 10/15, Massacre El </w:t>
            </w:r>
            <w:proofErr w:type="spellStart"/>
            <w:r w:rsidRPr="00524435">
              <w:rPr>
                <w:rFonts w:ascii="Cambria" w:hAnsi="Cambria" w:cstheme="minorHAnsi"/>
                <w:sz w:val="18"/>
                <w:szCs w:val="18"/>
              </w:rPr>
              <w:t>Aracatazzo</w:t>
            </w:r>
            <w:proofErr w:type="spellEnd"/>
            <w:r w:rsidRPr="00524435">
              <w:rPr>
                <w:rFonts w:ascii="Cambria" w:hAnsi="Cambria" w:cstheme="minorHAnsi"/>
                <w:sz w:val="18"/>
                <w:szCs w:val="18"/>
              </w:rPr>
              <w:t xml:space="preserve"> Bar (Colombia)</w:t>
            </w:r>
          </w:p>
        </w:tc>
        <w:tc>
          <w:tcPr>
            <w:tcW w:w="1170" w:type="dxa"/>
            <w:vMerge/>
          </w:tcPr>
          <w:p w14:paraId="524D6D12" w14:textId="77777777" w:rsidR="007E31E3" w:rsidRPr="00524435" w:rsidRDefault="007E31E3" w:rsidP="00820229">
            <w:pPr>
              <w:jc w:val="center"/>
              <w:rPr>
                <w:rFonts w:ascii="Cambria" w:hAnsi="Cambria" w:cstheme="minorHAnsi"/>
                <w:sz w:val="18"/>
                <w:szCs w:val="18"/>
              </w:rPr>
            </w:pPr>
          </w:p>
        </w:tc>
        <w:tc>
          <w:tcPr>
            <w:tcW w:w="1316" w:type="dxa"/>
          </w:tcPr>
          <w:p w14:paraId="7F5E1B7C" w14:textId="77777777" w:rsidR="007E31E3" w:rsidRPr="00524435" w:rsidRDefault="007E31E3" w:rsidP="00820229">
            <w:pPr>
              <w:jc w:val="center"/>
              <w:rPr>
                <w:rFonts w:ascii="Cambria" w:hAnsi="Cambria" w:cstheme="minorHAnsi"/>
                <w:sz w:val="18"/>
                <w:szCs w:val="18"/>
              </w:rPr>
            </w:pPr>
          </w:p>
        </w:tc>
        <w:tc>
          <w:tcPr>
            <w:tcW w:w="1170" w:type="dxa"/>
          </w:tcPr>
          <w:p w14:paraId="58515CF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4468E99E"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07D72379"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80%</w:t>
            </w:r>
          </w:p>
        </w:tc>
        <w:tc>
          <w:tcPr>
            <w:tcW w:w="1260" w:type="dxa"/>
          </w:tcPr>
          <w:p w14:paraId="6378A0F6"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4E466074" w14:textId="77777777" w:rsidTr="00820229">
        <w:trPr>
          <w:cnfStyle w:val="000000100000" w:firstRow="0" w:lastRow="0" w:firstColumn="0" w:lastColumn="0" w:oddVBand="0" w:evenVBand="0" w:oddHBand="1" w:evenHBand="0" w:firstRowFirstColumn="0" w:firstRowLastColumn="0" w:lastRowFirstColumn="0" w:lastRowLastColumn="0"/>
          <w:trHeight w:val="1125"/>
          <w:jc w:val="center"/>
        </w:trPr>
        <w:tc>
          <w:tcPr>
            <w:tcW w:w="2250" w:type="dxa"/>
          </w:tcPr>
          <w:p w14:paraId="68571911" w14:textId="77777777" w:rsidR="007E31E3" w:rsidRPr="00524435" w:rsidRDefault="007E31E3" w:rsidP="008B0732">
            <w:pPr>
              <w:numPr>
                <w:ilvl w:val="0"/>
                <w:numId w:val="18"/>
              </w:numPr>
              <w:tabs>
                <w:tab w:val="num" w:pos="341"/>
              </w:tabs>
              <w:ind w:firstLine="0"/>
              <w:jc w:val="both"/>
              <w:rPr>
                <w:rFonts w:ascii="Cambria" w:hAnsi="Cambria" w:cstheme="minorHAnsi"/>
                <w:sz w:val="18"/>
                <w:szCs w:val="18"/>
              </w:rPr>
            </w:pPr>
            <w:r w:rsidRPr="00524435">
              <w:rPr>
                <w:rFonts w:ascii="Cambria" w:hAnsi="Cambria" w:cstheme="minorHAnsi"/>
                <w:sz w:val="18"/>
                <w:szCs w:val="18"/>
              </w:rPr>
              <w:t>Petition 108-00, Report No. 38/15, Massacre of Segovia (28 family groups) (Colombia)</w:t>
            </w:r>
          </w:p>
        </w:tc>
        <w:tc>
          <w:tcPr>
            <w:tcW w:w="1170" w:type="dxa"/>
            <w:vMerge/>
          </w:tcPr>
          <w:p w14:paraId="70698953" w14:textId="77777777" w:rsidR="007E31E3" w:rsidRPr="00524435" w:rsidRDefault="007E31E3" w:rsidP="00820229">
            <w:pPr>
              <w:jc w:val="center"/>
              <w:rPr>
                <w:rFonts w:ascii="Cambria" w:hAnsi="Cambria" w:cstheme="minorHAnsi"/>
                <w:sz w:val="18"/>
                <w:szCs w:val="18"/>
              </w:rPr>
            </w:pPr>
          </w:p>
        </w:tc>
        <w:tc>
          <w:tcPr>
            <w:tcW w:w="1316" w:type="dxa"/>
          </w:tcPr>
          <w:p w14:paraId="1BC6216D" w14:textId="77777777" w:rsidR="007E31E3" w:rsidRPr="00524435" w:rsidRDefault="007E31E3" w:rsidP="00820229">
            <w:pPr>
              <w:jc w:val="center"/>
              <w:rPr>
                <w:rFonts w:ascii="Cambria" w:hAnsi="Cambria" w:cstheme="minorHAnsi"/>
                <w:sz w:val="18"/>
                <w:szCs w:val="18"/>
              </w:rPr>
            </w:pPr>
          </w:p>
        </w:tc>
        <w:tc>
          <w:tcPr>
            <w:tcW w:w="1170" w:type="dxa"/>
          </w:tcPr>
          <w:p w14:paraId="1AFD1835"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7A967946"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79B77254"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40%</w:t>
            </w:r>
          </w:p>
        </w:tc>
        <w:tc>
          <w:tcPr>
            <w:tcW w:w="1260" w:type="dxa"/>
          </w:tcPr>
          <w:p w14:paraId="0DAA031E"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37537DCF" w14:textId="77777777" w:rsidTr="00820229">
        <w:trPr>
          <w:cnfStyle w:val="000000010000" w:firstRow="0" w:lastRow="0" w:firstColumn="0" w:lastColumn="0" w:oddVBand="0" w:evenVBand="0" w:oddHBand="0" w:evenHBand="1" w:firstRowFirstColumn="0" w:firstRowLastColumn="0" w:lastRowFirstColumn="0" w:lastRowLastColumn="0"/>
          <w:trHeight w:val="963"/>
          <w:jc w:val="center"/>
        </w:trPr>
        <w:tc>
          <w:tcPr>
            <w:tcW w:w="2250" w:type="dxa"/>
          </w:tcPr>
          <w:p w14:paraId="7CEF11B6" w14:textId="77777777" w:rsidR="007E31E3" w:rsidRPr="00524435" w:rsidRDefault="007E31E3" w:rsidP="008B0732">
            <w:pPr>
              <w:numPr>
                <w:ilvl w:val="0"/>
                <w:numId w:val="18"/>
              </w:numPr>
              <w:tabs>
                <w:tab w:val="num" w:pos="341"/>
              </w:tabs>
              <w:ind w:firstLine="0"/>
              <w:jc w:val="both"/>
              <w:rPr>
                <w:rFonts w:ascii="Cambria" w:hAnsi="Cambria" w:cstheme="minorHAnsi"/>
                <w:sz w:val="18"/>
                <w:szCs w:val="18"/>
              </w:rPr>
            </w:pPr>
            <w:r w:rsidRPr="00524435">
              <w:rPr>
                <w:rFonts w:ascii="Cambria" w:hAnsi="Cambria" w:cstheme="minorHAnsi"/>
                <w:sz w:val="18"/>
                <w:szCs w:val="18"/>
              </w:rPr>
              <w:t xml:space="preserve">Petition 577-06, Report No. 82/15, Gloria </w:t>
            </w:r>
            <w:proofErr w:type="gramStart"/>
            <w:r w:rsidRPr="00524435">
              <w:rPr>
                <w:rFonts w:ascii="Cambria" w:hAnsi="Cambria" w:cstheme="minorHAnsi"/>
                <w:sz w:val="18"/>
                <w:szCs w:val="18"/>
              </w:rPr>
              <w:t>González</w:t>
            </w:r>
            <w:proofErr w:type="gramEnd"/>
            <w:r w:rsidRPr="00524435">
              <w:rPr>
                <w:rFonts w:ascii="Cambria" w:hAnsi="Cambria" w:cstheme="minorHAnsi"/>
                <w:sz w:val="18"/>
                <w:szCs w:val="18"/>
              </w:rPr>
              <w:t xml:space="preserve"> and family (Colombia)</w:t>
            </w:r>
          </w:p>
        </w:tc>
        <w:tc>
          <w:tcPr>
            <w:tcW w:w="1170" w:type="dxa"/>
            <w:vMerge/>
          </w:tcPr>
          <w:p w14:paraId="7A876F92" w14:textId="77777777" w:rsidR="007E31E3" w:rsidRPr="00524435" w:rsidRDefault="007E31E3" w:rsidP="00820229">
            <w:pPr>
              <w:jc w:val="center"/>
              <w:rPr>
                <w:rFonts w:ascii="Cambria" w:hAnsi="Cambria" w:cstheme="minorHAnsi"/>
                <w:sz w:val="18"/>
                <w:szCs w:val="18"/>
              </w:rPr>
            </w:pPr>
          </w:p>
        </w:tc>
        <w:tc>
          <w:tcPr>
            <w:tcW w:w="1316" w:type="dxa"/>
          </w:tcPr>
          <w:p w14:paraId="38D02901" w14:textId="77777777" w:rsidR="007E31E3" w:rsidRPr="00524435" w:rsidRDefault="007E31E3" w:rsidP="00820229">
            <w:pPr>
              <w:jc w:val="center"/>
              <w:rPr>
                <w:rFonts w:ascii="Cambria" w:hAnsi="Cambria" w:cstheme="minorHAnsi"/>
                <w:sz w:val="18"/>
                <w:szCs w:val="18"/>
              </w:rPr>
            </w:pPr>
          </w:p>
        </w:tc>
        <w:tc>
          <w:tcPr>
            <w:tcW w:w="1170" w:type="dxa"/>
          </w:tcPr>
          <w:p w14:paraId="24C1D3A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3AE22BD3"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11B81C4A"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50%</w:t>
            </w:r>
          </w:p>
        </w:tc>
        <w:tc>
          <w:tcPr>
            <w:tcW w:w="1260" w:type="dxa"/>
          </w:tcPr>
          <w:p w14:paraId="5F22062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3117C7E9" w14:textId="77777777" w:rsidTr="00820229">
        <w:trPr>
          <w:cnfStyle w:val="000000100000" w:firstRow="0" w:lastRow="0" w:firstColumn="0" w:lastColumn="0" w:oddVBand="0" w:evenVBand="0" w:oddHBand="1" w:evenHBand="0" w:firstRowFirstColumn="0" w:firstRowLastColumn="0" w:lastRowFirstColumn="0" w:lastRowLastColumn="0"/>
          <w:trHeight w:val="855"/>
          <w:jc w:val="center"/>
        </w:trPr>
        <w:tc>
          <w:tcPr>
            <w:tcW w:w="2250" w:type="dxa"/>
          </w:tcPr>
          <w:p w14:paraId="190E2E0A" w14:textId="77777777" w:rsidR="007E31E3" w:rsidRPr="00E42B49" w:rsidRDefault="007E31E3" w:rsidP="008B0732">
            <w:pPr>
              <w:numPr>
                <w:ilvl w:val="0"/>
                <w:numId w:val="18"/>
              </w:numPr>
              <w:tabs>
                <w:tab w:val="num" w:pos="341"/>
              </w:tabs>
              <w:ind w:firstLine="0"/>
              <w:jc w:val="both"/>
              <w:rPr>
                <w:rFonts w:ascii="Cambria" w:hAnsi="Cambria" w:cstheme="minorHAnsi"/>
                <w:sz w:val="18"/>
                <w:szCs w:val="18"/>
                <w:lang w:val="es-US"/>
              </w:rPr>
            </w:pPr>
            <w:r w:rsidRPr="00E42B49">
              <w:rPr>
                <w:rFonts w:ascii="Cambria" w:hAnsi="Cambria" w:cstheme="minorHAnsi"/>
                <w:sz w:val="18"/>
                <w:szCs w:val="18"/>
                <w:lang w:val="es-US"/>
              </w:rPr>
              <w:t xml:space="preserve">Case 11.538,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43/16, Herson Javier Caro (Colombia)</w:t>
            </w:r>
          </w:p>
        </w:tc>
        <w:tc>
          <w:tcPr>
            <w:tcW w:w="1170" w:type="dxa"/>
            <w:vMerge/>
          </w:tcPr>
          <w:p w14:paraId="5009062E" w14:textId="77777777" w:rsidR="007E31E3" w:rsidRPr="00E42B49" w:rsidRDefault="007E31E3" w:rsidP="00820229">
            <w:pPr>
              <w:jc w:val="center"/>
              <w:rPr>
                <w:rFonts w:ascii="Cambria" w:hAnsi="Cambria" w:cstheme="minorHAnsi"/>
                <w:sz w:val="18"/>
                <w:szCs w:val="18"/>
                <w:lang w:val="es-US"/>
              </w:rPr>
            </w:pPr>
          </w:p>
        </w:tc>
        <w:tc>
          <w:tcPr>
            <w:tcW w:w="1316" w:type="dxa"/>
          </w:tcPr>
          <w:p w14:paraId="053EF6AB" w14:textId="77777777" w:rsidR="007E31E3" w:rsidRPr="00E42B49" w:rsidRDefault="007E31E3" w:rsidP="00820229">
            <w:pPr>
              <w:jc w:val="center"/>
              <w:rPr>
                <w:rFonts w:ascii="Cambria" w:hAnsi="Cambria" w:cstheme="minorHAnsi"/>
                <w:sz w:val="18"/>
                <w:szCs w:val="18"/>
                <w:lang w:val="es-US"/>
              </w:rPr>
            </w:pPr>
          </w:p>
        </w:tc>
        <w:tc>
          <w:tcPr>
            <w:tcW w:w="1170" w:type="dxa"/>
          </w:tcPr>
          <w:p w14:paraId="5B89BD6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4E3537D2"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6AAB4DBA"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88%</w:t>
            </w:r>
          </w:p>
        </w:tc>
        <w:tc>
          <w:tcPr>
            <w:tcW w:w="1260" w:type="dxa"/>
          </w:tcPr>
          <w:p w14:paraId="48D1BBA0"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109455A0" w14:textId="77777777" w:rsidTr="00820229">
        <w:trPr>
          <w:cnfStyle w:val="000000010000" w:firstRow="0" w:lastRow="0" w:firstColumn="0" w:lastColumn="0" w:oddVBand="0" w:evenVBand="0" w:oddHBand="0" w:evenHBand="1" w:firstRowFirstColumn="0" w:firstRowLastColumn="0" w:lastRowFirstColumn="0" w:lastRowLastColumn="0"/>
          <w:trHeight w:val="1350"/>
          <w:jc w:val="center"/>
        </w:trPr>
        <w:tc>
          <w:tcPr>
            <w:tcW w:w="2250" w:type="dxa"/>
          </w:tcPr>
          <w:p w14:paraId="785D06DD" w14:textId="77777777" w:rsidR="007E31E3" w:rsidRPr="00E42B49" w:rsidRDefault="007E31E3" w:rsidP="008B0732">
            <w:pPr>
              <w:numPr>
                <w:ilvl w:val="0"/>
                <w:numId w:val="18"/>
              </w:numPr>
              <w:tabs>
                <w:tab w:val="num" w:pos="341"/>
              </w:tabs>
              <w:ind w:firstLine="0"/>
              <w:jc w:val="both"/>
              <w:rPr>
                <w:rFonts w:ascii="Cambria" w:hAnsi="Cambria" w:cstheme="minorHAnsi"/>
                <w:sz w:val="18"/>
                <w:szCs w:val="18"/>
                <w:lang w:val="es-US"/>
              </w:rPr>
            </w:pPr>
            <w:r w:rsidRPr="00E42B49">
              <w:rPr>
                <w:rFonts w:ascii="Cambria" w:hAnsi="Cambria" w:cstheme="minorHAnsi"/>
                <w:sz w:val="18"/>
                <w:szCs w:val="18"/>
                <w:lang w:val="es-US"/>
              </w:rPr>
              <w:t xml:space="preserve">Case 12.541,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67/16, Omar Zúñiga Vásquez and Amira Isabel Vásquez de Zúñiga (Colombia)</w:t>
            </w:r>
          </w:p>
        </w:tc>
        <w:tc>
          <w:tcPr>
            <w:tcW w:w="1170" w:type="dxa"/>
            <w:vMerge/>
          </w:tcPr>
          <w:p w14:paraId="23DD4898" w14:textId="77777777" w:rsidR="007E31E3" w:rsidRPr="00E42B49" w:rsidRDefault="007E31E3" w:rsidP="00820229">
            <w:pPr>
              <w:jc w:val="center"/>
              <w:rPr>
                <w:rFonts w:ascii="Cambria" w:hAnsi="Cambria" w:cstheme="minorHAnsi"/>
                <w:sz w:val="18"/>
                <w:szCs w:val="18"/>
                <w:lang w:val="es-US"/>
              </w:rPr>
            </w:pPr>
          </w:p>
        </w:tc>
        <w:tc>
          <w:tcPr>
            <w:tcW w:w="1316" w:type="dxa"/>
          </w:tcPr>
          <w:p w14:paraId="7B36AFE1" w14:textId="77777777" w:rsidR="007E31E3" w:rsidRPr="00E42B49" w:rsidRDefault="007E31E3" w:rsidP="00820229">
            <w:pPr>
              <w:jc w:val="center"/>
              <w:rPr>
                <w:rFonts w:ascii="Cambria" w:hAnsi="Cambria" w:cstheme="minorHAnsi"/>
                <w:sz w:val="18"/>
                <w:szCs w:val="18"/>
                <w:lang w:val="es-US"/>
              </w:rPr>
            </w:pPr>
          </w:p>
        </w:tc>
        <w:tc>
          <w:tcPr>
            <w:tcW w:w="1170" w:type="dxa"/>
          </w:tcPr>
          <w:p w14:paraId="7C064192"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170E818B"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228C5C95"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22%</w:t>
            </w:r>
          </w:p>
        </w:tc>
        <w:tc>
          <w:tcPr>
            <w:tcW w:w="1260" w:type="dxa"/>
          </w:tcPr>
          <w:p w14:paraId="7DC8849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6381CC46" w14:textId="77777777" w:rsidTr="00820229">
        <w:trPr>
          <w:cnfStyle w:val="000000100000" w:firstRow="0" w:lastRow="0" w:firstColumn="0" w:lastColumn="0" w:oddVBand="0" w:evenVBand="0" w:oddHBand="1" w:evenHBand="0" w:firstRowFirstColumn="0" w:firstRowLastColumn="0" w:lastRowFirstColumn="0" w:lastRowLastColumn="0"/>
          <w:trHeight w:val="945"/>
          <w:jc w:val="center"/>
        </w:trPr>
        <w:tc>
          <w:tcPr>
            <w:tcW w:w="2250" w:type="dxa"/>
          </w:tcPr>
          <w:p w14:paraId="25A5A5D5" w14:textId="77777777" w:rsidR="007E31E3" w:rsidRPr="00524435" w:rsidRDefault="007E31E3" w:rsidP="008B0732">
            <w:pPr>
              <w:numPr>
                <w:ilvl w:val="0"/>
                <w:numId w:val="18"/>
              </w:numPr>
              <w:tabs>
                <w:tab w:val="num" w:pos="341"/>
              </w:tabs>
              <w:ind w:firstLine="0"/>
              <w:jc w:val="both"/>
              <w:rPr>
                <w:rFonts w:ascii="Cambria" w:hAnsi="Cambria" w:cstheme="minorHAnsi"/>
                <w:sz w:val="18"/>
                <w:szCs w:val="18"/>
              </w:rPr>
            </w:pPr>
            <w:r w:rsidRPr="00524435">
              <w:rPr>
                <w:rFonts w:ascii="Cambria" w:hAnsi="Cambria" w:cstheme="minorHAnsi"/>
                <w:sz w:val="18"/>
                <w:szCs w:val="18"/>
              </w:rPr>
              <w:t>Case 11.007, Report No. 68/16, Massacre of Trujillo (Colombia)</w:t>
            </w:r>
          </w:p>
        </w:tc>
        <w:tc>
          <w:tcPr>
            <w:tcW w:w="1170" w:type="dxa"/>
            <w:vMerge/>
          </w:tcPr>
          <w:p w14:paraId="5ED79386" w14:textId="77777777" w:rsidR="007E31E3" w:rsidRPr="00524435" w:rsidRDefault="007E31E3" w:rsidP="00820229">
            <w:pPr>
              <w:jc w:val="center"/>
              <w:rPr>
                <w:rFonts w:ascii="Cambria" w:hAnsi="Cambria" w:cstheme="minorHAnsi"/>
                <w:sz w:val="18"/>
                <w:szCs w:val="18"/>
              </w:rPr>
            </w:pPr>
          </w:p>
        </w:tc>
        <w:tc>
          <w:tcPr>
            <w:tcW w:w="1316" w:type="dxa"/>
          </w:tcPr>
          <w:p w14:paraId="0F436FE6" w14:textId="77777777" w:rsidR="007E31E3" w:rsidRPr="00524435" w:rsidRDefault="007E31E3" w:rsidP="00820229">
            <w:pPr>
              <w:jc w:val="center"/>
              <w:rPr>
                <w:rFonts w:ascii="Cambria" w:hAnsi="Cambria" w:cstheme="minorHAnsi"/>
                <w:sz w:val="18"/>
                <w:szCs w:val="18"/>
              </w:rPr>
            </w:pPr>
          </w:p>
        </w:tc>
        <w:tc>
          <w:tcPr>
            <w:tcW w:w="1170" w:type="dxa"/>
          </w:tcPr>
          <w:p w14:paraId="29287378"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0FE27CD1"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7EDB1691"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50%</w:t>
            </w:r>
          </w:p>
        </w:tc>
        <w:tc>
          <w:tcPr>
            <w:tcW w:w="1260" w:type="dxa"/>
          </w:tcPr>
          <w:p w14:paraId="35FDC52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358A839B" w14:textId="77777777" w:rsidTr="00820229">
        <w:trPr>
          <w:cnfStyle w:val="000000010000" w:firstRow="0" w:lastRow="0" w:firstColumn="0" w:lastColumn="0" w:oddVBand="0" w:evenVBand="0" w:oddHBand="0" w:evenHBand="1" w:firstRowFirstColumn="0" w:firstRowLastColumn="0" w:lastRowFirstColumn="0" w:lastRowLastColumn="0"/>
          <w:trHeight w:val="945"/>
          <w:jc w:val="center"/>
        </w:trPr>
        <w:tc>
          <w:tcPr>
            <w:tcW w:w="2250" w:type="dxa"/>
          </w:tcPr>
          <w:p w14:paraId="0586887A" w14:textId="77777777" w:rsidR="007E31E3" w:rsidRPr="00524435" w:rsidRDefault="007E31E3" w:rsidP="008B0732">
            <w:pPr>
              <w:numPr>
                <w:ilvl w:val="0"/>
                <w:numId w:val="18"/>
              </w:numPr>
              <w:tabs>
                <w:tab w:val="num" w:pos="431"/>
              </w:tabs>
              <w:ind w:firstLine="0"/>
              <w:jc w:val="both"/>
              <w:rPr>
                <w:rFonts w:ascii="Cambria" w:hAnsi="Cambria" w:cstheme="minorHAnsi"/>
                <w:sz w:val="18"/>
                <w:szCs w:val="18"/>
              </w:rPr>
            </w:pPr>
            <w:r w:rsidRPr="00524435">
              <w:rPr>
                <w:rFonts w:ascii="Cambria" w:hAnsi="Cambria" w:cstheme="minorHAnsi"/>
                <w:sz w:val="18"/>
                <w:szCs w:val="18"/>
              </w:rPr>
              <w:lastRenderedPageBreak/>
              <w:t>Case 12.712, Report No. 135/17,</w:t>
            </w:r>
          </w:p>
          <w:p w14:paraId="152E6B24" w14:textId="77777777" w:rsidR="007E31E3" w:rsidRPr="00524435" w:rsidRDefault="007E31E3" w:rsidP="008B0732">
            <w:pPr>
              <w:tabs>
                <w:tab w:val="num" w:pos="431"/>
              </w:tabs>
              <w:jc w:val="both"/>
              <w:rPr>
                <w:rFonts w:ascii="Cambria" w:hAnsi="Cambria" w:cstheme="minorHAnsi"/>
                <w:sz w:val="18"/>
                <w:szCs w:val="18"/>
              </w:rPr>
            </w:pPr>
            <w:r w:rsidRPr="00524435">
              <w:rPr>
                <w:rFonts w:ascii="Cambria" w:hAnsi="Cambria" w:cstheme="minorHAnsi"/>
                <w:sz w:val="18"/>
                <w:szCs w:val="18"/>
              </w:rPr>
              <w:t xml:space="preserve">Rubén Darío </w:t>
            </w:r>
            <w:proofErr w:type="spellStart"/>
            <w:r w:rsidRPr="00524435">
              <w:rPr>
                <w:rFonts w:ascii="Cambria" w:hAnsi="Cambria" w:cstheme="minorHAnsi"/>
                <w:sz w:val="18"/>
                <w:szCs w:val="18"/>
              </w:rPr>
              <w:t>Arroyave</w:t>
            </w:r>
            <w:proofErr w:type="spellEnd"/>
            <w:r w:rsidRPr="00524435">
              <w:rPr>
                <w:rFonts w:ascii="Cambria" w:hAnsi="Cambria" w:cstheme="minorHAnsi"/>
                <w:sz w:val="18"/>
                <w:szCs w:val="18"/>
              </w:rPr>
              <w:t xml:space="preserve"> (Colombia)</w:t>
            </w:r>
          </w:p>
        </w:tc>
        <w:tc>
          <w:tcPr>
            <w:tcW w:w="1170" w:type="dxa"/>
            <w:vMerge/>
          </w:tcPr>
          <w:p w14:paraId="30D10E1C" w14:textId="77777777" w:rsidR="007E31E3" w:rsidRPr="00524435" w:rsidRDefault="007E31E3" w:rsidP="00820229">
            <w:pPr>
              <w:jc w:val="center"/>
              <w:rPr>
                <w:rFonts w:ascii="Cambria" w:hAnsi="Cambria" w:cstheme="minorHAnsi"/>
                <w:sz w:val="18"/>
                <w:szCs w:val="18"/>
              </w:rPr>
            </w:pPr>
          </w:p>
        </w:tc>
        <w:tc>
          <w:tcPr>
            <w:tcW w:w="1316" w:type="dxa"/>
          </w:tcPr>
          <w:p w14:paraId="5F170D54" w14:textId="77777777" w:rsidR="007E31E3" w:rsidRPr="00524435" w:rsidRDefault="007E31E3" w:rsidP="00820229">
            <w:pPr>
              <w:jc w:val="center"/>
              <w:rPr>
                <w:rFonts w:ascii="Cambria" w:hAnsi="Cambria" w:cstheme="minorHAnsi"/>
                <w:sz w:val="18"/>
                <w:szCs w:val="18"/>
              </w:rPr>
            </w:pPr>
          </w:p>
        </w:tc>
        <w:tc>
          <w:tcPr>
            <w:tcW w:w="1170" w:type="dxa"/>
          </w:tcPr>
          <w:p w14:paraId="12674275"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1E6D4E69"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6265C5B2"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50%</w:t>
            </w:r>
          </w:p>
        </w:tc>
        <w:tc>
          <w:tcPr>
            <w:tcW w:w="1260" w:type="dxa"/>
          </w:tcPr>
          <w:p w14:paraId="755E164D"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16337107" w14:textId="77777777" w:rsidTr="00820229">
        <w:trPr>
          <w:cnfStyle w:val="000000100000" w:firstRow="0" w:lastRow="0" w:firstColumn="0" w:lastColumn="0" w:oddVBand="0" w:evenVBand="0" w:oddHBand="1" w:evenHBand="0" w:firstRowFirstColumn="0" w:firstRowLastColumn="0" w:lastRowFirstColumn="0" w:lastRowLastColumn="0"/>
          <w:trHeight w:val="936"/>
          <w:jc w:val="center"/>
        </w:trPr>
        <w:tc>
          <w:tcPr>
            <w:tcW w:w="2250" w:type="dxa"/>
          </w:tcPr>
          <w:p w14:paraId="1DE7A010" w14:textId="77777777" w:rsidR="007E31E3" w:rsidRPr="00524435" w:rsidRDefault="007E31E3" w:rsidP="008B0732">
            <w:pPr>
              <w:numPr>
                <w:ilvl w:val="0"/>
                <w:numId w:val="18"/>
              </w:numPr>
              <w:tabs>
                <w:tab w:val="num" w:pos="431"/>
              </w:tabs>
              <w:ind w:firstLine="0"/>
              <w:jc w:val="both"/>
              <w:rPr>
                <w:rFonts w:ascii="Cambria" w:hAnsi="Cambria" w:cstheme="minorHAnsi"/>
                <w:sz w:val="18"/>
                <w:szCs w:val="18"/>
              </w:rPr>
            </w:pPr>
            <w:r w:rsidRPr="00524435">
              <w:rPr>
                <w:rFonts w:ascii="Cambria" w:hAnsi="Cambria" w:cstheme="minorHAnsi"/>
                <w:sz w:val="18"/>
                <w:szCs w:val="18"/>
              </w:rPr>
              <w:t>Case 12.714, Report No. 136/17,</w:t>
            </w:r>
          </w:p>
          <w:p w14:paraId="59F4359E" w14:textId="77777777" w:rsidR="007E31E3" w:rsidRPr="00524435" w:rsidRDefault="007E31E3" w:rsidP="008B0732">
            <w:pPr>
              <w:tabs>
                <w:tab w:val="num" w:pos="431"/>
              </w:tabs>
              <w:jc w:val="both"/>
              <w:rPr>
                <w:rFonts w:ascii="Cambria" w:hAnsi="Cambria" w:cstheme="minorHAnsi"/>
                <w:sz w:val="18"/>
                <w:szCs w:val="18"/>
              </w:rPr>
            </w:pPr>
            <w:proofErr w:type="spellStart"/>
            <w:r w:rsidRPr="00524435">
              <w:rPr>
                <w:rFonts w:ascii="Cambria" w:hAnsi="Cambria" w:cstheme="minorHAnsi"/>
                <w:sz w:val="18"/>
                <w:szCs w:val="18"/>
              </w:rPr>
              <w:t>Belén</w:t>
            </w:r>
            <w:proofErr w:type="spellEnd"/>
            <w:r w:rsidRPr="00524435">
              <w:rPr>
                <w:rFonts w:ascii="Cambria" w:hAnsi="Cambria" w:cstheme="minorHAnsi"/>
                <w:sz w:val="18"/>
                <w:szCs w:val="18"/>
              </w:rPr>
              <w:t xml:space="preserve"> Altavista Massacre (Colombia)</w:t>
            </w:r>
          </w:p>
        </w:tc>
        <w:tc>
          <w:tcPr>
            <w:tcW w:w="1170" w:type="dxa"/>
            <w:vMerge/>
          </w:tcPr>
          <w:p w14:paraId="08B9C3E5" w14:textId="77777777" w:rsidR="007E31E3" w:rsidRPr="00524435" w:rsidRDefault="007E31E3" w:rsidP="00820229">
            <w:pPr>
              <w:jc w:val="center"/>
              <w:rPr>
                <w:rFonts w:ascii="Cambria" w:hAnsi="Cambria" w:cstheme="minorHAnsi"/>
                <w:sz w:val="18"/>
                <w:szCs w:val="18"/>
              </w:rPr>
            </w:pPr>
          </w:p>
        </w:tc>
        <w:tc>
          <w:tcPr>
            <w:tcW w:w="1316" w:type="dxa"/>
          </w:tcPr>
          <w:p w14:paraId="599CE555" w14:textId="77777777" w:rsidR="007E31E3" w:rsidRPr="00524435" w:rsidRDefault="007E31E3" w:rsidP="00820229">
            <w:pPr>
              <w:jc w:val="center"/>
              <w:rPr>
                <w:rFonts w:ascii="Cambria" w:hAnsi="Cambria" w:cstheme="minorHAnsi"/>
                <w:sz w:val="18"/>
                <w:szCs w:val="18"/>
              </w:rPr>
            </w:pPr>
          </w:p>
        </w:tc>
        <w:tc>
          <w:tcPr>
            <w:tcW w:w="1170" w:type="dxa"/>
          </w:tcPr>
          <w:p w14:paraId="7316D01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4D3AA108"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5D40883F"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60%</w:t>
            </w:r>
          </w:p>
        </w:tc>
        <w:tc>
          <w:tcPr>
            <w:tcW w:w="1260" w:type="dxa"/>
          </w:tcPr>
          <w:p w14:paraId="0FB7B8A6"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Active</w:t>
            </w:r>
          </w:p>
        </w:tc>
      </w:tr>
      <w:tr w:rsidR="007E31E3" w:rsidRPr="00524435" w14:paraId="2141230E" w14:textId="77777777" w:rsidTr="00820229">
        <w:trPr>
          <w:cnfStyle w:val="000000010000" w:firstRow="0" w:lastRow="0" w:firstColumn="0" w:lastColumn="0" w:oddVBand="0" w:evenVBand="0" w:oddHBand="0" w:evenHBand="1" w:firstRowFirstColumn="0" w:firstRowLastColumn="0" w:lastRowFirstColumn="0" w:lastRowLastColumn="0"/>
          <w:trHeight w:hRule="exact" w:val="972"/>
          <w:jc w:val="center"/>
        </w:trPr>
        <w:tc>
          <w:tcPr>
            <w:tcW w:w="2250" w:type="dxa"/>
          </w:tcPr>
          <w:p w14:paraId="4E83E046" w14:textId="77777777" w:rsidR="007E31E3" w:rsidRPr="00524435" w:rsidRDefault="007E31E3" w:rsidP="008B0732">
            <w:pPr>
              <w:numPr>
                <w:ilvl w:val="0"/>
                <w:numId w:val="18"/>
              </w:numPr>
              <w:tabs>
                <w:tab w:val="num" w:pos="431"/>
              </w:tabs>
              <w:ind w:firstLine="0"/>
              <w:jc w:val="both"/>
              <w:rPr>
                <w:rFonts w:ascii="Cambria" w:hAnsi="Cambria" w:cstheme="minorHAnsi"/>
                <w:sz w:val="18"/>
                <w:szCs w:val="18"/>
              </w:rPr>
            </w:pPr>
            <w:r w:rsidRPr="00524435">
              <w:rPr>
                <w:rFonts w:ascii="Cambria" w:hAnsi="Cambria" w:cstheme="minorHAnsi"/>
                <w:sz w:val="18"/>
                <w:szCs w:val="18"/>
              </w:rPr>
              <w:t xml:space="preserve">Case 12.941, Report No. 92/18, </w:t>
            </w:r>
            <w:proofErr w:type="spellStart"/>
            <w:proofErr w:type="gramStart"/>
            <w:r w:rsidRPr="00524435">
              <w:rPr>
                <w:rFonts w:ascii="Cambria" w:hAnsi="Cambria" w:cstheme="minorHAnsi"/>
                <w:sz w:val="18"/>
                <w:szCs w:val="18"/>
              </w:rPr>
              <w:t>Nicolasa</w:t>
            </w:r>
            <w:proofErr w:type="spellEnd"/>
            <w:proofErr w:type="gramEnd"/>
            <w:r w:rsidRPr="00524435">
              <w:rPr>
                <w:rFonts w:ascii="Cambria" w:hAnsi="Cambria" w:cstheme="minorHAnsi"/>
                <w:sz w:val="18"/>
                <w:szCs w:val="18"/>
              </w:rPr>
              <w:t xml:space="preserve"> and Family (Colombia)</w:t>
            </w:r>
          </w:p>
        </w:tc>
        <w:tc>
          <w:tcPr>
            <w:tcW w:w="1170" w:type="dxa"/>
            <w:vMerge/>
          </w:tcPr>
          <w:p w14:paraId="343FC941" w14:textId="77777777" w:rsidR="007E31E3" w:rsidRPr="00524435" w:rsidRDefault="007E31E3" w:rsidP="00820229">
            <w:pPr>
              <w:jc w:val="center"/>
              <w:rPr>
                <w:rFonts w:ascii="Cambria" w:hAnsi="Cambria" w:cstheme="minorHAnsi"/>
                <w:color w:val="1F497D"/>
                <w:sz w:val="18"/>
                <w:szCs w:val="18"/>
              </w:rPr>
            </w:pPr>
          </w:p>
        </w:tc>
        <w:tc>
          <w:tcPr>
            <w:tcW w:w="1316" w:type="dxa"/>
          </w:tcPr>
          <w:p w14:paraId="0E1884B4" w14:textId="77777777" w:rsidR="007E31E3" w:rsidRPr="00524435" w:rsidRDefault="007E31E3" w:rsidP="00820229">
            <w:pPr>
              <w:jc w:val="center"/>
              <w:rPr>
                <w:rFonts w:ascii="Cambria" w:hAnsi="Cambria" w:cstheme="minorHAnsi"/>
                <w:sz w:val="18"/>
                <w:szCs w:val="18"/>
              </w:rPr>
            </w:pPr>
          </w:p>
        </w:tc>
        <w:tc>
          <w:tcPr>
            <w:tcW w:w="1170" w:type="dxa"/>
          </w:tcPr>
          <w:p w14:paraId="5DA7A8C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0403E89E"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24FF9997"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14%</w:t>
            </w:r>
          </w:p>
        </w:tc>
        <w:tc>
          <w:tcPr>
            <w:tcW w:w="1260" w:type="dxa"/>
          </w:tcPr>
          <w:p w14:paraId="7CB4056D"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3091C5C1" w14:textId="77777777" w:rsidTr="001A680E">
        <w:trPr>
          <w:cnfStyle w:val="000000100000" w:firstRow="0" w:lastRow="0" w:firstColumn="0" w:lastColumn="0" w:oddVBand="0" w:evenVBand="0" w:oddHBand="1" w:evenHBand="0" w:firstRowFirstColumn="0" w:firstRowLastColumn="0" w:lastRowFirstColumn="0" w:lastRowLastColumn="0"/>
          <w:trHeight w:hRule="exact" w:val="1665"/>
          <w:jc w:val="center"/>
        </w:trPr>
        <w:tc>
          <w:tcPr>
            <w:tcW w:w="2250" w:type="dxa"/>
          </w:tcPr>
          <w:p w14:paraId="5AEA9EAF" w14:textId="77777777" w:rsidR="007E31E3" w:rsidRPr="003F238D" w:rsidRDefault="007E31E3" w:rsidP="008B0732">
            <w:pPr>
              <w:numPr>
                <w:ilvl w:val="0"/>
                <w:numId w:val="18"/>
              </w:numPr>
              <w:tabs>
                <w:tab w:val="num" w:pos="431"/>
              </w:tabs>
              <w:ind w:firstLine="0"/>
              <w:jc w:val="both"/>
              <w:rPr>
                <w:rFonts w:ascii="Cambria" w:hAnsi="Cambria" w:cstheme="minorHAnsi"/>
                <w:sz w:val="18"/>
                <w:szCs w:val="18"/>
                <w:lang w:val="es-US"/>
              </w:rPr>
            </w:pPr>
            <w:proofErr w:type="spellStart"/>
            <w:r w:rsidRPr="003F238D">
              <w:rPr>
                <w:rFonts w:ascii="Cambria" w:hAnsi="Cambria" w:cstheme="minorHAnsi"/>
                <w:sz w:val="18"/>
                <w:szCs w:val="18"/>
                <w:lang w:val="es-US"/>
              </w:rPr>
              <w:t>Petition</w:t>
            </w:r>
            <w:proofErr w:type="spellEnd"/>
            <w:r w:rsidRPr="003F238D">
              <w:rPr>
                <w:rFonts w:ascii="Cambria" w:hAnsi="Cambria" w:cstheme="minorHAnsi"/>
                <w:sz w:val="18"/>
                <w:szCs w:val="18"/>
                <w:lang w:val="es-US"/>
              </w:rPr>
              <w:t xml:space="preserve"> 799-06, </w:t>
            </w:r>
            <w:proofErr w:type="spellStart"/>
            <w:r w:rsidRPr="003F238D">
              <w:rPr>
                <w:rFonts w:ascii="Cambria" w:hAnsi="Cambria" w:cstheme="minorHAnsi"/>
                <w:sz w:val="18"/>
                <w:szCs w:val="18"/>
                <w:lang w:val="es-US"/>
              </w:rPr>
              <w:t>Report</w:t>
            </w:r>
            <w:proofErr w:type="spellEnd"/>
            <w:r w:rsidRPr="003F238D">
              <w:rPr>
                <w:rFonts w:ascii="Cambria" w:hAnsi="Cambria" w:cstheme="minorHAnsi"/>
                <w:sz w:val="18"/>
                <w:szCs w:val="18"/>
                <w:lang w:val="es-US"/>
              </w:rPr>
              <w:t xml:space="preserve"> No. 93/18, Isidoro León Ramírez, Pompilio De Jesús Cardona Escobar, Luis Fernando Velásquez Londoño and </w:t>
            </w:r>
            <w:proofErr w:type="spellStart"/>
            <w:proofErr w:type="gramStart"/>
            <w:r w:rsidRPr="003F238D">
              <w:rPr>
                <w:rFonts w:ascii="Cambria" w:hAnsi="Cambria" w:cstheme="minorHAnsi"/>
                <w:sz w:val="18"/>
                <w:szCs w:val="18"/>
                <w:lang w:val="es-US"/>
              </w:rPr>
              <w:t>Others</w:t>
            </w:r>
            <w:proofErr w:type="spellEnd"/>
            <w:r w:rsidRPr="003F238D">
              <w:rPr>
                <w:rFonts w:ascii="Cambria" w:hAnsi="Cambria" w:cstheme="minorHAnsi"/>
                <w:sz w:val="18"/>
                <w:szCs w:val="18"/>
                <w:lang w:val="es-US"/>
              </w:rPr>
              <w:t>  (</w:t>
            </w:r>
            <w:proofErr w:type="gramEnd"/>
            <w:r w:rsidRPr="003F238D">
              <w:rPr>
                <w:rFonts w:ascii="Cambria" w:hAnsi="Cambria" w:cstheme="minorHAnsi"/>
                <w:sz w:val="18"/>
                <w:szCs w:val="18"/>
                <w:lang w:val="es-US"/>
              </w:rPr>
              <w:t>Colombia)</w:t>
            </w:r>
          </w:p>
        </w:tc>
        <w:tc>
          <w:tcPr>
            <w:tcW w:w="1170" w:type="dxa"/>
            <w:vMerge/>
          </w:tcPr>
          <w:p w14:paraId="75D68E2A" w14:textId="77777777" w:rsidR="007E31E3" w:rsidRPr="003F238D" w:rsidRDefault="007E31E3" w:rsidP="00820229">
            <w:pPr>
              <w:jc w:val="center"/>
              <w:rPr>
                <w:rFonts w:ascii="Cambria" w:hAnsi="Cambria" w:cstheme="minorHAnsi"/>
                <w:color w:val="1F497D"/>
                <w:sz w:val="18"/>
                <w:szCs w:val="18"/>
                <w:lang w:val="es-US"/>
              </w:rPr>
            </w:pPr>
          </w:p>
        </w:tc>
        <w:tc>
          <w:tcPr>
            <w:tcW w:w="1316" w:type="dxa"/>
          </w:tcPr>
          <w:p w14:paraId="4318E55B" w14:textId="77777777" w:rsidR="007E31E3" w:rsidRPr="003F238D" w:rsidRDefault="007E31E3" w:rsidP="00820229">
            <w:pPr>
              <w:jc w:val="center"/>
              <w:rPr>
                <w:rFonts w:ascii="Cambria" w:hAnsi="Cambria" w:cstheme="minorHAnsi"/>
                <w:sz w:val="18"/>
                <w:szCs w:val="18"/>
                <w:lang w:val="es-US"/>
              </w:rPr>
            </w:pPr>
          </w:p>
        </w:tc>
        <w:tc>
          <w:tcPr>
            <w:tcW w:w="1170" w:type="dxa"/>
          </w:tcPr>
          <w:p w14:paraId="2D23B6E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4E2C12B5"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0BD68758"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33%</w:t>
            </w:r>
          </w:p>
        </w:tc>
        <w:tc>
          <w:tcPr>
            <w:tcW w:w="1260" w:type="dxa"/>
          </w:tcPr>
          <w:p w14:paraId="4012E96D"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48CFEE7D" w14:textId="77777777" w:rsidTr="001A680E">
        <w:trPr>
          <w:cnfStyle w:val="000000010000" w:firstRow="0" w:lastRow="0" w:firstColumn="0" w:lastColumn="0" w:oddVBand="0" w:evenVBand="0" w:oddHBand="0" w:evenHBand="1" w:firstRowFirstColumn="0" w:firstRowLastColumn="0" w:lastRowFirstColumn="0" w:lastRowLastColumn="0"/>
          <w:trHeight w:hRule="exact" w:val="1071"/>
          <w:jc w:val="center"/>
        </w:trPr>
        <w:tc>
          <w:tcPr>
            <w:tcW w:w="2250" w:type="dxa"/>
          </w:tcPr>
          <w:p w14:paraId="635C37B5" w14:textId="77777777" w:rsidR="007E31E3" w:rsidRPr="00E42B49" w:rsidRDefault="007E31E3" w:rsidP="008B0732">
            <w:pPr>
              <w:numPr>
                <w:ilvl w:val="0"/>
                <w:numId w:val="18"/>
              </w:numPr>
              <w:tabs>
                <w:tab w:val="num" w:pos="431"/>
              </w:tabs>
              <w:ind w:firstLine="0"/>
              <w:jc w:val="both"/>
              <w:rPr>
                <w:rFonts w:ascii="Cambria" w:hAnsi="Cambria" w:cstheme="minorHAnsi"/>
                <w:sz w:val="18"/>
                <w:szCs w:val="18"/>
                <w:lang w:val="es-US"/>
              </w:rPr>
            </w:pPr>
            <w:r w:rsidRPr="00E42B49">
              <w:rPr>
                <w:rFonts w:ascii="Cambria" w:hAnsi="Cambria" w:cstheme="minorHAnsi"/>
                <w:sz w:val="18"/>
                <w:szCs w:val="18"/>
                <w:lang w:val="es-US"/>
              </w:rPr>
              <w:t xml:space="preserve">Case 11.990 </w:t>
            </w:r>
            <w:proofErr w:type="gramStart"/>
            <w:r w:rsidRPr="00E42B49">
              <w:rPr>
                <w:rFonts w:ascii="Cambria" w:hAnsi="Cambria" w:cstheme="minorHAnsi"/>
                <w:sz w:val="18"/>
                <w:szCs w:val="18"/>
                <w:lang w:val="es-US"/>
              </w:rPr>
              <w:t xml:space="preserve">A,  </w:t>
            </w:r>
            <w:proofErr w:type="spellStart"/>
            <w:r w:rsidRPr="00E42B49">
              <w:rPr>
                <w:rFonts w:ascii="Cambria" w:hAnsi="Cambria" w:cstheme="minorHAnsi"/>
                <w:sz w:val="18"/>
                <w:szCs w:val="18"/>
                <w:lang w:val="es-US"/>
              </w:rPr>
              <w:t>Report</w:t>
            </w:r>
            <w:proofErr w:type="spellEnd"/>
            <w:proofErr w:type="gramEnd"/>
            <w:r w:rsidRPr="00E42B49">
              <w:rPr>
                <w:rFonts w:ascii="Cambria" w:hAnsi="Cambria" w:cstheme="minorHAnsi"/>
                <w:sz w:val="18"/>
                <w:szCs w:val="18"/>
                <w:lang w:val="es-US"/>
              </w:rPr>
              <w:t xml:space="preserve"> No. 34/19, Oscar Orlando Bueno Bonnet et al. (Colombia)</w:t>
            </w:r>
          </w:p>
        </w:tc>
        <w:tc>
          <w:tcPr>
            <w:tcW w:w="1170" w:type="dxa"/>
            <w:vMerge/>
          </w:tcPr>
          <w:p w14:paraId="63D1F63D" w14:textId="77777777" w:rsidR="007E31E3" w:rsidRPr="00E42B49" w:rsidRDefault="007E31E3" w:rsidP="00820229">
            <w:pPr>
              <w:jc w:val="center"/>
              <w:rPr>
                <w:rFonts w:ascii="Cambria" w:hAnsi="Cambria" w:cstheme="minorHAnsi"/>
                <w:color w:val="1F497D"/>
                <w:sz w:val="18"/>
                <w:szCs w:val="18"/>
                <w:lang w:val="es-US"/>
              </w:rPr>
            </w:pPr>
          </w:p>
        </w:tc>
        <w:tc>
          <w:tcPr>
            <w:tcW w:w="1316" w:type="dxa"/>
          </w:tcPr>
          <w:p w14:paraId="08E07A0D" w14:textId="77777777" w:rsidR="007E31E3" w:rsidRPr="00E42B49" w:rsidRDefault="007E31E3" w:rsidP="00820229">
            <w:pPr>
              <w:jc w:val="center"/>
              <w:rPr>
                <w:rFonts w:ascii="Cambria" w:hAnsi="Cambria" w:cstheme="minorHAnsi"/>
                <w:sz w:val="18"/>
                <w:szCs w:val="18"/>
                <w:lang w:val="es-US"/>
              </w:rPr>
            </w:pPr>
          </w:p>
        </w:tc>
        <w:tc>
          <w:tcPr>
            <w:tcW w:w="1170" w:type="dxa"/>
          </w:tcPr>
          <w:p w14:paraId="26B6E9D0"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5234A707"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48F8A8E9"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31%</w:t>
            </w:r>
          </w:p>
        </w:tc>
        <w:tc>
          <w:tcPr>
            <w:tcW w:w="1260" w:type="dxa"/>
          </w:tcPr>
          <w:p w14:paraId="0674C5A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7A2E209B" w14:textId="77777777" w:rsidTr="001A680E">
        <w:trPr>
          <w:cnfStyle w:val="000000100000" w:firstRow="0" w:lastRow="0" w:firstColumn="0" w:lastColumn="0" w:oddVBand="0" w:evenVBand="0" w:oddHBand="1" w:evenHBand="0" w:firstRowFirstColumn="0" w:firstRowLastColumn="0" w:lastRowFirstColumn="0" w:lastRowLastColumn="0"/>
          <w:trHeight w:hRule="exact" w:val="1080"/>
          <w:jc w:val="center"/>
        </w:trPr>
        <w:tc>
          <w:tcPr>
            <w:tcW w:w="2250" w:type="dxa"/>
          </w:tcPr>
          <w:p w14:paraId="6BFD022E" w14:textId="77777777" w:rsidR="007E31E3" w:rsidRPr="00E42B49" w:rsidRDefault="007E31E3" w:rsidP="008B0732">
            <w:pPr>
              <w:numPr>
                <w:ilvl w:val="0"/>
                <w:numId w:val="18"/>
              </w:numPr>
              <w:tabs>
                <w:tab w:val="num" w:pos="431"/>
              </w:tabs>
              <w:ind w:firstLine="0"/>
              <w:jc w:val="both"/>
              <w:rPr>
                <w:rFonts w:ascii="Cambria" w:hAnsi="Cambria" w:cstheme="minorHAnsi"/>
                <w:sz w:val="18"/>
                <w:szCs w:val="18"/>
                <w:lang w:val="es-US"/>
              </w:rPr>
            </w:pPr>
            <w:r w:rsidRPr="00E42B49">
              <w:rPr>
                <w:rFonts w:ascii="Cambria" w:hAnsi="Cambria" w:cstheme="minorHAnsi"/>
                <w:sz w:val="18"/>
                <w:szCs w:val="18"/>
                <w:lang w:val="es-US"/>
              </w:rPr>
              <w:t xml:space="preserve">Case 11.144,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109/19, Gerson Jairzinho González Arroyo (Colombia)</w:t>
            </w:r>
          </w:p>
        </w:tc>
        <w:tc>
          <w:tcPr>
            <w:tcW w:w="1170" w:type="dxa"/>
            <w:vMerge/>
          </w:tcPr>
          <w:p w14:paraId="64499792" w14:textId="77777777" w:rsidR="007E31E3" w:rsidRPr="00E42B49" w:rsidRDefault="007E31E3" w:rsidP="00820229">
            <w:pPr>
              <w:jc w:val="center"/>
              <w:rPr>
                <w:rFonts w:ascii="Cambria" w:hAnsi="Cambria" w:cstheme="minorHAnsi"/>
                <w:color w:val="1F497D"/>
                <w:sz w:val="18"/>
                <w:szCs w:val="18"/>
                <w:lang w:val="es-US"/>
              </w:rPr>
            </w:pPr>
          </w:p>
        </w:tc>
        <w:tc>
          <w:tcPr>
            <w:tcW w:w="1316" w:type="dxa"/>
          </w:tcPr>
          <w:p w14:paraId="7648956D" w14:textId="77777777" w:rsidR="007E31E3" w:rsidRPr="00E42B49" w:rsidRDefault="007E31E3" w:rsidP="00820229">
            <w:pPr>
              <w:jc w:val="center"/>
              <w:rPr>
                <w:rFonts w:ascii="Cambria" w:hAnsi="Cambria" w:cstheme="minorHAnsi"/>
                <w:sz w:val="18"/>
                <w:szCs w:val="18"/>
                <w:lang w:val="es-US"/>
              </w:rPr>
            </w:pPr>
          </w:p>
        </w:tc>
        <w:tc>
          <w:tcPr>
            <w:tcW w:w="1170" w:type="dxa"/>
          </w:tcPr>
          <w:p w14:paraId="59996B2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6DB1DC30"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5B590FC7"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56%</w:t>
            </w:r>
          </w:p>
        </w:tc>
        <w:tc>
          <w:tcPr>
            <w:tcW w:w="1260" w:type="dxa"/>
          </w:tcPr>
          <w:p w14:paraId="02BF265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4E31D556" w14:textId="77777777" w:rsidTr="001A680E">
        <w:trPr>
          <w:cnfStyle w:val="000000010000" w:firstRow="0" w:lastRow="0" w:firstColumn="0" w:lastColumn="0" w:oddVBand="0" w:evenVBand="0" w:oddHBand="0" w:evenHBand="1" w:firstRowFirstColumn="0" w:firstRowLastColumn="0" w:lastRowFirstColumn="0" w:lastRowLastColumn="0"/>
          <w:trHeight w:hRule="exact" w:val="1089"/>
          <w:jc w:val="center"/>
        </w:trPr>
        <w:tc>
          <w:tcPr>
            <w:tcW w:w="2250" w:type="dxa"/>
          </w:tcPr>
          <w:p w14:paraId="56A5CE13" w14:textId="77777777" w:rsidR="007E31E3" w:rsidRPr="00524435" w:rsidRDefault="007E31E3" w:rsidP="008B0732">
            <w:pPr>
              <w:numPr>
                <w:ilvl w:val="0"/>
                <w:numId w:val="18"/>
              </w:numPr>
              <w:tabs>
                <w:tab w:val="num" w:pos="431"/>
              </w:tabs>
              <w:ind w:firstLine="0"/>
              <w:jc w:val="both"/>
              <w:rPr>
                <w:rFonts w:ascii="Cambria" w:hAnsi="Cambria" w:cstheme="minorHAnsi"/>
                <w:sz w:val="18"/>
                <w:szCs w:val="18"/>
              </w:rPr>
            </w:pPr>
            <w:r w:rsidRPr="00524435">
              <w:rPr>
                <w:rFonts w:ascii="Cambria" w:hAnsi="Cambria" w:cstheme="minorHAnsi"/>
                <w:sz w:val="18"/>
                <w:szCs w:val="18"/>
              </w:rPr>
              <w:t xml:space="preserve">Case 13.776, Report No. 1/20, German Eduardo </w:t>
            </w:r>
            <w:proofErr w:type="spellStart"/>
            <w:proofErr w:type="gramStart"/>
            <w:r w:rsidRPr="00524435">
              <w:rPr>
                <w:rFonts w:ascii="Cambria" w:hAnsi="Cambria" w:cstheme="minorHAnsi"/>
                <w:sz w:val="18"/>
                <w:szCs w:val="18"/>
              </w:rPr>
              <w:t>Giraldo</w:t>
            </w:r>
            <w:proofErr w:type="spellEnd"/>
            <w:proofErr w:type="gramEnd"/>
            <w:r w:rsidRPr="00524435">
              <w:rPr>
                <w:rFonts w:ascii="Cambria" w:hAnsi="Cambria" w:cstheme="minorHAnsi"/>
                <w:sz w:val="18"/>
                <w:szCs w:val="18"/>
              </w:rPr>
              <w:t xml:space="preserve"> and family (Colombia)</w:t>
            </w:r>
          </w:p>
        </w:tc>
        <w:tc>
          <w:tcPr>
            <w:tcW w:w="1170" w:type="dxa"/>
            <w:vMerge/>
          </w:tcPr>
          <w:p w14:paraId="31DF91BC" w14:textId="77777777" w:rsidR="007E31E3" w:rsidRPr="00524435" w:rsidRDefault="007E31E3" w:rsidP="00820229">
            <w:pPr>
              <w:jc w:val="center"/>
              <w:rPr>
                <w:rFonts w:ascii="Cambria" w:hAnsi="Cambria" w:cstheme="minorHAnsi"/>
                <w:sz w:val="18"/>
                <w:szCs w:val="18"/>
              </w:rPr>
            </w:pPr>
          </w:p>
        </w:tc>
        <w:tc>
          <w:tcPr>
            <w:tcW w:w="1316" w:type="dxa"/>
          </w:tcPr>
          <w:p w14:paraId="68E6A32D" w14:textId="77777777" w:rsidR="007E31E3" w:rsidRPr="00524435" w:rsidRDefault="007E31E3" w:rsidP="00820229">
            <w:pPr>
              <w:jc w:val="center"/>
              <w:rPr>
                <w:rFonts w:ascii="Cambria" w:hAnsi="Cambria" w:cstheme="minorHAnsi"/>
                <w:sz w:val="18"/>
                <w:szCs w:val="18"/>
              </w:rPr>
            </w:pPr>
          </w:p>
        </w:tc>
        <w:tc>
          <w:tcPr>
            <w:tcW w:w="1170" w:type="dxa"/>
          </w:tcPr>
          <w:p w14:paraId="730ED2EE"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1ABEEFA5"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29FC5819"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33%</w:t>
            </w:r>
          </w:p>
        </w:tc>
        <w:tc>
          <w:tcPr>
            <w:tcW w:w="1260" w:type="dxa"/>
          </w:tcPr>
          <w:p w14:paraId="50CC71AD"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262925AA" w14:textId="77777777" w:rsidTr="001A680E">
        <w:trPr>
          <w:cnfStyle w:val="000000100000" w:firstRow="0" w:lastRow="0" w:firstColumn="0" w:lastColumn="0" w:oddVBand="0" w:evenVBand="0" w:oddHBand="1" w:evenHBand="0" w:firstRowFirstColumn="0" w:firstRowLastColumn="0" w:lastRowFirstColumn="0" w:lastRowLastColumn="0"/>
          <w:trHeight w:hRule="exact" w:val="810"/>
          <w:jc w:val="center"/>
        </w:trPr>
        <w:tc>
          <w:tcPr>
            <w:tcW w:w="2250" w:type="dxa"/>
          </w:tcPr>
          <w:p w14:paraId="68D215C3" w14:textId="77777777" w:rsidR="007E31E3" w:rsidRPr="00E42B49" w:rsidRDefault="007E31E3" w:rsidP="008B0732">
            <w:pPr>
              <w:numPr>
                <w:ilvl w:val="0"/>
                <w:numId w:val="18"/>
              </w:numPr>
              <w:tabs>
                <w:tab w:val="num" w:pos="431"/>
              </w:tabs>
              <w:ind w:firstLine="0"/>
              <w:jc w:val="both"/>
              <w:rPr>
                <w:rFonts w:ascii="Cambria" w:hAnsi="Cambria" w:cstheme="minorHAnsi"/>
                <w:sz w:val="18"/>
                <w:szCs w:val="18"/>
                <w:lang w:val="es-US"/>
              </w:rPr>
            </w:pPr>
            <w:r w:rsidRPr="00E42B49">
              <w:rPr>
                <w:rFonts w:ascii="Cambria" w:hAnsi="Cambria" w:cstheme="minorHAnsi"/>
                <w:sz w:val="18"/>
                <w:szCs w:val="18"/>
                <w:lang w:val="es-US"/>
              </w:rPr>
              <w:t xml:space="preserve">Case 13.728,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21/20, Amira Guzmán Alonso (Colombia)</w:t>
            </w:r>
          </w:p>
        </w:tc>
        <w:tc>
          <w:tcPr>
            <w:tcW w:w="1170" w:type="dxa"/>
            <w:vMerge/>
          </w:tcPr>
          <w:p w14:paraId="5E99CBA8" w14:textId="77777777" w:rsidR="007E31E3" w:rsidRPr="00E42B49" w:rsidRDefault="007E31E3" w:rsidP="00820229">
            <w:pPr>
              <w:jc w:val="center"/>
              <w:rPr>
                <w:rFonts w:ascii="Cambria" w:hAnsi="Cambria" w:cstheme="minorHAnsi"/>
                <w:sz w:val="18"/>
                <w:szCs w:val="18"/>
                <w:lang w:val="es-US"/>
              </w:rPr>
            </w:pPr>
          </w:p>
        </w:tc>
        <w:tc>
          <w:tcPr>
            <w:tcW w:w="1316" w:type="dxa"/>
          </w:tcPr>
          <w:p w14:paraId="4D26C27F" w14:textId="77777777" w:rsidR="007E31E3" w:rsidRPr="00E42B49" w:rsidRDefault="007E31E3" w:rsidP="00820229">
            <w:pPr>
              <w:jc w:val="center"/>
              <w:rPr>
                <w:rFonts w:ascii="Cambria" w:hAnsi="Cambria" w:cstheme="minorHAnsi"/>
                <w:sz w:val="18"/>
                <w:szCs w:val="18"/>
                <w:lang w:val="es-US"/>
              </w:rPr>
            </w:pPr>
          </w:p>
        </w:tc>
        <w:tc>
          <w:tcPr>
            <w:tcW w:w="1170" w:type="dxa"/>
          </w:tcPr>
          <w:p w14:paraId="63007380"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235BEEE3"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18E837D5"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75%</w:t>
            </w:r>
          </w:p>
        </w:tc>
        <w:tc>
          <w:tcPr>
            <w:tcW w:w="1260" w:type="dxa"/>
          </w:tcPr>
          <w:p w14:paraId="1FB2B727"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3C0BCA7F" w14:textId="77777777" w:rsidTr="00820229">
        <w:trPr>
          <w:cnfStyle w:val="000000010000" w:firstRow="0" w:lastRow="0" w:firstColumn="0" w:lastColumn="0" w:oddVBand="0" w:evenVBand="0" w:oddHBand="0" w:evenHBand="1" w:firstRowFirstColumn="0" w:firstRowLastColumn="0" w:lastRowFirstColumn="0" w:lastRowLastColumn="0"/>
          <w:trHeight w:hRule="exact" w:val="981"/>
          <w:jc w:val="center"/>
        </w:trPr>
        <w:tc>
          <w:tcPr>
            <w:tcW w:w="2250" w:type="dxa"/>
          </w:tcPr>
          <w:p w14:paraId="1396C413" w14:textId="77777777" w:rsidR="007E31E3" w:rsidRPr="00E42B49" w:rsidRDefault="007E31E3" w:rsidP="008B0732">
            <w:pPr>
              <w:numPr>
                <w:ilvl w:val="0"/>
                <w:numId w:val="18"/>
              </w:numPr>
              <w:tabs>
                <w:tab w:val="num" w:pos="431"/>
              </w:tabs>
              <w:ind w:firstLine="0"/>
              <w:jc w:val="both"/>
              <w:rPr>
                <w:rFonts w:ascii="Cambria" w:hAnsi="Cambria" w:cstheme="minorHAnsi"/>
                <w:sz w:val="18"/>
                <w:szCs w:val="18"/>
                <w:lang w:val="es-US"/>
              </w:rPr>
            </w:pPr>
            <w:r w:rsidRPr="00E42B49">
              <w:rPr>
                <w:rFonts w:ascii="Cambria" w:hAnsi="Cambria" w:cstheme="minorHAnsi"/>
                <w:sz w:val="18"/>
                <w:szCs w:val="18"/>
                <w:lang w:val="es-US"/>
              </w:rPr>
              <w:t xml:space="preserve">Case 12.909,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22/20, Gerardo Bedoya Borrero (Colombia)</w:t>
            </w:r>
          </w:p>
        </w:tc>
        <w:tc>
          <w:tcPr>
            <w:tcW w:w="1170" w:type="dxa"/>
            <w:vMerge/>
          </w:tcPr>
          <w:p w14:paraId="19ECD429" w14:textId="77777777" w:rsidR="007E31E3" w:rsidRPr="00E42B49" w:rsidRDefault="007E31E3" w:rsidP="00820229">
            <w:pPr>
              <w:jc w:val="center"/>
              <w:rPr>
                <w:rFonts w:ascii="Cambria" w:hAnsi="Cambria" w:cstheme="minorHAnsi"/>
                <w:sz w:val="18"/>
                <w:szCs w:val="18"/>
                <w:lang w:val="es-US"/>
              </w:rPr>
            </w:pPr>
          </w:p>
        </w:tc>
        <w:tc>
          <w:tcPr>
            <w:tcW w:w="1316" w:type="dxa"/>
          </w:tcPr>
          <w:p w14:paraId="2D93F8C5" w14:textId="77777777" w:rsidR="007E31E3" w:rsidRPr="00E42B49" w:rsidRDefault="007E31E3" w:rsidP="00820229">
            <w:pPr>
              <w:jc w:val="center"/>
              <w:rPr>
                <w:rFonts w:ascii="Cambria" w:hAnsi="Cambria" w:cstheme="minorHAnsi"/>
                <w:sz w:val="18"/>
                <w:szCs w:val="18"/>
                <w:lang w:val="es-US"/>
              </w:rPr>
            </w:pPr>
          </w:p>
        </w:tc>
        <w:tc>
          <w:tcPr>
            <w:tcW w:w="1170" w:type="dxa"/>
          </w:tcPr>
          <w:p w14:paraId="20BB692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50BE7B06"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36827E4E"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60%</w:t>
            </w:r>
          </w:p>
        </w:tc>
        <w:tc>
          <w:tcPr>
            <w:tcW w:w="1260" w:type="dxa"/>
          </w:tcPr>
          <w:p w14:paraId="47344A1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42678024" w14:textId="77777777" w:rsidTr="00820229">
        <w:trPr>
          <w:cnfStyle w:val="000000100000" w:firstRow="0" w:lastRow="0" w:firstColumn="0" w:lastColumn="0" w:oddVBand="0" w:evenVBand="0" w:oddHBand="1" w:evenHBand="0" w:firstRowFirstColumn="0" w:firstRowLastColumn="0" w:lastRowFirstColumn="0" w:lastRowLastColumn="0"/>
          <w:trHeight w:hRule="exact" w:val="1071"/>
          <w:jc w:val="center"/>
        </w:trPr>
        <w:tc>
          <w:tcPr>
            <w:tcW w:w="2250" w:type="dxa"/>
          </w:tcPr>
          <w:p w14:paraId="2B643810" w14:textId="77777777" w:rsidR="007E31E3" w:rsidRPr="00E42B49" w:rsidRDefault="007E31E3" w:rsidP="008B0732">
            <w:pPr>
              <w:numPr>
                <w:ilvl w:val="0"/>
                <w:numId w:val="18"/>
              </w:numPr>
              <w:tabs>
                <w:tab w:val="num" w:pos="431"/>
              </w:tabs>
              <w:ind w:firstLine="0"/>
              <w:jc w:val="both"/>
              <w:rPr>
                <w:rFonts w:ascii="Cambria" w:hAnsi="Cambria" w:cstheme="minorHAnsi"/>
                <w:sz w:val="18"/>
                <w:szCs w:val="18"/>
                <w:lang w:val="es-US"/>
              </w:rPr>
            </w:pPr>
            <w:r w:rsidRPr="00E42B49">
              <w:rPr>
                <w:rFonts w:ascii="Cambria" w:hAnsi="Cambria" w:cstheme="minorHAnsi"/>
                <w:sz w:val="18"/>
                <w:szCs w:val="18"/>
                <w:lang w:val="es-US"/>
              </w:rPr>
              <w:t xml:space="preserve">Case 13.370,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8/20, Luis Horacio Patiño and </w:t>
            </w:r>
            <w:proofErr w:type="spellStart"/>
            <w:r w:rsidRPr="00E42B49">
              <w:rPr>
                <w:rFonts w:ascii="Cambria" w:hAnsi="Cambria" w:cstheme="minorHAnsi"/>
                <w:sz w:val="18"/>
                <w:szCs w:val="18"/>
                <w:lang w:val="es-US"/>
              </w:rPr>
              <w:t>family</w:t>
            </w:r>
            <w:proofErr w:type="spellEnd"/>
            <w:r w:rsidRPr="00E42B49">
              <w:rPr>
                <w:rFonts w:ascii="Cambria" w:hAnsi="Cambria" w:cstheme="minorHAnsi"/>
                <w:sz w:val="18"/>
                <w:szCs w:val="18"/>
                <w:lang w:val="es-US"/>
              </w:rPr>
              <w:t xml:space="preserve"> (Colombia)</w:t>
            </w:r>
          </w:p>
        </w:tc>
        <w:tc>
          <w:tcPr>
            <w:tcW w:w="1170" w:type="dxa"/>
            <w:vMerge/>
          </w:tcPr>
          <w:p w14:paraId="3EC7940E" w14:textId="77777777" w:rsidR="007E31E3" w:rsidRPr="00E42B49" w:rsidRDefault="007E31E3" w:rsidP="00820229">
            <w:pPr>
              <w:jc w:val="center"/>
              <w:rPr>
                <w:rFonts w:ascii="Cambria" w:hAnsi="Cambria" w:cstheme="minorHAnsi"/>
                <w:sz w:val="18"/>
                <w:szCs w:val="18"/>
                <w:lang w:val="es-US"/>
              </w:rPr>
            </w:pPr>
          </w:p>
        </w:tc>
        <w:tc>
          <w:tcPr>
            <w:tcW w:w="1316" w:type="dxa"/>
          </w:tcPr>
          <w:p w14:paraId="0987B98D" w14:textId="77777777" w:rsidR="007E31E3" w:rsidRPr="00E42B49" w:rsidRDefault="007E31E3" w:rsidP="00820229">
            <w:pPr>
              <w:jc w:val="center"/>
              <w:rPr>
                <w:rFonts w:ascii="Cambria" w:hAnsi="Cambria" w:cstheme="minorHAnsi"/>
                <w:sz w:val="18"/>
                <w:szCs w:val="18"/>
                <w:lang w:val="es-US"/>
              </w:rPr>
            </w:pPr>
          </w:p>
        </w:tc>
        <w:tc>
          <w:tcPr>
            <w:tcW w:w="1170" w:type="dxa"/>
          </w:tcPr>
          <w:p w14:paraId="36E60F3E"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32E3A021"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6182ED53"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40%</w:t>
            </w:r>
          </w:p>
        </w:tc>
        <w:tc>
          <w:tcPr>
            <w:tcW w:w="1260" w:type="dxa"/>
          </w:tcPr>
          <w:p w14:paraId="76D77319"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14BB993F" w14:textId="77777777" w:rsidTr="00820229">
        <w:trPr>
          <w:cnfStyle w:val="000000010000" w:firstRow="0" w:lastRow="0" w:firstColumn="0" w:lastColumn="0" w:oddVBand="0" w:evenVBand="0" w:oddHBand="0" w:evenHBand="1" w:firstRowFirstColumn="0" w:firstRowLastColumn="0" w:lastRowFirstColumn="0" w:lastRowLastColumn="0"/>
          <w:trHeight w:hRule="exact" w:val="1278"/>
          <w:jc w:val="center"/>
        </w:trPr>
        <w:tc>
          <w:tcPr>
            <w:tcW w:w="2250" w:type="dxa"/>
          </w:tcPr>
          <w:p w14:paraId="17ABBAE0" w14:textId="77777777" w:rsidR="007E31E3" w:rsidRPr="00524435" w:rsidRDefault="007E31E3" w:rsidP="008B0732">
            <w:pPr>
              <w:numPr>
                <w:ilvl w:val="0"/>
                <w:numId w:val="18"/>
              </w:numPr>
              <w:tabs>
                <w:tab w:val="num" w:pos="431"/>
              </w:tabs>
              <w:ind w:firstLine="0"/>
              <w:jc w:val="both"/>
              <w:rPr>
                <w:rFonts w:ascii="Cambria" w:hAnsi="Cambria" w:cstheme="minorHAnsi"/>
                <w:sz w:val="18"/>
                <w:szCs w:val="18"/>
              </w:rPr>
            </w:pPr>
            <w:r w:rsidRPr="00524435">
              <w:rPr>
                <w:rFonts w:ascii="Cambria" w:hAnsi="Cambria" w:cstheme="minorHAnsi"/>
                <w:sz w:val="18"/>
                <w:szCs w:val="18"/>
              </w:rPr>
              <w:t xml:space="preserve">Petition 595-09, Report No. 84/20, Jorge Alberto Montes </w:t>
            </w:r>
            <w:proofErr w:type="gramStart"/>
            <w:r w:rsidRPr="00524435">
              <w:rPr>
                <w:rFonts w:ascii="Cambria" w:hAnsi="Cambria" w:cstheme="minorHAnsi"/>
                <w:sz w:val="18"/>
                <w:szCs w:val="18"/>
              </w:rPr>
              <w:t>Gallego</w:t>
            </w:r>
            <w:proofErr w:type="gramEnd"/>
            <w:r w:rsidRPr="00524435">
              <w:rPr>
                <w:rFonts w:ascii="Cambria" w:hAnsi="Cambria" w:cstheme="minorHAnsi"/>
                <w:sz w:val="18"/>
                <w:szCs w:val="18"/>
              </w:rPr>
              <w:t xml:space="preserve"> and family (Colombia)</w:t>
            </w:r>
          </w:p>
        </w:tc>
        <w:tc>
          <w:tcPr>
            <w:tcW w:w="1170" w:type="dxa"/>
            <w:vMerge/>
          </w:tcPr>
          <w:p w14:paraId="322CD607" w14:textId="77777777" w:rsidR="007E31E3" w:rsidRPr="00524435" w:rsidRDefault="007E31E3" w:rsidP="00820229">
            <w:pPr>
              <w:jc w:val="center"/>
              <w:rPr>
                <w:rFonts w:ascii="Cambria" w:hAnsi="Cambria" w:cstheme="minorHAnsi"/>
                <w:sz w:val="18"/>
                <w:szCs w:val="18"/>
              </w:rPr>
            </w:pPr>
          </w:p>
        </w:tc>
        <w:tc>
          <w:tcPr>
            <w:tcW w:w="1316" w:type="dxa"/>
          </w:tcPr>
          <w:p w14:paraId="7D1B9C49" w14:textId="77777777" w:rsidR="007E31E3" w:rsidRPr="00524435" w:rsidRDefault="007E31E3" w:rsidP="00820229">
            <w:pPr>
              <w:jc w:val="center"/>
              <w:rPr>
                <w:rFonts w:ascii="Cambria" w:hAnsi="Cambria" w:cstheme="minorHAnsi"/>
                <w:sz w:val="18"/>
                <w:szCs w:val="18"/>
              </w:rPr>
            </w:pPr>
          </w:p>
        </w:tc>
        <w:tc>
          <w:tcPr>
            <w:tcW w:w="1170" w:type="dxa"/>
          </w:tcPr>
          <w:p w14:paraId="2747A33E"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024E4BC8" w14:textId="77777777" w:rsidR="007E31E3" w:rsidRPr="00524435" w:rsidRDefault="007E31E3" w:rsidP="00820229">
            <w:pPr>
              <w:jc w:val="center"/>
              <w:rPr>
                <w:rFonts w:ascii="Cambria" w:hAnsi="Cambria" w:cstheme="minorHAnsi"/>
                <w:sz w:val="18"/>
                <w:szCs w:val="18"/>
              </w:rPr>
            </w:pPr>
          </w:p>
        </w:tc>
        <w:tc>
          <w:tcPr>
            <w:tcW w:w="1170" w:type="dxa"/>
          </w:tcPr>
          <w:p w14:paraId="10BDEB5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67%</w:t>
            </w:r>
          </w:p>
        </w:tc>
        <w:tc>
          <w:tcPr>
            <w:tcW w:w="1260" w:type="dxa"/>
          </w:tcPr>
          <w:p w14:paraId="60FAE8A3"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6057A374" w14:textId="77777777" w:rsidTr="001A680E">
        <w:trPr>
          <w:cnfStyle w:val="000000100000" w:firstRow="0" w:lastRow="0" w:firstColumn="0" w:lastColumn="0" w:oddVBand="0" w:evenVBand="0" w:oddHBand="1" w:evenHBand="0" w:firstRowFirstColumn="0" w:firstRowLastColumn="0" w:lastRowFirstColumn="0" w:lastRowLastColumn="0"/>
          <w:trHeight w:hRule="exact" w:val="1044"/>
          <w:jc w:val="center"/>
        </w:trPr>
        <w:tc>
          <w:tcPr>
            <w:tcW w:w="2250" w:type="dxa"/>
          </w:tcPr>
          <w:p w14:paraId="7BF2CC2B" w14:textId="77777777" w:rsidR="007E31E3" w:rsidRPr="00524435" w:rsidRDefault="007E31E3" w:rsidP="008B0732">
            <w:pPr>
              <w:numPr>
                <w:ilvl w:val="0"/>
                <w:numId w:val="18"/>
              </w:numPr>
              <w:tabs>
                <w:tab w:val="num" w:pos="431"/>
              </w:tabs>
              <w:ind w:firstLine="0"/>
              <w:jc w:val="both"/>
              <w:rPr>
                <w:rFonts w:ascii="Cambria" w:hAnsi="Cambria" w:cstheme="minorHAnsi"/>
                <w:sz w:val="18"/>
                <w:szCs w:val="18"/>
              </w:rPr>
            </w:pPr>
            <w:r w:rsidRPr="00524435">
              <w:rPr>
                <w:rFonts w:ascii="Cambria" w:hAnsi="Cambria" w:cstheme="minorHAnsi"/>
                <w:sz w:val="18"/>
                <w:szCs w:val="18"/>
              </w:rPr>
              <w:lastRenderedPageBreak/>
              <w:t xml:space="preserve">Case 13.319. Report No. 213/20, William Fernández </w:t>
            </w:r>
            <w:proofErr w:type="gramStart"/>
            <w:r w:rsidRPr="00524435">
              <w:rPr>
                <w:rFonts w:ascii="Cambria" w:hAnsi="Cambria" w:cstheme="minorHAnsi"/>
                <w:sz w:val="18"/>
                <w:szCs w:val="18"/>
              </w:rPr>
              <w:t>Becerra</w:t>
            </w:r>
            <w:proofErr w:type="gramEnd"/>
            <w:r w:rsidRPr="00524435">
              <w:rPr>
                <w:rFonts w:ascii="Cambria" w:hAnsi="Cambria" w:cstheme="minorHAnsi"/>
                <w:sz w:val="18"/>
                <w:szCs w:val="18"/>
              </w:rPr>
              <w:t xml:space="preserve"> and family (Colombia)</w:t>
            </w:r>
          </w:p>
        </w:tc>
        <w:tc>
          <w:tcPr>
            <w:tcW w:w="1170" w:type="dxa"/>
            <w:vMerge/>
          </w:tcPr>
          <w:p w14:paraId="2C8F75FF" w14:textId="77777777" w:rsidR="007E31E3" w:rsidRPr="00524435" w:rsidRDefault="007E31E3" w:rsidP="00820229">
            <w:pPr>
              <w:jc w:val="center"/>
              <w:rPr>
                <w:rFonts w:ascii="Cambria" w:hAnsi="Cambria" w:cstheme="minorHAnsi"/>
                <w:sz w:val="18"/>
                <w:szCs w:val="18"/>
              </w:rPr>
            </w:pPr>
          </w:p>
        </w:tc>
        <w:tc>
          <w:tcPr>
            <w:tcW w:w="1316" w:type="dxa"/>
          </w:tcPr>
          <w:p w14:paraId="16AE9287" w14:textId="77777777" w:rsidR="007E31E3" w:rsidRPr="00524435" w:rsidRDefault="007E31E3" w:rsidP="00820229">
            <w:pPr>
              <w:jc w:val="center"/>
              <w:rPr>
                <w:rFonts w:ascii="Cambria" w:hAnsi="Cambria" w:cstheme="minorHAnsi"/>
                <w:sz w:val="18"/>
                <w:szCs w:val="18"/>
              </w:rPr>
            </w:pPr>
          </w:p>
        </w:tc>
        <w:tc>
          <w:tcPr>
            <w:tcW w:w="1170" w:type="dxa"/>
          </w:tcPr>
          <w:p w14:paraId="4238052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7A2BA221" w14:textId="77777777" w:rsidR="007E31E3" w:rsidRPr="00524435" w:rsidRDefault="007E31E3" w:rsidP="00820229">
            <w:pPr>
              <w:jc w:val="center"/>
              <w:rPr>
                <w:rFonts w:ascii="Cambria" w:hAnsi="Cambria" w:cstheme="minorHAnsi"/>
                <w:sz w:val="18"/>
                <w:szCs w:val="18"/>
              </w:rPr>
            </w:pPr>
          </w:p>
        </w:tc>
        <w:tc>
          <w:tcPr>
            <w:tcW w:w="1170" w:type="dxa"/>
          </w:tcPr>
          <w:p w14:paraId="76F7C5D2"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9%</w:t>
            </w:r>
          </w:p>
        </w:tc>
        <w:tc>
          <w:tcPr>
            <w:tcW w:w="1260" w:type="dxa"/>
          </w:tcPr>
          <w:p w14:paraId="1A6CF09E"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5BC552F1" w14:textId="77777777" w:rsidTr="00820229">
        <w:trPr>
          <w:cnfStyle w:val="000000010000" w:firstRow="0" w:lastRow="0" w:firstColumn="0" w:lastColumn="0" w:oddVBand="0" w:evenVBand="0" w:oddHBand="0" w:evenHBand="1" w:firstRowFirstColumn="0" w:firstRowLastColumn="0" w:lastRowFirstColumn="0" w:lastRowLastColumn="0"/>
          <w:trHeight w:hRule="exact" w:val="1179"/>
          <w:jc w:val="center"/>
        </w:trPr>
        <w:tc>
          <w:tcPr>
            <w:tcW w:w="2250" w:type="dxa"/>
          </w:tcPr>
          <w:p w14:paraId="1D2692FA" w14:textId="77777777" w:rsidR="007E31E3" w:rsidRPr="00524435" w:rsidRDefault="007E31E3" w:rsidP="008B0732">
            <w:pPr>
              <w:numPr>
                <w:ilvl w:val="0"/>
                <w:numId w:val="18"/>
              </w:numPr>
              <w:tabs>
                <w:tab w:val="num" w:pos="431"/>
              </w:tabs>
              <w:ind w:firstLine="0"/>
              <w:jc w:val="both"/>
              <w:rPr>
                <w:rFonts w:ascii="Cambria" w:hAnsi="Cambria" w:cstheme="minorHAnsi"/>
                <w:sz w:val="18"/>
                <w:szCs w:val="18"/>
              </w:rPr>
            </w:pPr>
            <w:r w:rsidRPr="00524435">
              <w:rPr>
                <w:rFonts w:ascii="Cambria" w:hAnsi="Cambria" w:cstheme="minorHAnsi"/>
                <w:sz w:val="18"/>
                <w:szCs w:val="18"/>
              </w:rPr>
              <w:t xml:space="preserve">Case 13.421, Report No. 333/20, </w:t>
            </w:r>
            <w:proofErr w:type="spellStart"/>
            <w:r w:rsidRPr="00524435">
              <w:rPr>
                <w:rFonts w:ascii="Cambria" w:hAnsi="Cambria" w:cstheme="minorHAnsi"/>
                <w:sz w:val="18"/>
                <w:szCs w:val="18"/>
              </w:rPr>
              <w:t>Geminiano</w:t>
            </w:r>
            <w:proofErr w:type="spellEnd"/>
            <w:r w:rsidRPr="00524435">
              <w:rPr>
                <w:rFonts w:ascii="Cambria" w:hAnsi="Cambria" w:cstheme="minorHAnsi"/>
                <w:sz w:val="18"/>
                <w:szCs w:val="18"/>
              </w:rPr>
              <w:t xml:space="preserve"> Gil Martinez and family (Colombia)</w:t>
            </w:r>
          </w:p>
        </w:tc>
        <w:tc>
          <w:tcPr>
            <w:tcW w:w="1170" w:type="dxa"/>
            <w:vMerge/>
          </w:tcPr>
          <w:p w14:paraId="6BE141A2" w14:textId="77777777" w:rsidR="007E31E3" w:rsidRPr="00524435" w:rsidRDefault="007E31E3" w:rsidP="00820229">
            <w:pPr>
              <w:jc w:val="center"/>
              <w:rPr>
                <w:rFonts w:ascii="Cambria" w:hAnsi="Cambria" w:cstheme="minorHAnsi"/>
                <w:sz w:val="18"/>
                <w:szCs w:val="18"/>
              </w:rPr>
            </w:pPr>
          </w:p>
        </w:tc>
        <w:tc>
          <w:tcPr>
            <w:tcW w:w="1316" w:type="dxa"/>
          </w:tcPr>
          <w:p w14:paraId="3B9FC243" w14:textId="77777777" w:rsidR="007E31E3" w:rsidRPr="00524435" w:rsidRDefault="007E31E3" w:rsidP="00820229">
            <w:pPr>
              <w:jc w:val="center"/>
              <w:rPr>
                <w:rFonts w:ascii="Cambria" w:hAnsi="Cambria" w:cstheme="minorHAnsi"/>
                <w:sz w:val="18"/>
                <w:szCs w:val="18"/>
              </w:rPr>
            </w:pPr>
          </w:p>
        </w:tc>
        <w:tc>
          <w:tcPr>
            <w:tcW w:w="1170" w:type="dxa"/>
          </w:tcPr>
          <w:p w14:paraId="7AEC5915"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5822652D" w14:textId="77777777" w:rsidR="007E31E3" w:rsidRPr="00524435" w:rsidRDefault="007E31E3" w:rsidP="00820229">
            <w:pPr>
              <w:jc w:val="center"/>
              <w:rPr>
                <w:rFonts w:ascii="Cambria" w:hAnsi="Cambria" w:cstheme="minorHAnsi"/>
                <w:sz w:val="18"/>
                <w:szCs w:val="18"/>
              </w:rPr>
            </w:pPr>
          </w:p>
        </w:tc>
        <w:tc>
          <w:tcPr>
            <w:tcW w:w="1170" w:type="dxa"/>
          </w:tcPr>
          <w:p w14:paraId="3A905494"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50%</w:t>
            </w:r>
          </w:p>
        </w:tc>
        <w:tc>
          <w:tcPr>
            <w:tcW w:w="1260" w:type="dxa"/>
          </w:tcPr>
          <w:p w14:paraId="4E09747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53D9728D" w14:textId="77777777" w:rsidTr="001A680E">
        <w:trPr>
          <w:cnfStyle w:val="000000100000" w:firstRow="0" w:lastRow="0" w:firstColumn="0" w:lastColumn="0" w:oddVBand="0" w:evenVBand="0" w:oddHBand="1" w:evenHBand="0" w:firstRowFirstColumn="0" w:firstRowLastColumn="0" w:lastRowFirstColumn="0" w:lastRowLastColumn="0"/>
          <w:trHeight w:hRule="exact" w:val="1035"/>
          <w:jc w:val="center"/>
        </w:trPr>
        <w:tc>
          <w:tcPr>
            <w:tcW w:w="2250" w:type="dxa"/>
          </w:tcPr>
          <w:p w14:paraId="3C0BC85C" w14:textId="77777777" w:rsidR="007E31E3" w:rsidRPr="00524435" w:rsidRDefault="007E31E3" w:rsidP="008B0732">
            <w:pPr>
              <w:numPr>
                <w:ilvl w:val="0"/>
                <w:numId w:val="18"/>
              </w:numPr>
              <w:tabs>
                <w:tab w:val="num" w:pos="431"/>
              </w:tabs>
              <w:ind w:firstLine="0"/>
              <w:jc w:val="both"/>
              <w:rPr>
                <w:rFonts w:ascii="Cambria" w:hAnsi="Cambria" w:cstheme="minorHAnsi"/>
                <w:sz w:val="18"/>
                <w:szCs w:val="18"/>
              </w:rPr>
            </w:pPr>
            <w:r w:rsidRPr="00524435">
              <w:rPr>
                <w:rFonts w:ascii="Cambria" w:hAnsi="Cambria" w:cstheme="minorHAnsi"/>
                <w:sz w:val="18"/>
                <w:szCs w:val="18"/>
              </w:rPr>
              <w:t xml:space="preserve">Case 13.642, Report No. 41/21, </w:t>
            </w:r>
            <w:r w:rsidRPr="00524435">
              <w:rPr>
                <w:rFonts w:ascii="Cambria" w:hAnsi="Cambria"/>
                <w:sz w:val="18"/>
                <w:szCs w:val="18"/>
              </w:rPr>
              <w:t xml:space="preserve">Edgar José Sánchez </w:t>
            </w:r>
            <w:proofErr w:type="gramStart"/>
            <w:r w:rsidRPr="00524435">
              <w:rPr>
                <w:rFonts w:ascii="Cambria" w:hAnsi="Cambria"/>
                <w:sz w:val="18"/>
                <w:szCs w:val="18"/>
              </w:rPr>
              <w:t>Duarte</w:t>
            </w:r>
            <w:proofErr w:type="gramEnd"/>
            <w:r w:rsidRPr="00524435">
              <w:rPr>
                <w:rFonts w:ascii="Cambria" w:hAnsi="Cambria"/>
                <w:sz w:val="18"/>
                <w:szCs w:val="18"/>
              </w:rPr>
              <w:t xml:space="preserve"> and Family (Colombia)</w:t>
            </w:r>
          </w:p>
        </w:tc>
        <w:tc>
          <w:tcPr>
            <w:tcW w:w="1170" w:type="dxa"/>
            <w:vMerge/>
          </w:tcPr>
          <w:p w14:paraId="2B123EF9" w14:textId="77777777" w:rsidR="007E31E3" w:rsidRPr="00524435" w:rsidRDefault="007E31E3" w:rsidP="00820229">
            <w:pPr>
              <w:jc w:val="center"/>
              <w:rPr>
                <w:rFonts w:ascii="Cambria" w:hAnsi="Cambria" w:cstheme="minorHAnsi"/>
                <w:sz w:val="18"/>
                <w:szCs w:val="18"/>
              </w:rPr>
            </w:pPr>
          </w:p>
        </w:tc>
        <w:tc>
          <w:tcPr>
            <w:tcW w:w="1316" w:type="dxa"/>
          </w:tcPr>
          <w:p w14:paraId="7606B038" w14:textId="77777777" w:rsidR="007E31E3" w:rsidRPr="00524435" w:rsidRDefault="007E31E3" w:rsidP="00820229">
            <w:pPr>
              <w:jc w:val="center"/>
              <w:rPr>
                <w:rFonts w:ascii="Cambria" w:hAnsi="Cambria" w:cstheme="minorHAnsi"/>
                <w:sz w:val="18"/>
                <w:szCs w:val="18"/>
              </w:rPr>
            </w:pPr>
          </w:p>
        </w:tc>
        <w:tc>
          <w:tcPr>
            <w:tcW w:w="1170" w:type="dxa"/>
          </w:tcPr>
          <w:p w14:paraId="79A34568" w14:textId="77777777" w:rsidR="007E31E3" w:rsidRPr="00524435" w:rsidRDefault="007E31E3" w:rsidP="00820229">
            <w:pPr>
              <w:jc w:val="center"/>
              <w:rPr>
                <w:rFonts w:ascii="Cambria" w:hAnsi="Cambria" w:cstheme="minorHAnsi"/>
                <w:sz w:val="18"/>
                <w:szCs w:val="18"/>
              </w:rPr>
            </w:pPr>
            <w:r w:rsidRPr="00524435">
              <w:rPr>
                <w:rFonts w:ascii="Cambria" w:hAnsi="Cambria" w:cs="Arial"/>
                <w:sz w:val="18"/>
                <w:szCs w:val="18"/>
                <w:lang w:eastAsia="es-ES_tradnl"/>
              </w:rPr>
              <w:t>X</w:t>
            </w:r>
          </w:p>
        </w:tc>
        <w:tc>
          <w:tcPr>
            <w:tcW w:w="1170" w:type="dxa"/>
          </w:tcPr>
          <w:p w14:paraId="07AAAABC" w14:textId="77777777" w:rsidR="007E31E3" w:rsidRPr="00524435" w:rsidRDefault="007E31E3" w:rsidP="00820229">
            <w:pPr>
              <w:jc w:val="center"/>
              <w:rPr>
                <w:rFonts w:ascii="Cambria" w:hAnsi="Cambria" w:cstheme="minorHAnsi"/>
                <w:sz w:val="18"/>
                <w:szCs w:val="18"/>
              </w:rPr>
            </w:pPr>
          </w:p>
        </w:tc>
        <w:tc>
          <w:tcPr>
            <w:tcW w:w="1170" w:type="dxa"/>
          </w:tcPr>
          <w:p w14:paraId="39649CD4"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Arial"/>
                <w:sz w:val="18"/>
                <w:szCs w:val="18"/>
              </w:rPr>
              <w:t>25%</w:t>
            </w:r>
          </w:p>
        </w:tc>
        <w:tc>
          <w:tcPr>
            <w:tcW w:w="1260" w:type="dxa"/>
          </w:tcPr>
          <w:p w14:paraId="63E14323" w14:textId="77777777" w:rsidR="007E31E3" w:rsidRPr="00524435" w:rsidRDefault="007E31E3" w:rsidP="00820229">
            <w:pPr>
              <w:jc w:val="center"/>
              <w:rPr>
                <w:rFonts w:ascii="Cambria" w:hAnsi="Cambria" w:cstheme="minorHAnsi"/>
                <w:sz w:val="18"/>
                <w:szCs w:val="18"/>
              </w:rPr>
            </w:pPr>
            <w:r w:rsidRPr="00524435">
              <w:rPr>
                <w:rFonts w:ascii="Cambria" w:hAnsi="Cambria" w:cs="Arial"/>
                <w:sz w:val="18"/>
                <w:szCs w:val="18"/>
              </w:rPr>
              <w:t>Active</w:t>
            </w:r>
          </w:p>
        </w:tc>
      </w:tr>
      <w:tr w:rsidR="007E31E3" w:rsidRPr="00524435" w14:paraId="6C17F4D8" w14:textId="77777777" w:rsidTr="00820229">
        <w:trPr>
          <w:cnfStyle w:val="000000010000" w:firstRow="0" w:lastRow="0" w:firstColumn="0" w:lastColumn="0" w:oddVBand="0" w:evenVBand="0" w:oddHBand="0" w:evenHBand="1" w:firstRowFirstColumn="0" w:firstRowLastColumn="0" w:lastRowFirstColumn="0" w:lastRowLastColumn="0"/>
          <w:trHeight w:hRule="exact" w:val="999"/>
          <w:jc w:val="center"/>
        </w:trPr>
        <w:tc>
          <w:tcPr>
            <w:tcW w:w="2250" w:type="dxa"/>
          </w:tcPr>
          <w:p w14:paraId="580C6715" w14:textId="77777777" w:rsidR="007E31E3" w:rsidRPr="00E42B49" w:rsidRDefault="007E31E3" w:rsidP="008B0732">
            <w:pPr>
              <w:numPr>
                <w:ilvl w:val="0"/>
                <w:numId w:val="18"/>
              </w:numPr>
              <w:tabs>
                <w:tab w:val="num" w:pos="431"/>
              </w:tabs>
              <w:ind w:firstLine="0"/>
              <w:jc w:val="both"/>
              <w:rPr>
                <w:rFonts w:ascii="Cambria" w:hAnsi="Cambria" w:cstheme="minorHAnsi"/>
                <w:sz w:val="18"/>
                <w:szCs w:val="18"/>
                <w:lang w:val="es-US"/>
              </w:rPr>
            </w:pPr>
            <w:r w:rsidRPr="00E42B49">
              <w:rPr>
                <w:rFonts w:ascii="Cambria" w:hAnsi="Cambria" w:cstheme="minorHAnsi"/>
                <w:sz w:val="18"/>
                <w:szCs w:val="18"/>
                <w:lang w:val="es-US"/>
              </w:rPr>
              <w:t xml:space="preserve">Case 13.171,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115/21, </w:t>
            </w:r>
            <w:r w:rsidRPr="00E42B49">
              <w:rPr>
                <w:rFonts w:ascii="Cambria" w:hAnsi="Cambria"/>
                <w:sz w:val="18"/>
                <w:szCs w:val="18"/>
                <w:lang w:val="es-US"/>
              </w:rPr>
              <w:t xml:space="preserve">Luis Argemiro Gómez </w:t>
            </w:r>
            <w:proofErr w:type="spellStart"/>
            <w:r w:rsidRPr="00E42B49">
              <w:rPr>
                <w:rFonts w:ascii="Cambria" w:hAnsi="Cambria"/>
                <w:sz w:val="18"/>
                <w:szCs w:val="18"/>
                <w:lang w:val="es-US"/>
              </w:rPr>
              <w:t>Atehortua</w:t>
            </w:r>
            <w:proofErr w:type="spellEnd"/>
            <w:r w:rsidRPr="00E42B49">
              <w:rPr>
                <w:rFonts w:ascii="Cambria" w:hAnsi="Cambria"/>
                <w:sz w:val="18"/>
                <w:szCs w:val="18"/>
                <w:lang w:val="es-US"/>
              </w:rPr>
              <w:t xml:space="preserve"> (Colombia)</w:t>
            </w:r>
          </w:p>
        </w:tc>
        <w:tc>
          <w:tcPr>
            <w:tcW w:w="1170" w:type="dxa"/>
            <w:vMerge/>
          </w:tcPr>
          <w:p w14:paraId="6EDB84FD" w14:textId="77777777" w:rsidR="007E31E3" w:rsidRPr="00E42B49" w:rsidRDefault="007E31E3" w:rsidP="00820229">
            <w:pPr>
              <w:jc w:val="center"/>
              <w:rPr>
                <w:rFonts w:ascii="Cambria" w:hAnsi="Cambria" w:cstheme="minorHAnsi"/>
                <w:sz w:val="18"/>
                <w:szCs w:val="18"/>
                <w:lang w:val="es-US"/>
              </w:rPr>
            </w:pPr>
          </w:p>
        </w:tc>
        <w:tc>
          <w:tcPr>
            <w:tcW w:w="1316" w:type="dxa"/>
          </w:tcPr>
          <w:p w14:paraId="7689E17B" w14:textId="77777777" w:rsidR="007E31E3" w:rsidRPr="00E42B49" w:rsidRDefault="007E31E3" w:rsidP="00820229">
            <w:pPr>
              <w:jc w:val="center"/>
              <w:rPr>
                <w:rFonts w:ascii="Cambria" w:hAnsi="Cambria" w:cstheme="minorHAnsi"/>
                <w:sz w:val="18"/>
                <w:szCs w:val="18"/>
                <w:lang w:val="es-US"/>
              </w:rPr>
            </w:pPr>
          </w:p>
        </w:tc>
        <w:tc>
          <w:tcPr>
            <w:tcW w:w="1170" w:type="dxa"/>
          </w:tcPr>
          <w:p w14:paraId="229C2A64" w14:textId="77777777" w:rsidR="007E31E3" w:rsidRPr="00524435" w:rsidRDefault="007E31E3" w:rsidP="00820229">
            <w:pPr>
              <w:jc w:val="center"/>
              <w:rPr>
                <w:rFonts w:ascii="Cambria" w:hAnsi="Cambria" w:cstheme="minorHAnsi"/>
                <w:sz w:val="18"/>
                <w:szCs w:val="18"/>
              </w:rPr>
            </w:pPr>
            <w:r w:rsidRPr="00524435">
              <w:rPr>
                <w:rFonts w:ascii="Cambria" w:hAnsi="Cambria" w:cs="Arial"/>
                <w:sz w:val="18"/>
                <w:szCs w:val="18"/>
                <w:lang w:eastAsia="es-ES_tradnl"/>
              </w:rPr>
              <w:t>X</w:t>
            </w:r>
          </w:p>
        </w:tc>
        <w:tc>
          <w:tcPr>
            <w:tcW w:w="1170" w:type="dxa"/>
          </w:tcPr>
          <w:p w14:paraId="5C12F7CC" w14:textId="77777777" w:rsidR="007E31E3" w:rsidRPr="00524435" w:rsidRDefault="007E31E3" w:rsidP="00820229">
            <w:pPr>
              <w:jc w:val="center"/>
              <w:rPr>
                <w:rFonts w:ascii="Cambria" w:hAnsi="Cambria" w:cstheme="minorHAnsi"/>
                <w:sz w:val="18"/>
                <w:szCs w:val="18"/>
              </w:rPr>
            </w:pPr>
          </w:p>
        </w:tc>
        <w:tc>
          <w:tcPr>
            <w:tcW w:w="1170" w:type="dxa"/>
          </w:tcPr>
          <w:p w14:paraId="5EB93329"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Arial"/>
                <w:sz w:val="18"/>
                <w:szCs w:val="18"/>
              </w:rPr>
              <w:t>40%</w:t>
            </w:r>
          </w:p>
        </w:tc>
        <w:tc>
          <w:tcPr>
            <w:tcW w:w="1260" w:type="dxa"/>
          </w:tcPr>
          <w:p w14:paraId="01EC94E0" w14:textId="77777777" w:rsidR="007E31E3" w:rsidRPr="00524435" w:rsidRDefault="007E31E3" w:rsidP="00820229">
            <w:pPr>
              <w:jc w:val="center"/>
              <w:rPr>
                <w:rFonts w:ascii="Cambria" w:hAnsi="Cambria" w:cstheme="minorHAnsi"/>
                <w:sz w:val="18"/>
                <w:szCs w:val="18"/>
              </w:rPr>
            </w:pPr>
            <w:r w:rsidRPr="00524435">
              <w:rPr>
                <w:rFonts w:ascii="Cambria" w:hAnsi="Cambria" w:cs="Arial"/>
                <w:sz w:val="18"/>
                <w:szCs w:val="18"/>
              </w:rPr>
              <w:t>Active</w:t>
            </w:r>
          </w:p>
        </w:tc>
      </w:tr>
      <w:tr w:rsidR="007E31E3" w:rsidRPr="00524435" w14:paraId="23CF4BD5" w14:textId="77777777" w:rsidTr="001A680E">
        <w:trPr>
          <w:cnfStyle w:val="000000100000" w:firstRow="0" w:lastRow="0" w:firstColumn="0" w:lastColumn="0" w:oddVBand="0" w:evenVBand="0" w:oddHBand="1" w:evenHBand="0" w:firstRowFirstColumn="0" w:firstRowLastColumn="0" w:lastRowFirstColumn="0" w:lastRowLastColumn="0"/>
          <w:trHeight w:hRule="exact" w:val="927"/>
          <w:jc w:val="center"/>
        </w:trPr>
        <w:tc>
          <w:tcPr>
            <w:tcW w:w="2250" w:type="dxa"/>
          </w:tcPr>
          <w:p w14:paraId="6E18E766" w14:textId="77777777" w:rsidR="007E31E3" w:rsidRPr="001A680E" w:rsidRDefault="007E31E3" w:rsidP="008B0732">
            <w:pPr>
              <w:numPr>
                <w:ilvl w:val="0"/>
                <w:numId w:val="18"/>
              </w:numPr>
              <w:tabs>
                <w:tab w:val="num" w:pos="431"/>
              </w:tabs>
              <w:ind w:firstLine="0"/>
              <w:jc w:val="both"/>
              <w:rPr>
                <w:rFonts w:ascii="Cambria" w:hAnsi="Cambria" w:cstheme="minorHAnsi"/>
                <w:sz w:val="18"/>
                <w:szCs w:val="18"/>
                <w:lang w:val="es-US"/>
              </w:rPr>
            </w:pPr>
            <w:r w:rsidRPr="001A680E">
              <w:rPr>
                <w:rFonts w:ascii="Cambria" w:hAnsi="Cambria"/>
                <w:sz w:val="18"/>
                <w:szCs w:val="18"/>
                <w:lang w:val="es-US"/>
              </w:rPr>
              <w:t xml:space="preserve">Case 13.571, </w:t>
            </w:r>
            <w:proofErr w:type="spellStart"/>
            <w:r w:rsidRPr="001A680E">
              <w:rPr>
                <w:rFonts w:ascii="Cambria" w:hAnsi="Cambria"/>
                <w:sz w:val="18"/>
                <w:szCs w:val="18"/>
                <w:lang w:val="es-US"/>
              </w:rPr>
              <w:t>Report</w:t>
            </w:r>
            <w:proofErr w:type="spellEnd"/>
            <w:r w:rsidRPr="001A680E">
              <w:rPr>
                <w:rFonts w:ascii="Cambria" w:hAnsi="Cambria"/>
                <w:sz w:val="18"/>
                <w:szCs w:val="18"/>
                <w:lang w:val="es-US"/>
              </w:rPr>
              <w:t xml:space="preserve"> 336/21, Carlos Mario Muñoz Gómez, (Colombia) </w:t>
            </w:r>
          </w:p>
        </w:tc>
        <w:tc>
          <w:tcPr>
            <w:tcW w:w="1170" w:type="dxa"/>
            <w:vMerge/>
          </w:tcPr>
          <w:p w14:paraId="4C72183C" w14:textId="77777777" w:rsidR="007E31E3" w:rsidRPr="001A680E" w:rsidRDefault="007E31E3" w:rsidP="00820229">
            <w:pPr>
              <w:jc w:val="center"/>
              <w:rPr>
                <w:rFonts w:ascii="Cambria" w:hAnsi="Cambria" w:cstheme="minorHAnsi"/>
                <w:sz w:val="18"/>
                <w:szCs w:val="18"/>
                <w:lang w:val="es-US"/>
              </w:rPr>
            </w:pPr>
          </w:p>
        </w:tc>
        <w:tc>
          <w:tcPr>
            <w:tcW w:w="1316" w:type="dxa"/>
          </w:tcPr>
          <w:p w14:paraId="50188A17" w14:textId="77777777" w:rsidR="007E31E3" w:rsidRPr="001A680E" w:rsidRDefault="007E31E3" w:rsidP="00820229">
            <w:pPr>
              <w:jc w:val="center"/>
              <w:rPr>
                <w:rFonts w:ascii="Cambria" w:hAnsi="Cambria" w:cstheme="minorHAnsi"/>
                <w:sz w:val="18"/>
                <w:szCs w:val="18"/>
                <w:lang w:val="es-US"/>
              </w:rPr>
            </w:pPr>
          </w:p>
        </w:tc>
        <w:tc>
          <w:tcPr>
            <w:tcW w:w="1170" w:type="dxa"/>
          </w:tcPr>
          <w:p w14:paraId="58767B75" w14:textId="77777777" w:rsidR="007E31E3" w:rsidRPr="00524435" w:rsidRDefault="007E31E3" w:rsidP="00820229">
            <w:pPr>
              <w:jc w:val="center"/>
              <w:rPr>
                <w:rFonts w:ascii="Cambria" w:hAnsi="Cambria" w:cs="Arial"/>
                <w:sz w:val="18"/>
                <w:szCs w:val="18"/>
                <w:lang w:eastAsia="es-ES_tradnl"/>
              </w:rPr>
            </w:pPr>
            <w:r w:rsidRPr="00524435">
              <w:rPr>
                <w:rFonts w:ascii="Cambria" w:hAnsi="Cambria" w:cs="Arial"/>
                <w:sz w:val="18"/>
                <w:szCs w:val="18"/>
                <w:lang w:eastAsia="es-ES_tradnl"/>
              </w:rPr>
              <w:t>X</w:t>
            </w:r>
          </w:p>
        </w:tc>
        <w:tc>
          <w:tcPr>
            <w:tcW w:w="1170" w:type="dxa"/>
          </w:tcPr>
          <w:p w14:paraId="546B0EF2" w14:textId="77777777" w:rsidR="007E31E3" w:rsidRPr="00524435" w:rsidRDefault="007E31E3" w:rsidP="00820229">
            <w:pPr>
              <w:jc w:val="center"/>
              <w:rPr>
                <w:rFonts w:ascii="Cambria" w:hAnsi="Cambria" w:cstheme="minorHAnsi"/>
                <w:sz w:val="18"/>
                <w:szCs w:val="18"/>
              </w:rPr>
            </w:pPr>
          </w:p>
        </w:tc>
        <w:tc>
          <w:tcPr>
            <w:tcW w:w="1170" w:type="dxa"/>
          </w:tcPr>
          <w:p w14:paraId="2A2932C8" w14:textId="77777777" w:rsidR="007E31E3" w:rsidRPr="00524435" w:rsidRDefault="007E31E3" w:rsidP="00820229">
            <w:pPr>
              <w:keepNext/>
              <w:tabs>
                <w:tab w:val="left" w:pos="177"/>
              </w:tabs>
              <w:jc w:val="center"/>
              <w:outlineLvl w:val="2"/>
              <w:rPr>
                <w:rFonts w:ascii="Cambria" w:hAnsi="Cambria" w:cs="Arial"/>
                <w:sz w:val="18"/>
                <w:szCs w:val="18"/>
              </w:rPr>
            </w:pPr>
            <w:r w:rsidRPr="00524435">
              <w:rPr>
                <w:rFonts w:ascii="Cambria" w:hAnsi="Cambria" w:cs="Arial"/>
                <w:sz w:val="18"/>
                <w:szCs w:val="18"/>
              </w:rPr>
              <w:t>25%</w:t>
            </w:r>
          </w:p>
        </w:tc>
        <w:tc>
          <w:tcPr>
            <w:tcW w:w="1260" w:type="dxa"/>
          </w:tcPr>
          <w:p w14:paraId="098DE678" w14:textId="77777777" w:rsidR="007E31E3" w:rsidRPr="00524435" w:rsidRDefault="007E31E3" w:rsidP="00820229">
            <w:pPr>
              <w:jc w:val="center"/>
              <w:rPr>
                <w:rFonts w:ascii="Cambria" w:hAnsi="Cambria" w:cs="Arial"/>
                <w:sz w:val="18"/>
                <w:szCs w:val="18"/>
              </w:rPr>
            </w:pPr>
            <w:r w:rsidRPr="00524435">
              <w:rPr>
                <w:rFonts w:ascii="Cambria" w:hAnsi="Cambria" w:cs="Arial"/>
                <w:sz w:val="18"/>
                <w:szCs w:val="18"/>
              </w:rPr>
              <w:t>Active</w:t>
            </w:r>
          </w:p>
        </w:tc>
      </w:tr>
      <w:tr w:rsidR="007E31E3" w:rsidRPr="00524435" w14:paraId="77ABF2A8" w14:textId="77777777" w:rsidTr="00820229">
        <w:trPr>
          <w:cnfStyle w:val="000000010000" w:firstRow="0" w:lastRow="0" w:firstColumn="0" w:lastColumn="0" w:oddVBand="0" w:evenVBand="0" w:oddHBand="0" w:evenHBand="1" w:firstRowFirstColumn="0" w:firstRowLastColumn="0" w:lastRowFirstColumn="0" w:lastRowLastColumn="0"/>
          <w:trHeight w:hRule="exact" w:val="999"/>
          <w:jc w:val="center"/>
        </w:trPr>
        <w:tc>
          <w:tcPr>
            <w:tcW w:w="2250" w:type="dxa"/>
          </w:tcPr>
          <w:p w14:paraId="629CF3BB" w14:textId="77777777" w:rsidR="007E31E3" w:rsidRPr="00524435" w:rsidRDefault="007E31E3" w:rsidP="008B0732">
            <w:pPr>
              <w:numPr>
                <w:ilvl w:val="0"/>
                <w:numId w:val="18"/>
              </w:numPr>
              <w:tabs>
                <w:tab w:val="num" w:pos="431"/>
              </w:tabs>
              <w:ind w:firstLine="0"/>
              <w:jc w:val="both"/>
              <w:rPr>
                <w:rFonts w:ascii="Cambria" w:hAnsi="Cambria" w:cstheme="minorHAnsi"/>
                <w:sz w:val="18"/>
                <w:szCs w:val="18"/>
              </w:rPr>
            </w:pPr>
            <w:r w:rsidRPr="00524435">
              <w:rPr>
                <w:rFonts w:ascii="Cambria" w:hAnsi="Cambria"/>
                <w:sz w:val="18"/>
                <w:szCs w:val="18"/>
              </w:rPr>
              <w:t>Case 13.758, Report 337/21, Franklin Bustamante Restrepo (Colombia)</w:t>
            </w:r>
          </w:p>
        </w:tc>
        <w:tc>
          <w:tcPr>
            <w:tcW w:w="1170" w:type="dxa"/>
            <w:vMerge/>
          </w:tcPr>
          <w:p w14:paraId="3A3F4678" w14:textId="77777777" w:rsidR="007E31E3" w:rsidRPr="00524435" w:rsidRDefault="007E31E3" w:rsidP="00820229">
            <w:pPr>
              <w:jc w:val="center"/>
              <w:rPr>
                <w:rFonts w:ascii="Cambria" w:hAnsi="Cambria" w:cstheme="minorHAnsi"/>
                <w:sz w:val="18"/>
                <w:szCs w:val="18"/>
              </w:rPr>
            </w:pPr>
          </w:p>
        </w:tc>
        <w:tc>
          <w:tcPr>
            <w:tcW w:w="1316" w:type="dxa"/>
          </w:tcPr>
          <w:p w14:paraId="287F34E6" w14:textId="77777777" w:rsidR="007E31E3" w:rsidRPr="00524435" w:rsidRDefault="007E31E3" w:rsidP="00820229">
            <w:pPr>
              <w:jc w:val="center"/>
              <w:rPr>
                <w:rFonts w:ascii="Cambria" w:hAnsi="Cambria" w:cstheme="minorHAnsi"/>
                <w:sz w:val="18"/>
                <w:szCs w:val="18"/>
              </w:rPr>
            </w:pPr>
          </w:p>
        </w:tc>
        <w:tc>
          <w:tcPr>
            <w:tcW w:w="1170" w:type="dxa"/>
          </w:tcPr>
          <w:p w14:paraId="331D2416" w14:textId="77777777" w:rsidR="007E31E3" w:rsidRPr="00524435" w:rsidRDefault="007E31E3" w:rsidP="00820229">
            <w:pPr>
              <w:jc w:val="center"/>
              <w:rPr>
                <w:rFonts w:ascii="Cambria" w:hAnsi="Cambria" w:cs="Arial"/>
                <w:sz w:val="18"/>
                <w:szCs w:val="18"/>
                <w:lang w:eastAsia="es-ES_tradnl"/>
              </w:rPr>
            </w:pPr>
            <w:r w:rsidRPr="00524435">
              <w:rPr>
                <w:rFonts w:ascii="Cambria" w:hAnsi="Cambria" w:cs="Arial"/>
                <w:sz w:val="18"/>
                <w:szCs w:val="18"/>
                <w:lang w:eastAsia="es-ES_tradnl"/>
              </w:rPr>
              <w:t>X</w:t>
            </w:r>
          </w:p>
        </w:tc>
        <w:tc>
          <w:tcPr>
            <w:tcW w:w="1170" w:type="dxa"/>
          </w:tcPr>
          <w:p w14:paraId="7FFE333C" w14:textId="77777777" w:rsidR="007E31E3" w:rsidRPr="00524435" w:rsidRDefault="007E31E3" w:rsidP="00820229">
            <w:pPr>
              <w:jc w:val="center"/>
              <w:rPr>
                <w:rFonts w:ascii="Cambria" w:hAnsi="Cambria" w:cstheme="minorHAnsi"/>
                <w:sz w:val="18"/>
                <w:szCs w:val="18"/>
              </w:rPr>
            </w:pPr>
          </w:p>
        </w:tc>
        <w:tc>
          <w:tcPr>
            <w:tcW w:w="1170" w:type="dxa"/>
          </w:tcPr>
          <w:p w14:paraId="56007D6E" w14:textId="77777777" w:rsidR="007E31E3" w:rsidRPr="00524435" w:rsidRDefault="007E31E3" w:rsidP="00820229">
            <w:pPr>
              <w:keepNext/>
              <w:tabs>
                <w:tab w:val="left" w:pos="177"/>
              </w:tabs>
              <w:jc w:val="center"/>
              <w:outlineLvl w:val="2"/>
              <w:rPr>
                <w:rFonts w:ascii="Cambria" w:hAnsi="Cambria" w:cs="Arial"/>
                <w:sz w:val="18"/>
                <w:szCs w:val="18"/>
              </w:rPr>
            </w:pPr>
            <w:r w:rsidRPr="00524435">
              <w:rPr>
                <w:rFonts w:ascii="Cambria" w:hAnsi="Cambria" w:cs="Arial"/>
                <w:sz w:val="18"/>
                <w:szCs w:val="18"/>
              </w:rPr>
              <w:t>33%</w:t>
            </w:r>
          </w:p>
        </w:tc>
        <w:tc>
          <w:tcPr>
            <w:tcW w:w="1260" w:type="dxa"/>
          </w:tcPr>
          <w:p w14:paraId="6BD8CFE2" w14:textId="77777777" w:rsidR="007E31E3" w:rsidRPr="00524435" w:rsidRDefault="007E31E3" w:rsidP="00820229">
            <w:pPr>
              <w:jc w:val="center"/>
              <w:rPr>
                <w:rFonts w:ascii="Cambria" w:hAnsi="Cambria" w:cs="Arial"/>
                <w:sz w:val="18"/>
                <w:szCs w:val="18"/>
              </w:rPr>
            </w:pPr>
            <w:r w:rsidRPr="00524435">
              <w:rPr>
                <w:rFonts w:ascii="Cambria" w:hAnsi="Cambria" w:cs="Arial"/>
                <w:sz w:val="18"/>
                <w:szCs w:val="18"/>
              </w:rPr>
              <w:t>Active</w:t>
            </w:r>
          </w:p>
        </w:tc>
      </w:tr>
      <w:tr w:rsidR="007E31E3" w:rsidRPr="00524435" w14:paraId="7AC54D09" w14:textId="77777777" w:rsidTr="008B0732">
        <w:trPr>
          <w:cnfStyle w:val="000000100000" w:firstRow="0" w:lastRow="0" w:firstColumn="0" w:lastColumn="0" w:oddVBand="0" w:evenVBand="0" w:oddHBand="1" w:evenHBand="0" w:firstRowFirstColumn="0" w:firstRowLastColumn="0" w:lastRowFirstColumn="0" w:lastRowLastColumn="0"/>
          <w:trHeight w:hRule="exact" w:val="954"/>
          <w:jc w:val="center"/>
        </w:trPr>
        <w:tc>
          <w:tcPr>
            <w:tcW w:w="2250" w:type="dxa"/>
          </w:tcPr>
          <w:p w14:paraId="1A89040E" w14:textId="77777777" w:rsidR="007E31E3" w:rsidRPr="00E42B49" w:rsidRDefault="007E31E3" w:rsidP="008B0732">
            <w:pPr>
              <w:numPr>
                <w:ilvl w:val="0"/>
                <w:numId w:val="18"/>
              </w:numPr>
              <w:tabs>
                <w:tab w:val="num" w:pos="431"/>
              </w:tabs>
              <w:ind w:firstLine="0"/>
              <w:jc w:val="both"/>
              <w:rPr>
                <w:rFonts w:ascii="Cambria" w:hAnsi="Cambria" w:cstheme="minorHAnsi"/>
                <w:sz w:val="18"/>
                <w:szCs w:val="18"/>
                <w:lang w:val="es-US"/>
              </w:rPr>
            </w:pPr>
            <w:r w:rsidRPr="00E42B49">
              <w:rPr>
                <w:rFonts w:ascii="Cambria" w:hAnsi="Cambria" w:cstheme="minorHAnsi"/>
                <w:sz w:val="18"/>
                <w:szCs w:val="18"/>
                <w:lang w:val="es-US"/>
              </w:rPr>
              <w:t xml:space="preserve">Case 12.942,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71/19, Emilia Morales Campos (Costa Rica)</w:t>
            </w:r>
            <w:r w:rsidRPr="00E42B49">
              <w:rPr>
                <w:rFonts w:ascii="Cambria" w:hAnsi="Cambria" w:cstheme="minorHAnsi"/>
                <w:sz w:val="18"/>
                <w:szCs w:val="18"/>
                <w:vertAlign w:val="superscript"/>
                <w:lang w:val="es-US"/>
              </w:rPr>
              <w:t xml:space="preserve"> </w:t>
            </w:r>
            <w:r w:rsidRPr="00524435">
              <w:rPr>
                <w:rFonts w:ascii="Cambria" w:hAnsi="Cambria" w:cstheme="minorHAnsi"/>
                <w:sz w:val="18"/>
                <w:szCs w:val="18"/>
                <w:vertAlign w:val="superscript"/>
              </w:rPr>
              <w:footnoteReference w:id="56"/>
            </w:r>
          </w:p>
        </w:tc>
        <w:tc>
          <w:tcPr>
            <w:tcW w:w="1170" w:type="dxa"/>
            <w:shd w:val="clear" w:color="auto" w:fill="BFBFBF" w:themeFill="background1" w:themeFillShade="BF"/>
          </w:tcPr>
          <w:p w14:paraId="156D4BA7" w14:textId="3A5B9CBE" w:rsidR="007E31E3" w:rsidRPr="00E42B49" w:rsidRDefault="007E31E3" w:rsidP="00820229">
            <w:pPr>
              <w:jc w:val="center"/>
              <w:rPr>
                <w:rFonts w:ascii="Cambria" w:hAnsi="Cambria" w:cstheme="minorHAnsi"/>
                <w:color w:val="1F497D"/>
                <w:sz w:val="18"/>
                <w:szCs w:val="18"/>
                <w:lang w:val="es-US"/>
              </w:rPr>
            </w:pPr>
          </w:p>
        </w:tc>
        <w:tc>
          <w:tcPr>
            <w:tcW w:w="1316" w:type="dxa"/>
          </w:tcPr>
          <w:p w14:paraId="1CFC12D9"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0D6BC5C2" w14:textId="77777777" w:rsidR="007E31E3" w:rsidRPr="00524435" w:rsidRDefault="007E31E3" w:rsidP="00820229">
            <w:pPr>
              <w:jc w:val="center"/>
              <w:rPr>
                <w:rFonts w:ascii="Cambria" w:hAnsi="Cambria" w:cstheme="minorHAnsi"/>
                <w:sz w:val="18"/>
                <w:szCs w:val="18"/>
              </w:rPr>
            </w:pPr>
          </w:p>
        </w:tc>
        <w:tc>
          <w:tcPr>
            <w:tcW w:w="1170" w:type="dxa"/>
          </w:tcPr>
          <w:p w14:paraId="7A8E5C6B"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427C76DF"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3BE9288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72F74C86" w14:textId="77777777" w:rsidTr="00820229">
        <w:trPr>
          <w:cnfStyle w:val="000000010000" w:firstRow="0" w:lastRow="0" w:firstColumn="0" w:lastColumn="0" w:oddVBand="0" w:evenVBand="0" w:oddHBand="0" w:evenHBand="1" w:firstRowFirstColumn="0" w:firstRowLastColumn="0" w:lastRowFirstColumn="0" w:lastRowLastColumn="0"/>
          <w:trHeight w:hRule="exact" w:val="1179"/>
          <w:jc w:val="center"/>
        </w:trPr>
        <w:tc>
          <w:tcPr>
            <w:tcW w:w="2250" w:type="dxa"/>
          </w:tcPr>
          <w:p w14:paraId="7E294BBA" w14:textId="49E5E8EE" w:rsidR="007E31E3" w:rsidRPr="00E42B49" w:rsidRDefault="006B7403" w:rsidP="008B0732">
            <w:pPr>
              <w:numPr>
                <w:ilvl w:val="0"/>
                <w:numId w:val="18"/>
              </w:numPr>
              <w:tabs>
                <w:tab w:val="num" w:pos="431"/>
              </w:tabs>
              <w:ind w:firstLine="0"/>
              <w:jc w:val="both"/>
              <w:rPr>
                <w:rFonts w:ascii="Cambria" w:hAnsi="Cambria" w:cstheme="minorHAnsi"/>
                <w:sz w:val="18"/>
                <w:szCs w:val="18"/>
                <w:lang w:val="es-US"/>
              </w:rPr>
            </w:pPr>
            <w:hyperlink r:id="rId41" w:anchor="11.421">
              <w:r w:rsidR="007E31E3" w:rsidRPr="00E42B49">
                <w:rPr>
                  <w:rFonts w:ascii="Cambria" w:hAnsi="Cambria" w:cstheme="minorHAnsi"/>
                  <w:sz w:val="18"/>
                  <w:szCs w:val="18"/>
                  <w:lang w:val="es-US"/>
                </w:rPr>
                <w:t>Case 11.421</w:t>
              </w:r>
            </w:hyperlink>
            <w:r w:rsidR="007E31E3" w:rsidRPr="00E42B49">
              <w:rPr>
                <w:rFonts w:ascii="Cambria" w:hAnsi="Cambria" w:cstheme="minorHAnsi"/>
                <w:sz w:val="18"/>
                <w:szCs w:val="18"/>
                <w:lang w:val="es-US"/>
              </w:rPr>
              <w:t xml:space="preserve">, </w:t>
            </w:r>
            <w:proofErr w:type="spellStart"/>
            <w:r w:rsidR="007E31E3" w:rsidRPr="00E42B49">
              <w:rPr>
                <w:rFonts w:ascii="Cambria" w:hAnsi="Cambria" w:cstheme="minorHAnsi"/>
                <w:sz w:val="18"/>
                <w:szCs w:val="18"/>
                <w:lang w:val="es-US"/>
              </w:rPr>
              <w:t>Report</w:t>
            </w:r>
            <w:proofErr w:type="spellEnd"/>
            <w:r w:rsidR="007E31E3" w:rsidRPr="00E42B49">
              <w:rPr>
                <w:rFonts w:ascii="Cambria" w:hAnsi="Cambria" w:cstheme="minorHAnsi"/>
                <w:sz w:val="18"/>
                <w:szCs w:val="18"/>
                <w:lang w:val="es-US"/>
              </w:rPr>
              <w:t xml:space="preserve"> No. 93/00, Edison Patricio Quishpe Alcívar (Ecuador) </w:t>
            </w:r>
            <w:r w:rsidR="007E31E3" w:rsidRPr="00524435">
              <w:rPr>
                <w:rFonts w:ascii="Cambria" w:hAnsi="Cambria" w:cstheme="minorHAnsi"/>
                <w:sz w:val="18"/>
                <w:szCs w:val="18"/>
                <w:vertAlign w:val="superscript"/>
              </w:rPr>
              <w:footnoteReference w:id="57"/>
            </w:r>
          </w:p>
        </w:tc>
        <w:tc>
          <w:tcPr>
            <w:tcW w:w="1170" w:type="dxa"/>
            <w:vMerge w:val="restart"/>
            <w:shd w:val="clear" w:color="auto" w:fill="F2F2F2" w:themeFill="background1" w:themeFillShade="F2"/>
          </w:tcPr>
          <w:p w14:paraId="114B0959" w14:textId="0A5A894B" w:rsidR="007E31E3" w:rsidRPr="00524435" w:rsidRDefault="006B7403" w:rsidP="00820229">
            <w:pPr>
              <w:jc w:val="center"/>
              <w:rPr>
                <w:rFonts w:ascii="Cambria" w:hAnsi="Cambria" w:cstheme="minorHAnsi"/>
                <w:sz w:val="18"/>
                <w:szCs w:val="18"/>
              </w:rPr>
            </w:pPr>
            <w:hyperlink r:id="rId42" w:history="1">
              <w:r w:rsidR="007E31E3" w:rsidRPr="00524435">
                <w:rPr>
                  <w:rStyle w:val="Hyperlink"/>
                  <w:rFonts w:ascii="Cambria" w:hAnsi="Cambria" w:cstheme="minorHAnsi"/>
                  <w:sz w:val="18"/>
                  <w:szCs w:val="18"/>
                </w:rPr>
                <w:t xml:space="preserve">Link to monitoring sheets on </w:t>
              </w:r>
              <w:r w:rsidR="007E31E3" w:rsidRPr="00524435">
                <w:rPr>
                  <w:rStyle w:val="Hyperlink"/>
                  <w:rFonts w:ascii="Cambria" w:hAnsi="Cambria" w:cstheme="minorHAnsi"/>
                  <w:sz w:val="18"/>
                  <w:szCs w:val="18"/>
                  <w:shd w:val="clear" w:color="auto" w:fill="F2F2F2" w:themeFill="background1" w:themeFillShade="F2"/>
                </w:rPr>
                <w:t>matters</w:t>
              </w:r>
              <w:r w:rsidR="007E31E3" w:rsidRPr="00524435">
                <w:rPr>
                  <w:rStyle w:val="Hyperlink"/>
                  <w:rFonts w:ascii="Cambria" w:hAnsi="Cambria" w:cstheme="minorHAnsi"/>
                  <w:sz w:val="18"/>
                  <w:szCs w:val="18"/>
                </w:rPr>
                <w:t xml:space="preserve"> related to reports of friendly settlement agreements of Ecuador</w:t>
              </w:r>
            </w:hyperlink>
            <w:r w:rsidR="007E31E3" w:rsidRPr="00524435">
              <w:rPr>
                <w:rFonts w:ascii="Cambria" w:hAnsi="Cambria" w:cstheme="minorHAnsi"/>
                <w:sz w:val="18"/>
                <w:szCs w:val="18"/>
              </w:rPr>
              <w:t xml:space="preserve"> </w:t>
            </w:r>
            <w:r w:rsidR="007E31E3" w:rsidRPr="00524435">
              <w:rPr>
                <w:rFonts w:ascii="Cambria" w:hAnsi="Cambria" w:cstheme="minorHAnsi"/>
                <w:sz w:val="18"/>
                <w:szCs w:val="18"/>
              </w:rPr>
              <w:lastRenderedPageBreak/>
              <w:t xml:space="preserve">that are subject to monitoring </w:t>
            </w:r>
          </w:p>
        </w:tc>
        <w:tc>
          <w:tcPr>
            <w:tcW w:w="1316" w:type="dxa"/>
          </w:tcPr>
          <w:p w14:paraId="06B248AB" w14:textId="77777777" w:rsidR="007E31E3" w:rsidRPr="00524435" w:rsidRDefault="007E31E3" w:rsidP="00820229">
            <w:pPr>
              <w:jc w:val="center"/>
              <w:rPr>
                <w:rFonts w:ascii="Cambria" w:hAnsi="Cambria" w:cstheme="minorHAnsi"/>
                <w:sz w:val="18"/>
                <w:szCs w:val="18"/>
              </w:rPr>
            </w:pPr>
          </w:p>
        </w:tc>
        <w:tc>
          <w:tcPr>
            <w:tcW w:w="1170" w:type="dxa"/>
          </w:tcPr>
          <w:p w14:paraId="009A777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40E6555E"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5F65CD04"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67%</w:t>
            </w:r>
          </w:p>
        </w:tc>
        <w:tc>
          <w:tcPr>
            <w:tcW w:w="1260" w:type="dxa"/>
          </w:tcPr>
          <w:p w14:paraId="5F76FDE6"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64B9F12B" w14:textId="77777777" w:rsidTr="00820229">
        <w:trPr>
          <w:cnfStyle w:val="000000100000" w:firstRow="0" w:lastRow="0" w:firstColumn="0" w:lastColumn="0" w:oddVBand="0" w:evenVBand="0" w:oddHBand="1" w:evenHBand="0" w:firstRowFirstColumn="0" w:firstRowLastColumn="0" w:lastRowFirstColumn="0" w:lastRowLastColumn="0"/>
          <w:trHeight w:hRule="exact" w:val="981"/>
          <w:jc w:val="center"/>
        </w:trPr>
        <w:tc>
          <w:tcPr>
            <w:tcW w:w="2250" w:type="dxa"/>
          </w:tcPr>
          <w:p w14:paraId="143FA712" w14:textId="3014279D" w:rsidR="007E31E3" w:rsidRPr="003D0B33" w:rsidRDefault="006B7403" w:rsidP="0009324C">
            <w:pPr>
              <w:numPr>
                <w:ilvl w:val="0"/>
                <w:numId w:val="18"/>
              </w:numPr>
              <w:tabs>
                <w:tab w:val="num" w:pos="522"/>
              </w:tabs>
              <w:ind w:firstLine="0"/>
              <w:jc w:val="both"/>
              <w:rPr>
                <w:rFonts w:ascii="Cambria" w:hAnsi="Cambria" w:cstheme="minorHAnsi"/>
                <w:sz w:val="18"/>
                <w:szCs w:val="18"/>
                <w:lang w:val="es-ES"/>
              </w:rPr>
            </w:pPr>
            <w:hyperlink r:id="rId43" w:anchor="11.439">
              <w:r w:rsidR="007E31E3" w:rsidRPr="003D0B33">
                <w:rPr>
                  <w:rFonts w:ascii="Cambria" w:hAnsi="Cambria" w:cstheme="minorHAnsi"/>
                  <w:sz w:val="18"/>
                  <w:szCs w:val="18"/>
                  <w:lang w:val="es-ES"/>
                </w:rPr>
                <w:t>Case 11.439</w:t>
              </w:r>
            </w:hyperlink>
            <w:r w:rsidR="007E31E3" w:rsidRPr="003D0B33">
              <w:rPr>
                <w:rFonts w:ascii="Cambria" w:hAnsi="Cambria" w:cstheme="minorHAnsi"/>
                <w:sz w:val="18"/>
                <w:szCs w:val="18"/>
                <w:lang w:val="es-ES"/>
              </w:rPr>
              <w:t xml:space="preserve">, </w:t>
            </w:r>
            <w:proofErr w:type="spellStart"/>
            <w:r w:rsidR="007E31E3" w:rsidRPr="003D0B33">
              <w:rPr>
                <w:rFonts w:ascii="Cambria" w:hAnsi="Cambria" w:cstheme="minorHAnsi"/>
                <w:sz w:val="18"/>
                <w:szCs w:val="18"/>
                <w:lang w:val="es-ES"/>
              </w:rPr>
              <w:t>Report</w:t>
            </w:r>
            <w:proofErr w:type="spellEnd"/>
            <w:r w:rsidR="007E31E3" w:rsidRPr="003D0B33">
              <w:rPr>
                <w:rFonts w:ascii="Cambria" w:hAnsi="Cambria" w:cstheme="minorHAnsi"/>
                <w:sz w:val="18"/>
                <w:szCs w:val="18"/>
                <w:lang w:val="es-ES"/>
              </w:rPr>
              <w:t xml:space="preserve"> No. 94/00, Byron Roberto Cañaveral (Ecuador)</w:t>
            </w:r>
            <w:r w:rsidR="007E31E3" w:rsidRPr="00524435">
              <w:rPr>
                <w:rFonts w:ascii="Cambria" w:hAnsi="Cambria" w:cstheme="minorHAnsi"/>
                <w:sz w:val="18"/>
                <w:szCs w:val="18"/>
                <w:vertAlign w:val="superscript"/>
              </w:rPr>
              <w:footnoteReference w:id="58"/>
            </w:r>
          </w:p>
        </w:tc>
        <w:tc>
          <w:tcPr>
            <w:tcW w:w="1170" w:type="dxa"/>
            <w:vMerge/>
            <w:shd w:val="clear" w:color="auto" w:fill="F2F2F2" w:themeFill="background1" w:themeFillShade="F2"/>
          </w:tcPr>
          <w:p w14:paraId="68F910B7" w14:textId="77777777" w:rsidR="007E31E3" w:rsidRPr="003D0B33" w:rsidRDefault="007E31E3" w:rsidP="00820229">
            <w:pPr>
              <w:jc w:val="center"/>
              <w:rPr>
                <w:rFonts w:ascii="Cambria" w:hAnsi="Cambria" w:cstheme="minorHAnsi"/>
                <w:sz w:val="18"/>
                <w:szCs w:val="18"/>
                <w:lang w:val="es-ES"/>
              </w:rPr>
            </w:pPr>
          </w:p>
        </w:tc>
        <w:tc>
          <w:tcPr>
            <w:tcW w:w="1316" w:type="dxa"/>
          </w:tcPr>
          <w:p w14:paraId="360318A5" w14:textId="77777777" w:rsidR="007E31E3" w:rsidRPr="003D0B33" w:rsidRDefault="007E31E3" w:rsidP="00820229">
            <w:pPr>
              <w:jc w:val="center"/>
              <w:rPr>
                <w:rFonts w:ascii="Cambria" w:hAnsi="Cambria" w:cstheme="minorHAnsi"/>
                <w:sz w:val="18"/>
                <w:szCs w:val="18"/>
                <w:lang w:val="es-ES"/>
              </w:rPr>
            </w:pPr>
          </w:p>
        </w:tc>
        <w:tc>
          <w:tcPr>
            <w:tcW w:w="1170" w:type="dxa"/>
          </w:tcPr>
          <w:p w14:paraId="2FD5357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21706FDF"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7180717C"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67%</w:t>
            </w:r>
          </w:p>
        </w:tc>
        <w:tc>
          <w:tcPr>
            <w:tcW w:w="1260" w:type="dxa"/>
          </w:tcPr>
          <w:p w14:paraId="678E9A1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43FD49B4" w14:textId="77777777" w:rsidTr="00820229">
        <w:trPr>
          <w:cnfStyle w:val="000000010000" w:firstRow="0" w:lastRow="0" w:firstColumn="0" w:lastColumn="0" w:oddVBand="0" w:evenVBand="0" w:oddHBand="0" w:evenHBand="1" w:firstRowFirstColumn="0" w:firstRowLastColumn="0" w:lastRowFirstColumn="0" w:lastRowLastColumn="0"/>
          <w:trHeight w:hRule="exact" w:val="1089"/>
          <w:jc w:val="center"/>
        </w:trPr>
        <w:tc>
          <w:tcPr>
            <w:tcW w:w="2250" w:type="dxa"/>
          </w:tcPr>
          <w:p w14:paraId="4C65DAC8" w14:textId="140FA6E8" w:rsidR="007E31E3" w:rsidRPr="00E42B49" w:rsidRDefault="006B7403" w:rsidP="0009324C">
            <w:pPr>
              <w:numPr>
                <w:ilvl w:val="0"/>
                <w:numId w:val="18"/>
              </w:numPr>
              <w:tabs>
                <w:tab w:val="num" w:pos="522"/>
              </w:tabs>
              <w:ind w:firstLine="0"/>
              <w:jc w:val="both"/>
              <w:rPr>
                <w:rFonts w:ascii="Cambria" w:hAnsi="Cambria" w:cstheme="minorHAnsi"/>
                <w:sz w:val="18"/>
                <w:szCs w:val="18"/>
                <w:lang w:val="es-US"/>
              </w:rPr>
            </w:pPr>
            <w:hyperlink r:id="rId44" w:anchor="11.445">
              <w:r w:rsidR="007E31E3" w:rsidRPr="00E42B49">
                <w:rPr>
                  <w:rFonts w:ascii="Cambria" w:hAnsi="Cambria" w:cstheme="minorHAnsi"/>
                  <w:sz w:val="18"/>
                  <w:szCs w:val="18"/>
                  <w:lang w:val="es-US"/>
                </w:rPr>
                <w:t>Case 11.445</w:t>
              </w:r>
            </w:hyperlink>
            <w:r w:rsidR="007E31E3" w:rsidRPr="00E42B49">
              <w:rPr>
                <w:rFonts w:ascii="Cambria" w:hAnsi="Cambria" w:cstheme="minorHAnsi"/>
                <w:sz w:val="18"/>
                <w:szCs w:val="18"/>
                <w:lang w:val="es-US"/>
              </w:rPr>
              <w:t xml:space="preserve">, </w:t>
            </w:r>
            <w:proofErr w:type="spellStart"/>
            <w:r w:rsidR="007E31E3" w:rsidRPr="00E42B49">
              <w:rPr>
                <w:rFonts w:ascii="Cambria" w:hAnsi="Cambria" w:cstheme="minorHAnsi"/>
                <w:sz w:val="18"/>
                <w:szCs w:val="18"/>
                <w:lang w:val="es-US"/>
              </w:rPr>
              <w:t>Report</w:t>
            </w:r>
            <w:proofErr w:type="spellEnd"/>
            <w:r w:rsidR="007E31E3" w:rsidRPr="00E42B49">
              <w:rPr>
                <w:rFonts w:ascii="Cambria" w:hAnsi="Cambria" w:cstheme="minorHAnsi"/>
                <w:sz w:val="18"/>
                <w:szCs w:val="18"/>
                <w:lang w:val="es-US"/>
              </w:rPr>
              <w:t xml:space="preserve"> No. 95/00, Ángelo Javier </w:t>
            </w:r>
            <w:proofErr w:type="spellStart"/>
            <w:r w:rsidR="007E31E3" w:rsidRPr="00E42B49">
              <w:rPr>
                <w:rFonts w:ascii="Cambria" w:hAnsi="Cambria" w:cstheme="minorHAnsi"/>
                <w:sz w:val="18"/>
                <w:szCs w:val="18"/>
                <w:lang w:val="es-US"/>
              </w:rPr>
              <w:t>Ruales</w:t>
            </w:r>
            <w:proofErr w:type="spellEnd"/>
            <w:r w:rsidR="007E31E3" w:rsidRPr="00E42B49">
              <w:rPr>
                <w:rFonts w:ascii="Cambria" w:hAnsi="Cambria" w:cstheme="minorHAnsi"/>
                <w:sz w:val="18"/>
                <w:szCs w:val="18"/>
                <w:lang w:val="es-US"/>
              </w:rPr>
              <w:t xml:space="preserve"> Paredes (Ecuador)</w:t>
            </w:r>
            <w:r w:rsidR="007E31E3" w:rsidRPr="00524435">
              <w:rPr>
                <w:rFonts w:ascii="Cambria" w:hAnsi="Cambria" w:cstheme="minorHAnsi"/>
                <w:sz w:val="18"/>
                <w:szCs w:val="18"/>
                <w:vertAlign w:val="superscript"/>
              </w:rPr>
              <w:footnoteReference w:id="59"/>
            </w:r>
          </w:p>
        </w:tc>
        <w:tc>
          <w:tcPr>
            <w:tcW w:w="1170" w:type="dxa"/>
            <w:vMerge/>
            <w:shd w:val="clear" w:color="auto" w:fill="F2F2F2" w:themeFill="background1" w:themeFillShade="F2"/>
          </w:tcPr>
          <w:p w14:paraId="7A871487" w14:textId="77777777" w:rsidR="007E31E3" w:rsidRPr="00E42B49" w:rsidRDefault="007E31E3" w:rsidP="00820229">
            <w:pPr>
              <w:jc w:val="center"/>
              <w:rPr>
                <w:rFonts w:ascii="Cambria" w:hAnsi="Cambria" w:cstheme="minorHAnsi"/>
                <w:sz w:val="18"/>
                <w:szCs w:val="18"/>
                <w:lang w:val="es-US"/>
              </w:rPr>
            </w:pPr>
          </w:p>
        </w:tc>
        <w:tc>
          <w:tcPr>
            <w:tcW w:w="1316" w:type="dxa"/>
          </w:tcPr>
          <w:p w14:paraId="2B2B7222"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3CC65C31" w14:textId="77777777" w:rsidR="007E31E3" w:rsidRPr="00524435" w:rsidRDefault="007E31E3" w:rsidP="00820229">
            <w:pPr>
              <w:jc w:val="center"/>
              <w:rPr>
                <w:rFonts w:ascii="Cambria" w:hAnsi="Cambria" w:cstheme="minorHAnsi"/>
                <w:sz w:val="18"/>
                <w:szCs w:val="18"/>
              </w:rPr>
            </w:pPr>
          </w:p>
        </w:tc>
        <w:tc>
          <w:tcPr>
            <w:tcW w:w="1170" w:type="dxa"/>
          </w:tcPr>
          <w:p w14:paraId="20CB957A"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3D321C59"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4676508F"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Closed</w:t>
            </w:r>
          </w:p>
        </w:tc>
      </w:tr>
      <w:tr w:rsidR="007E31E3" w:rsidRPr="00524435" w14:paraId="0E7834DD" w14:textId="77777777" w:rsidTr="00820229">
        <w:trPr>
          <w:cnfStyle w:val="000000100000" w:firstRow="0" w:lastRow="0" w:firstColumn="0" w:lastColumn="0" w:oddVBand="0" w:evenVBand="0" w:oddHBand="1" w:evenHBand="0" w:firstRowFirstColumn="0" w:firstRowLastColumn="0" w:lastRowFirstColumn="0" w:lastRowLastColumn="0"/>
          <w:trHeight w:hRule="exact" w:val="1251"/>
          <w:jc w:val="center"/>
        </w:trPr>
        <w:tc>
          <w:tcPr>
            <w:tcW w:w="2250" w:type="dxa"/>
          </w:tcPr>
          <w:p w14:paraId="67014A5E" w14:textId="3261AD30" w:rsidR="007E31E3" w:rsidRPr="00E42B49" w:rsidRDefault="006B7403" w:rsidP="0009324C">
            <w:pPr>
              <w:numPr>
                <w:ilvl w:val="0"/>
                <w:numId w:val="18"/>
              </w:numPr>
              <w:tabs>
                <w:tab w:val="num" w:pos="522"/>
              </w:tabs>
              <w:ind w:firstLine="0"/>
              <w:jc w:val="both"/>
              <w:rPr>
                <w:rFonts w:ascii="Cambria" w:hAnsi="Cambria" w:cstheme="minorHAnsi"/>
                <w:sz w:val="18"/>
                <w:szCs w:val="18"/>
                <w:lang w:val="es-US"/>
              </w:rPr>
            </w:pPr>
            <w:hyperlink r:id="rId45" w:anchor="11.466">
              <w:r w:rsidR="007E31E3" w:rsidRPr="00E42B49">
                <w:rPr>
                  <w:rFonts w:ascii="Cambria" w:hAnsi="Cambria" w:cstheme="minorHAnsi"/>
                  <w:sz w:val="18"/>
                  <w:szCs w:val="18"/>
                  <w:lang w:val="es-US"/>
                </w:rPr>
                <w:t>Case 11.466</w:t>
              </w:r>
            </w:hyperlink>
            <w:r w:rsidR="007E31E3" w:rsidRPr="00E42B49">
              <w:rPr>
                <w:rFonts w:ascii="Cambria" w:hAnsi="Cambria" w:cstheme="minorHAnsi"/>
                <w:sz w:val="18"/>
                <w:szCs w:val="18"/>
                <w:lang w:val="es-US"/>
              </w:rPr>
              <w:t xml:space="preserve">, </w:t>
            </w:r>
            <w:proofErr w:type="spellStart"/>
            <w:r w:rsidR="007E31E3" w:rsidRPr="00E42B49">
              <w:rPr>
                <w:rFonts w:ascii="Cambria" w:hAnsi="Cambria" w:cstheme="minorHAnsi"/>
                <w:sz w:val="18"/>
                <w:szCs w:val="18"/>
                <w:lang w:val="es-US"/>
              </w:rPr>
              <w:t>Report</w:t>
            </w:r>
            <w:proofErr w:type="spellEnd"/>
            <w:r w:rsidR="007E31E3" w:rsidRPr="00E42B49">
              <w:rPr>
                <w:rFonts w:ascii="Cambria" w:hAnsi="Cambria" w:cstheme="minorHAnsi"/>
                <w:sz w:val="18"/>
                <w:szCs w:val="18"/>
                <w:lang w:val="es-US"/>
              </w:rPr>
              <w:t xml:space="preserve"> No. 96/00, Manuel Inocencio </w:t>
            </w:r>
            <w:proofErr w:type="spellStart"/>
            <w:r w:rsidR="007E31E3" w:rsidRPr="00E42B49">
              <w:rPr>
                <w:rFonts w:ascii="Cambria" w:hAnsi="Cambria" w:cstheme="minorHAnsi"/>
                <w:sz w:val="18"/>
                <w:szCs w:val="18"/>
                <w:lang w:val="es-US"/>
              </w:rPr>
              <w:t>Lalvay</w:t>
            </w:r>
            <w:proofErr w:type="spellEnd"/>
            <w:r w:rsidR="007E31E3" w:rsidRPr="00E42B49">
              <w:rPr>
                <w:rFonts w:ascii="Cambria" w:hAnsi="Cambria" w:cstheme="minorHAnsi"/>
                <w:sz w:val="18"/>
                <w:szCs w:val="18"/>
                <w:lang w:val="es-US"/>
              </w:rPr>
              <w:t xml:space="preserve"> Guamán (Ecuador)</w:t>
            </w:r>
            <w:r w:rsidR="007E31E3" w:rsidRPr="00524435">
              <w:rPr>
                <w:rFonts w:ascii="Cambria" w:hAnsi="Cambria" w:cstheme="minorHAnsi"/>
                <w:sz w:val="18"/>
                <w:szCs w:val="18"/>
                <w:vertAlign w:val="superscript"/>
              </w:rPr>
              <w:footnoteReference w:id="60"/>
            </w:r>
          </w:p>
        </w:tc>
        <w:tc>
          <w:tcPr>
            <w:tcW w:w="1170" w:type="dxa"/>
            <w:vMerge/>
            <w:shd w:val="clear" w:color="auto" w:fill="F2F2F2" w:themeFill="background1" w:themeFillShade="F2"/>
          </w:tcPr>
          <w:p w14:paraId="378ED908" w14:textId="77777777" w:rsidR="007E31E3" w:rsidRPr="00E42B49" w:rsidRDefault="007E31E3" w:rsidP="00820229">
            <w:pPr>
              <w:jc w:val="center"/>
              <w:rPr>
                <w:rFonts w:ascii="Cambria" w:hAnsi="Cambria" w:cstheme="minorHAnsi"/>
                <w:sz w:val="18"/>
                <w:szCs w:val="18"/>
                <w:lang w:val="es-US"/>
              </w:rPr>
            </w:pPr>
          </w:p>
        </w:tc>
        <w:tc>
          <w:tcPr>
            <w:tcW w:w="1316" w:type="dxa"/>
          </w:tcPr>
          <w:p w14:paraId="7E28DC6C" w14:textId="77777777" w:rsidR="007E31E3" w:rsidRPr="00E42B49" w:rsidRDefault="007E31E3" w:rsidP="00820229">
            <w:pPr>
              <w:jc w:val="center"/>
              <w:rPr>
                <w:rFonts w:ascii="Cambria" w:hAnsi="Cambria" w:cstheme="minorHAnsi"/>
                <w:sz w:val="18"/>
                <w:szCs w:val="18"/>
                <w:lang w:val="es-US"/>
              </w:rPr>
            </w:pPr>
          </w:p>
        </w:tc>
        <w:tc>
          <w:tcPr>
            <w:tcW w:w="1170" w:type="dxa"/>
          </w:tcPr>
          <w:p w14:paraId="009D173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259170AE"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579C7DCE"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75%</w:t>
            </w:r>
          </w:p>
        </w:tc>
        <w:tc>
          <w:tcPr>
            <w:tcW w:w="1260" w:type="dxa"/>
          </w:tcPr>
          <w:p w14:paraId="29932ED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71809E7B" w14:textId="77777777" w:rsidTr="00820229">
        <w:trPr>
          <w:cnfStyle w:val="000000010000" w:firstRow="0" w:lastRow="0" w:firstColumn="0" w:lastColumn="0" w:oddVBand="0" w:evenVBand="0" w:oddHBand="0" w:evenHBand="1" w:firstRowFirstColumn="0" w:firstRowLastColumn="0" w:lastRowFirstColumn="0" w:lastRowLastColumn="0"/>
          <w:trHeight w:hRule="exact" w:val="990"/>
          <w:jc w:val="center"/>
        </w:trPr>
        <w:tc>
          <w:tcPr>
            <w:tcW w:w="2250" w:type="dxa"/>
          </w:tcPr>
          <w:p w14:paraId="3490BE74" w14:textId="283D770C" w:rsidR="007E31E3" w:rsidRPr="00E42B49" w:rsidRDefault="006B7403" w:rsidP="0009324C">
            <w:pPr>
              <w:numPr>
                <w:ilvl w:val="0"/>
                <w:numId w:val="18"/>
              </w:numPr>
              <w:tabs>
                <w:tab w:val="num" w:pos="522"/>
              </w:tabs>
              <w:ind w:firstLine="0"/>
              <w:jc w:val="both"/>
              <w:rPr>
                <w:rFonts w:ascii="Cambria" w:hAnsi="Cambria" w:cstheme="minorHAnsi"/>
                <w:sz w:val="18"/>
                <w:szCs w:val="18"/>
                <w:lang w:val="es-US"/>
              </w:rPr>
            </w:pPr>
            <w:hyperlink r:id="rId46" w:anchor="11.584">
              <w:r w:rsidR="007E31E3" w:rsidRPr="00E42B49">
                <w:rPr>
                  <w:rFonts w:ascii="Cambria" w:hAnsi="Cambria" w:cstheme="minorHAnsi"/>
                  <w:sz w:val="18"/>
                  <w:szCs w:val="18"/>
                  <w:lang w:val="es-US"/>
                </w:rPr>
                <w:t>Case 11.584</w:t>
              </w:r>
            </w:hyperlink>
            <w:r w:rsidR="007E31E3" w:rsidRPr="00E42B49">
              <w:rPr>
                <w:rFonts w:ascii="Cambria" w:hAnsi="Cambria" w:cstheme="minorHAnsi"/>
                <w:sz w:val="18"/>
                <w:szCs w:val="18"/>
                <w:lang w:val="es-US"/>
              </w:rPr>
              <w:t xml:space="preserve">, </w:t>
            </w:r>
            <w:proofErr w:type="spellStart"/>
            <w:r w:rsidR="007E31E3" w:rsidRPr="00E42B49">
              <w:rPr>
                <w:rFonts w:ascii="Cambria" w:hAnsi="Cambria" w:cstheme="minorHAnsi"/>
                <w:sz w:val="18"/>
                <w:szCs w:val="18"/>
                <w:lang w:val="es-US"/>
              </w:rPr>
              <w:t>Report</w:t>
            </w:r>
            <w:proofErr w:type="spellEnd"/>
            <w:r w:rsidR="007E31E3" w:rsidRPr="00E42B49">
              <w:rPr>
                <w:rFonts w:ascii="Cambria" w:hAnsi="Cambria" w:cstheme="minorHAnsi"/>
                <w:sz w:val="18"/>
                <w:szCs w:val="18"/>
                <w:lang w:val="es-US"/>
              </w:rPr>
              <w:t xml:space="preserve"> No. 97/00, Carlos Juela Molina (Ecuador)</w:t>
            </w:r>
            <w:r w:rsidR="007E31E3" w:rsidRPr="00524435">
              <w:rPr>
                <w:rFonts w:ascii="Cambria" w:hAnsi="Cambria" w:cstheme="minorHAnsi"/>
                <w:sz w:val="18"/>
                <w:szCs w:val="18"/>
                <w:vertAlign w:val="superscript"/>
              </w:rPr>
              <w:footnoteReference w:id="61"/>
            </w:r>
          </w:p>
        </w:tc>
        <w:tc>
          <w:tcPr>
            <w:tcW w:w="1170" w:type="dxa"/>
            <w:vMerge/>
            <w:shd w:val="clear" w:color="auto" w:fill="F2F2F2" w:themeFill="background1" w:themeFillShade="F2"/>
          </w:tcPr>
          <w:p w14:paraId="2FE73C83" w14:textId="77777777" w:rsidR="007E31E3" w:rsidRPr="00E42B49" w:rsidRDefault="007E31E3" w:rsidP="00820229">
            <w:pPr>
              <w:jc w:val="center"/>
              <w:rPr>
                <w:rFonts w:ascii="Cambria" w:hAnsi="Cambria" w:cstheme="minorHAnsi"/>
                <w:sz w:val="18"/>
                <w:szCs w:val="18"/>
                <w:lang w:val="es-US"/>
              </w:rPr>
            </w:pPr>
          </w:p>
        </w:tc>
        <w:tc>
          <w:tcPr>
            <w:tcW w:w="1316" w:type="dxa"/>
          </w:tcPr>
          <w:p w14:paraId="5509354C" w14:textId="77777777" w:rsidR="007E31E3" w:rsidRPr="00E42B49" w:rsidRDefault="007E31E3" w:rsidP="00820229">
            <w:pPr>
              <w:jc w:val="center"/>
              <w:rPr>
                <w:rFonts w:ascii="Cambria" w:hAnsi="Cambria" w:cstheme="minorHAnsi"/>
                <w:sz w:val="18"/>
                <w:szCs w:val="18"/>
                <w:lang w:val="es-US"/>
              </w:rPr>
            </w:pPr>
          </w:p>
        </w:tc>
        <w:tc>
          <w:tcPr>
            <w:tcW w:w="1170" w:type="dxa"/>
          </w:tcPr>
          <w:p w14:paraId="5D4E77EE"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265BBEB4"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28AFBFAE"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67%</w:t>
            </w:r>
          </w:p>
        </w:tc>
        <w:tc>
          <w:tcPr>
            <w:tcW w:w="1260" w:type="dxa"/>
          </w:tcPr>
          <w:p w14:paraId="79594A3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2C13D901" w14:textId="77777777" w:rsidTr="00820229">
        <w:trPr>
          <w:cnfStyle w:val="000000100000" w:firstRow="0" w:lastRow="0" w:firstColumn="0" w:lastColumn="0" w:oddVBand="0" w:evenVBand="0" w:oddHBand="1" w:evenHBand="0" w:firstRowFirstColumn="0" w:firstRowLastColumn="0" w:lastRowFirstColumn="0" w:lastRowLastColumn="0"/>
          <w:trHeight w:hRule="exact" w:val="981"/>
          <w:jc w:val="center"/>
        </w:trPr>
        <w:tc>
          <w:tcPr>
            <w:tcW w:w="2250" w:type="dxa"/>
          </w:tcPr>
          <w:p w14:paraId="6E4CBC9B" w14:textId="59F243B2" w:rsidR="007E31E3" w:rsidRPr="00E42B49" w:rsidRDefault="006B7403" w:rsidP="0009324C">
            <w:pPr>
              <w:numPr>
                <w:ilvl w:val="0"/>
                <w:numId w:val="18"/>
              </w:numPr>
              <w:tabs>
                <w:tab w:val="num" w:pos="522"/>
              </w:tabs>
              <w:ind w:firstLine="0"/>
              <w:jc w:val="both"/>
              <w:rPr>
                <w:rFonts w:ascii="Cambria" w:hAnsi="Cambria" w:cstheme="minorHAnsi"/>
                <w:sz w:val="18"/>
                <w:szCs w:val="18"/>
                <w:lang w:val="es-US"/>
              </w:rPr>
            </w:pPr>
            <w:hyperlink r:id="rId47" w:anchor="11.783">
              <w:r w:rsidR="007E31E3" w:rsidRPr="00E42B49">
                <w:rPr>
                  <w:rFonts w:ascii="Cambria" w:hAnsi="Cambria" w:cstheme="minorHAnsi"/>
                  <w:sz w:val="18"/>
                  <w:szCs w:val="18"/>
                  <w:lang w:val="es-US"/>
                </w:rPr>
                <w:t>Case 11.783</w:t>
              </w:r>
            </w:hyperlink>
            <w:r w:rsidR="007E31E3" w:rsidRPr="00E42B49">
              <w:rPr>
                <w:rFonts w:ascii="Cambria" w:hAnsi="Cambria" w:cstheme="minorHAnsi"/>
                <w:sz w:val="18"/>
                <w:szCs w:val="18"/>
                <w:lang w:val="es-US"/>
              </w:rPr>
              <w:t xml:space="preserve">, </w:t>
            </w:r>
            <w:proofErr w:type="spellStart"/>
            <w:r w:rsidR="007E31E3" w:rsidRPr="00E42B49">
              <w:rPr>
                <w:rFonts w:ascii="Cambria" w:hAnsi="Cambria" w:cstheme="minorHAnsi"/>
                <w:sz w:val="18"/>
                <w:szCs w:val="18"/>
                <w:lang w:val="es-US"/>
              </w:rPr>
              <w:t>Report</w:t>
            </w:r>
            <w:proofErr w:type="spellEnd"/>
            <w:r w:rsidR="007E31E3" w:rsidRPr="00E42B49">
              <w:rPr>
                <w:rFonts w:ascii="Cambria" w:hAnsi="Cambria" w:cstheme="minorHAnsi"/>
                <w:sz w:val="18"/>
                <w:szCs w:val="18"/>
                <w:lang w:val="es-US"/>
              </w:rPr>
              <w:t xml:space="preserve"> No. 98/00, Marcia Irene Clavijo Tapia, (Ecuador)</w:t>
            </w:r>
            <w:r w:rsidR="007E31E3" w:rsidRPr="00524435">
              <w:rPr>
                <w:rFonts w:ascii="Cambria" w:hAnsi="Cambria" w:cstheme="minorHAnsi"/>
                <w:sz w:val="18"/>
                <w:szCs w:val="18"/>
                <w:vertAlign w:val="superscript"/>
              </w:rPr>
              <w:footnoteReference w:id="62"/>
            </w:r>
          </w:p>
        </w:tc>
        <w:tc>
          <w:tcPr>
            <w:tcW w:w="1170" w:type="dxa"/>
            <w:vMerge/>
            <w:shd w:val="clear" w:color="auto" w:fill="F2F2F2" w:themeFill="background1" w:themeFillShade="F2"/>
          </w:tcPr>
          <w:p w14:paraId="10EC841E" w14:textId="77777777" w:rsidR="007E31E3" w:rsidRPr="00E42B49" w:rsidRDefault="007E31E3" w:rsidP="00820229">
            <w:pPr>
              <w:jc w:val="center"/>
              <w:rPr>
                <w:rFonts w:ascii="Cambria" w:hAnsi="Cambria" w:cstheme="minorHAnsi"/>
                <w:sz w:val="18"/>
                <w:szCs w:val="18"/>
                <w:lang w:val="es-US"/>
              </w:rPr>
            </w:pPr>
          </w:p>
        </w:tc>
        <w:tc>
          <w:tcPr>
            <w:tcW w:w="1316" w:type="dxa"/>
          </w:tcPr>
          <w:p w14:paraId="5C952579" w14:textId="77777777" w:rsidR="007E31E3" w:rsidRPr="00E42B49" w:rsidRDefault="007E31E3" w:rsidP="00820229">
            <w:pPr>
              <w:jc w:val="center"/>
              <w:rPr>
                <w:rFonts w:ascii="Cambria" w:hAnsi="Cambria" w:cstheme="minorHAnsi"/>
                <w:sz w:val="18"/>
                <w:szCs w:val="18"/>
                <w:lang w:val="es-US"/>
              </w:rPr>
            </w:pPr>
          </w:p>
        </w:tc>
        <w:tc>
          <w:tcPr>
            <w:tcW w:w="1170" w:type="dxa"/>
          </w:tcPr>
          <w:p w14:paraId="60CB8419"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7A97978F"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249E390B"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67%</w:t>
            </w:r>
          </w:p>
        </w:tc>
        <w:tc>
          <w:tcPr>
            <w:tcW w:w="1260" w:type="dxa"/>
          </w:tcPr>
          <w:p w14:paraId="64FF2AA5"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05079084" w14:textId="77777777" w:rsidTr="00820229">
        <w:trPr>
          <w:cnfStyle w:val="000000010000" w:firstRow="0" w:lastRow="0" w:firstColumn="0" w:lastColumn="0" w:oddVBand="0" w:evenVBand="0" w:oddHBand="0" w:evenHBand="1" w:firstRowFirstColumn="0" w:firstRowLastColumn="0" w:lastRowFirstColumn="0" w:lastRowLastColumn="0"/>
          <w:trHeight w:hRule="exact" w:val="1449"/>
          <w:jc w:val="center"/>
        </w:trPr>
        <w:tc>
          <w:tcPr>
            <w:tcW w:w="2250" w:type="dxa"/>
          </w:tcPr>
          <w:p w14:paraId="1078C5C5" w14:textId="4F9CFD8F" w:rsidR="007E31E3" w:rsidRPr="00524435" w:rsidRDefault="006B7403" w:rsidP="0009324C">
            <w:pPr>
              <w:numPr>
                <w:ilvl w:val="0"/>
                <w:numId w:val="18"/>
              </w:numPr>
              <w:tabs>
                <w:tab w:val="num" w:pos="522"/>
              </w:tabs>
              <w:ind w:firstLine="0"/>
              <w:jc w:val="both"/>
              <w:rPr>
                <w:rFonts w:ascii="Cambria" w:hAnsi="Cambria" w:cstheme="minorHAnsi"/>
                <w:sz w:val="18"/>
                <w:szCs w:val="18"/>
              </w:rPr>
            </w:pPr>
            <w:hyperlink r:id="rId48" w:anchor="11.868">
              <w:r w:rsidR="007E31E3" w:rsidRPr="00524435">
                <w:rPr>
                  <w:rFonts w:ascii="Cambria" w:hAnsi="Cambria" w:cstheme="minorHAnsi"/>
                  <w:sz w:val="18"/>
                  <w:szCs w:val="18"/>
                </w:rPr>
                <w:t>Case 11.868</w:t>
              </w:r>
            </w:hyperlink>
            <w:r w:rsidR="007E31E3" w:rsidRPr="00524435">
              <w:rPr>
                <w:rFonts w:ascii="Cambria" w:hAnsi="Cambria" w:cstheme="minorHAnsi"/>
                <w:sz w:val="18"/>
                <w:szCs w:val="18"/>
              </w:rPr>
              <w:t xml:space="preserve">, Report No. 99/00, Carlos Santiago and Pedro Andrés Restrepo </w:t>
            </w:r>
            <w:proofErr w:type="spellStart"/>
            <w:r w:rsidR="007E31E3" w:rsidRPr="00524435">
              <w:rPr>
                <w:rFonts w:ascii="Cambria" w:hAnsi="Cambria" w:cstheme="minorHAnsi"/>
                <w:sz w:val="18"/>
                <w:szCs w:val="18"/>
              </w:rPr>
              <w:t>Arismendy</w:t>
            </w:r>
            <w:proofErr w:type="spellEnd"/>
            <w:r w:rsidR="007E31E3" w:rsidRPr="00524435">
              <w:rPr>
                <w:rFonts w:ascii="Cambria" w:hAnsi="Cambria" w:cstheme="minorHAnsi"/>
                <w:sz w:val="18"/>
                <w:szCs w:val="18"/>
              </w:rPr>
              <w:t xml:space="preserve"> (Ecuador)</w:t>
            </w:r>
            <w:r w:rsidR="007E31E3" w:rsidRPr="00524435">
              <w:rPr>
                <w:rStyle w:val="FootnoteReference"/>
                <w:rFonts w:ascii="Cambria" w:hAnsi="Cambria" w:cstheme="minorHAnsi"/>
                <w:sz w:val="18"/>
                <w:szCs w:val="18"/>
              </w:rPr>
              <w:footnoteReference w:id="63"/>
            </w:r>
          </w:p>
        </w:tc>
        <w:tc>
          <w:tcPr>
            <w:tcW w:w="1170" w:type="dxa"/>
            <w:vMerge/>
            <w:shd w:val="clear" w:color="auto" w:fill="F2F2F2" w:themeFill="background1" w:themeFillShade="F2"/>
          </w:tcPr>
          <w:p w14:paraId="0447D835" w14:textId="77777777" w:rsidR="007E31E3" w:rsidRPr="00524435" w:rsidRDefault="007E31E3" w:rsidP="00820229">
            <w:pPr>
              <w:jc w:val="center"/>
              <w:rPr>
                <w:rFonts w:ascii="Cambria" w:hAnsi="Cambria" w:cstheme="minorHAnsi"/>
                <w:sz w:val="18"/>
                <w:szCs w:val="18"/>
              </w:rPr>
            </w:pPr>
          </w:p>
        </w:tc>
        <w:tc>
          <w:tcPr>
            <w:tcW w:w="1316" w:type="dxa"/>
          </w:tcPr>
          <w:p w14:paraId="533E2139" w14:textId="77777777" w:rsidR="007E31E3" w:rsidRPr="00524435" w:rsidRDefault="007E31E3" w:rsidP="00820229">
            <w:pPr>
              <w:jc w:val="center"/>
              <w:rPr>
                <w:rFonts w:ascii="Cambria" w:hAnsi="Cambria" w:cstheme="minorHAnsi"/>
                <w:sz w:val="18"/>
                <w:szCs w:val="18"/>
              </w:rPr>
            </w:pPr>
          </w:p>
        </w:tc>
        <w:tc>
          <w:tcPr>
            <w:tcW w:w="1170" w:type="dxa"/>
          </w:tcPr>
          <w:p w14:paraId="118D7BD9"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7BD4FC22"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34D9AF6B"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67%</w:t>
            </w:r>
          </w:p>
        </w:tc>
        <w:tc>
          <w:tcPr>
            <w:tcW w:w="1260" w:type="dxa"/>
          </w:tcPr>
          <w:p w14:paraId="1E2B7A82"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0B7FFCFA" w14:textId="77777777" w:rsidTr="00820229">
        <w:trPr>
          <w:cnfStyle w:val="000000100000" w:firstRow="0" w:lastRow="0" w:firstColumn="0" w:lastColumn="0" w:oddVBand="0" w:evenVBand="0" w:oddHBand="1" w:evenHBand="0" w:firstRowFirstColumn="0" w:firstRowLastColumn="0" w:lastRowFirstColumn="0" w:lastRowLastColumn="0"/>
          <w:trHeight w:hRule="exact" w:val="990"/>
          <w:jc w:val="center"/>
        </w:trPr>
        <w:tc>
          <w:tcPr>
            <w:tcW w:w="2250" w:type="dxa"/>
          </w:tcPr>
          <w:p w14:paraId="0E3FCFC7" w14:textId="3987E34E" w:rsidR="007E31E3" w:rsidRPr="00E42B49" w:rsidRDefault="006B7403" w:rsidP="0009324C">
            <w:pPr>
              <w:numPr>
                <w:ilvl w:val="0"/>
                <w:numId w:val="18"/>
              </w:numPr>
              <w:tabs>
                <w:tab w:val="num" w:pos="522"/>
              </w:tabs>
              <w:ind w:firstLine="0"/>
              <w:jc w:val="both"/>
              <w:rPr>
                <w:rFonts w:ascii="Cambria" w:hAnsi="Cambria" w:cstheme="minorHAnsi"/>
                <w:sz w:val="18"/>
                <w:szCs w:val="18"/>
                <w:lang w:val="es-US"/>
              </w:rPr>
            </w:pPr>
            <w:hyperlink r:id="rId49" w:anchor="11.991">
              <w:r w:rsidR="007E31E3" w:rsidRPr="00E42B49">
                <w:rPr>
                  <w:rFonts w:ascii="Cambria" w:hAnsi="Cambria" w:cstheme="minorHAnsi"/>
                  <w:sz w:val="18"/>
                  <w:szCs w:val="18"/>
                  <w:lang w:val="es-US"/>
                </w:rPr>
                <w:t>Case 11.991</w:t>
              </w:r>
            </w:hyperlink>
            <w:r w:rsidR="007E31E3" w:rsidRPr="00E42B49">
              <w:rPr>
                <w:rFonts w:ascii="Cambria" w:hAnsi="Cambria" w:cstheme="minorHAnsi"/>
                <w:sz w:val="18"/>
                <w:szCs w:val="18"/>
                <w:lang w:val="es-US"/>
              </w:rPr>
              <w:t xml:space="preserve">, </w:t>
            </w:r>
            <w:proofErr w:type="spellStart"/>
            <w:r w:rsidR="007E31E3" w:rsidRPr="00E42B49">
              <w:rPr>
                <w:rFonts w:ascii="Cambria" w:hAnsi="Cambria" w:cstheme="minorHAnsi"/>
                <w:sz w:val="18"/>
                <w:szCs w:val="18"/>
                <w:lang w:val="es-US"/>
              </w:rPr>
              <w:t>Report</w:t>
            </w:r>
            <w:proofErr w:type="spellEnd"/>
            <w:r w:rsidR="007E31E3" w:rsidRPr="00E42B49">
              <w:rPr>
                <w:rFonts w:ascii="Cambria" w:hAnsi="Cambria" w:cstheme="minorHAnsi"/>
                <w:sz w:val="18"/>
                <w:szCs w:val="18"/>
                <w:lang w:val="es-US"/>
              </w:rPr>
              <w:t xml:space="preserve"> No. 100/00, Kelvin Vicente Torres Cueva (Ecuador)</w:t>
            </w:r>
            <w:r w:rsidR="007E31E3" w:rsidRPr="00524435">
              <w:rPr>
                <w:rFonts w:ascii="Cambria" w:hAnsi="Cambria" w:cstheme="minorHAnsi"/>
                <w:sz w:val="18"/>
                <w:szCs w:val="18"/>
                <w:vertAlign w:val="superscript"/>
              </w:rPr>
              <w:footnoteReference w:id="64"/>
            </w:r>
          </w:p>
        </w:tc>
        <w:tc>
          <w:tcPr>
            <w:tcW w:w="1170" w:type="dxa"/>
            <w:vMerge/>
            <w:shd w:val="clear" w:color="auto" w:fill="F2F2F2" w:themeFill="background1" w:themeFillShade="F2"/>
          </w:tcPr>
          <w:p w14:paraId="4112C522" w14:textId="77777777" w:rsidR="007E31E3" w:rsidRPr="00E42B49" w:rsidRDefault="007E31E3" w:rsidP="00820229">
            <w:pPr>
              <w:jc w:val="center"/>
              <w:rPr>
                <w:rFonts w:ascii="Cambria" w:hAnsi="Cambria" w:cstheme="minorHAnsi"/>
                <w:sz w:val="18"/>
                <w:szCs w:val="18"/>
                <w:lang w:val="es-US"/>
              </w:rPr>
            </w:pPr>
          </w:p>
        </w:tc>
        <w:tc>
          <w:tcPr>
            <w:tcW w:w="1316" w:type="dxa"/>
          </w:tcPr>
          <w:p w14:paraId="082179E7" w14:textId="77777777" w:rsidR="007E31E3" w:rsidRPr="00E42B49" w:rsidRDefault="007E31E3" w:rsidP="00820229">
            <w:pPr>
              <w:jc w:val="center"/>
              <w:rPr>
                <w:rFonts w:ascii="Cambria" w:hAnsi="Cambria" w:cstheme="minorHAnsi"/>
                <w:sz w:val="18"/>
                <w:szCs w:val="18"/>
                <w:lang w:val="es-US"/>
              </w:rPr>
            </w:pPr>
          </w:p>
        </w:tc>
        <w:tc>
          <w:tcPr>
            <w:tcW w:w="1170" w:type="dxa"/>
          </w:tcPr>
          <w:p w14:paraId="074E5083"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627370E7"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01BF3A6B"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67%</w:t>
            </w:r>
          </w:p>
        </w:tc>
        <w:tc>
          <w:tcPr>
            <w:tcW w:w="1260" w:type="dxa"/>
          </w:tcPr>
          <w:p w14:paraId="2030CEF3"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01F76013" w14:textId="77777777" w:rsidTr="00820229">
        <w:trPr>
          <w:cnfStyle w:val="000000010000" w:firstRow="0" w:lastRow="0" w:firstColumn="0" w:lastColumn="0" w:oddVBand="0" w:evenVBand="0" w:oddHBand="0" w:evenHBand="1" w:firstRowFirstColumn="0" w:firstRowLastColumn="0" w:lastRowFirstColumn="0" w:lastRowLastColumn="0"/>
          <w:trHeight w:hRule="exact" w:val="990"/>
          <w:jc w:val="center"/>
        </w:trPr>
        <w:tc>
          <w:tcPr>
            <w:tcW w:w="2250" w:type="dxa"/>
          </w:tcPr>
          <w:p w14:paraId="4818ABE1" w14:textId="7207156C" w:rsidR="007E31E3" w:rsidRPr="003D0B33" w:rsidRDefault="006B7403" w:rsidP="0009324C">
            <w:pPr>
              <w:numPr>
                <w:ilvl w:val="0"/>
                <w:numId w:val="18"/>
              </w:numPr>
              <w:tabs>
                <w:tab w:val="num" w:pos="522"/>
              </w:tabs>
              <w:ind w:firstLine="0"/>
              <w:jc w:val="both"/>
              <w:rPr>
                <w:rFonts w:ascii="Cambria" w:hAnsi="Cambria" w:cstheme="minorHAnsi"/>
                <w:sz w:val="18"/>
                <w:szCs w:val="18"/>
                <w:lang w:val="es-ES"/>
              </w:rPr>
            </w:pPr>
            <w:hyperlink r:id="rId50" w:anchor="11.478">
              <w:r w:rsidR="007E31E3" w:rsidRPr="00E42B49">
                <w:rPr>
                  <w:rFonts w:ascii="Cambria" w:hAnsi="Cambria" w:cstheme="minorHAnsi"/>
                  <w:sz w:val="18"/>
                  <w:szCs w:val="18"/>
                  <w:lang w:val="es-US"/>
                </w:rPr>
                <w:t>Case 11.478</w:t>
              </w:r>
            </w:hyperlink>
            <w:r w:rsidR="007E31E3" w:rsidRPr="00E42B49">
              <w:rPr>
                <w:rFonts w:ascii="Cambria" w:hAnsi="Cambria" w:cstheme="minorHAnsi"/>
                <w:sz w:val="18"/>
                <w:szCs w:val="18"/>
                <w:lang w:val="es-US"/>
              </w:rPr>
              <w:t xml:space="preserve">, </w:t>
            </w:r>
            <w:proofErr w:type="spellStart"/>
            <w:r w:rsidR="007E31E3" w:rsidRPr="00E42B49">
              <w:rPr>
                <w:rFonts w:ascii="Cambria" w:hAnsi="Cambria" w:cstheme="minorHAnsi"/>
                <w:sz w:val="18"/>
                <w:szCs w:val="18"/>
                <w:lang w:val="es-US"/>
              </w:rPr>
              <w:t>Report</w:t>
            </w:r>
            <w:proofErr w:type="spellEnd"/>
            <w:r w:rsidR="007E31E3" w:rsidRPr="00E42B49">
              <w:rPr>
                <w:rFonts w:ascii="Cambria" w:hAnsi="Cambria" w:cstheme="minorHAnsi"/>
                <w:sz w:val="18"/>
                <w:szCs w:val="18"/>
                <w:lang w:val="es-US"/>
              </w:rPr>
              <w:t xml:space="preserve"> No. 19/01, Juan Clímaco Cuellar et al. </w:t>
            </w:r>
            <w:r w:rsidR="007E31E3" w:rsidRPr="003D0B33">
              <w:rPr>
                <w:rFonts w:ascii="Cambria" w:hAnsi="Cambria" w:cstheme="minorHAnsi"/>
                <w:sz w:val="18"/>
                <w:szCs w:val="18"/>
                <w:lang w:val="es-ES"/>
              </w:rPr>
              <w:t>(Ecuador)</w:t>
            </w:r>
          </w:p>
        </w:tc>
        <w:tc>
          <w:tcPr>
            <w:tcW w:w="1170" w:type="dxa"/>
            <w:vMerge/>
            <w:shd w:val="clear" w:color="auto" w:fill="F2F2F2" w:themeFill="background1" w:themeFillShade="F2"/>
          </w:tcPr>
          <w:p w14:paraId="7586C541" w14:textId="77777777" w:rsidR="007E31E3" w:rsidRPr="003D0B33" w:rsidRDefault="007E31E3" w:rsidP="00820229">
            <w:pPr>
              <w:jc w:val="center"/>
              <w:rPr>
                <w:rFonts w:ascii="Cambria" w:hAnsi="Cambria" w:cstheme="minorHAnsi"/>
                <w:sz w:val="18"/>
                <w:szCs w:val="18"/>
                <w:lang w:val="es-ES"/>
              </w:rPr>
            </w:pPr>
          </w:p>
        </w:tc>
        <w:tc>
          <w:tcPr>
            <w:tcW w:w="1316" w:type="dxa"/>
          </w:tcPr>
          <w:p w14:paraId="4E4A4BBE" w14:textId="77777777" w:rsidR="007E31E3" w:rsidRPr="003D0B33" w:rsidRDefault="007E31E3" w:rsidP="00820229">
            <w:pPr>
              <w:jc w:val="center"/>
              <w:rPr>
                <w:rFonts w:ascii="Cambria" w:hAnsi="Cambria" w:cstheme="minorHAnsi"/>
                <w:sz w:val="18"/>
                <w:szCs w:val="18"/>
                <w:lang w:val="es-ES"/>
              </w:rPr>
            </w:pPr>
          </w:p>
        </w:tc>
        <w:tc>
          <w:tcPr>
            <w:tcW w:w="1170" w:type="dxa"/>
          </w:tcPr>
          <w:p w14:paraId="13489F0E"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640A8632"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02CB0927"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50%</w:t>
            </w:r>
          </w:p>
        </w:tc>
        <w:tc>
          <w:tcPr>
            <w:tcW w:w="1260" w:type="dxa"/>
          </w:tcPr>
          <w:p w14:paraId="422AE09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3749D728" w14:textId="77777777" w:rsidTr="00820229">
        <w:trPr>
          <w:cnfStyle w:val="000000100000" w:firstRow="0" w:lastRow="0" w:firstColumn="0" w:lastColumn="0" w:oddVBand="0" w:evenVBand="0" w:oddHBand="1" w:evenHBand="0" w:firstRowFirstColumn="0" w:firstRowLastColumn="0" w:lastRowFirstColumn="0" w:lastRowLastColumn="0"/>
          <w:trHeight w:hRule="exact" w:val="1035"/>
          <w:jc w:val="center"/>
        </w:trPr>
        <w:tc>
          <w:tcPr>
            <w:tcW w:w="2250" w:type="dxa"/>
          </w:tcPr>
          <w:p w14:paraId="0A2D6124" w14:textId="77777777" w:rsidR="007E31E3" w:rsidRPr="00E42B49" w:rsidRDefault="007E31E3" w:rsidP="0009324C">
            <w:pPr>
              <w:numPr>
                <w:ilvl w:val="0"/>
                <w:numId w:val="18"/>
              </w:numPr>
              <w:tabs>
                <w:tab w:val="num" w:pos="522"/>
              </w:tabs>
              <w:ind w:firstLine="0"/>
              <w:jc w:val="both"/>
              <w:rPr>
                <w:rFonts w:ascii="Cambria" w:hAnsi="Cambria" w:cstheme="minorHAnsi"/>
                <w:sz w:val="18"/>
                <w:szCs w:val="18"/>
                <w:lang w:val="es-US"/>
              </w:rPr>
            </w:pPr>
            <w:r w:rsidRPr="00E42B49">
              <w:rPr>
                <w:rFonts w:ascii="Cambria" w:hAnsi="Cambria" w:cstheme="minorHAnsi"/>
                <w:sz w:val="18"/>
                <w:szCs w:val="18"/>
                <w:lang w:val="es-US"/>
              </w:rPr>
              <w:t xml:space="preserve">Case 11.512,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20/01, Lida Ángela Riera Rodríguez (Ecuador)</w:t>
            </w:r>
            <w:r w:rsidRPr="00E42B49">
              <w:rPr>
                <w:rFonts w:ascii="Cambria" w:hAnsi="Cambria" w:cstheme="minorHAnsi"/>
                <w:sz w:val="18"/>
                <w:szCs w:val="18"/>
                <w:vertAlign w:val="superscript"/>
                <w:lang w:val="es-US"/>
              </w:rPr>
              <w:t xml:space="preserve"> </w:t>
            </w:r>
            <w:r w:rsidRPr="00524435">
              <w:rPr>
                <w:rFonts w:ascii="Cambria" w:hAnsi="Cambria" w:cstheme="minorHAnsi"/>
                <w:sz w:val="18"/>
                <w:szCs w:val="18"/>
                <w:vertAlign w:val="superscript"/>
              </w:rPr>
              <w:footnoteReference w:id="65"/>
            </w:r>
          </w:p>
        </w:tc>
        <w:tc>
          <w:tcPr>
            <w:tcW w:w="1170" w:type="dxa"/>
            <w:vMerge/>
            <w:shd w:val="clear" w:color="auto" w:fill="F2F2F2" w:themeFill="background1" w:themeFillShade="F2"/>
          </w:tcPr>
          <w:p w14:paraId="09F46A51" w14:textId="77777777" w:rsidR="007E31E3" w:rsidRPr="00E42B49" w:rsidRDefault="007E31E3" w:rsidP="00820229">
            <w:pPr>
              <w:jc w:val="center"/>
              <w:rPr>
                <w:rFonts w:ascii="Cambria" w:hAnsi="Cambria" w:cstheme="minorHAnsi"/>
                <w:sz w:val="18"/>
                <w:szCs w:val="18"/>
                <w:lang w:val="es-US"/>
              </w:rPr>
            </w:pPr>
          </w:p>
        </w:tc>
        <w:tc>
          <w:tcPr>
            <w:tcW w:w="1316" w:type="dxa"/>
          </w:tcPr>
          <w:p w14:paraId="009F4D6F" w14:textId="77777777" w:rsidR="007E31E3" w:rsidRPr="00E42B49" w:rsidRDefault="007E31E3" w:rsidP="00820229">
            <w:pPr>
              <w:jc w:val="center"/>
              <w:rPr>
                <w:rFonts w:ascii="Cambria" w:hAnsi="Cambria" w:cstheme="minorHAnsi"/>
                <w:sz w:val="18"/>
                <w:szCs w:val="18"/>
                <w:lang w:val="es-US"/>
              </w:rPr>
            </w:pPr>
          </w:p>
        </w:tc>
        <w:tc>
          <w:tcPr>
            <w:tcW w:w="1170" w:type="dxa"/>
          </w:tcPr>
          <w:p w14:paraId="7A6A3F6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590ECEBD"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281E02A7"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50%</w:t>
            </w:r>
          </w:p>
        </w:tc>
        <w:tc>
          <w:tcPr>
            <w:tcW w:w="1260" w:type="dxa"/>
          </w:tcPr>
          <w:p w14:paraId="225879EA"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Closed</w:t>
            </w:r>
          </w:p>
        </w:tc>
      </w:tr>
      <w:tr w:rsidR="007E31E3" w:rsidRPr="00524435" w14:paraId="17B8835A" w14:textId="77777777" w:rsidTr="00820229">
        <w:trPr>
          <w:cnfStyle w:val="000000010000" w:firstRow="0" w:lastRow="0" w:firstColumn="0" w:lastColumn="0" w:oddVBand="0" w:evenVBand="0" w:oddHBand="0" w:evenHBand="1" w:firstRowFirstColumn="0" w:firstRowLastColumn="0" w:lastRowFirstColumn="0" w:lastRowLastColumn="0"/>
          <w:trHeight w:hRule="exact" w:val="1035"/>
          <w:jc w:val="center"/>
        </w:trPr>
        <w:tc>
          <w:tcPr>
            <w:tcW w:w="2250" w:type="dxa"/>
          </w:tcPr>
          <w:p w14:paraId="26CFE882" w14:textId="36970C4D" w:rsidR="007E31E3" w:rsidRPr="00E42B49" w:rsidRDefault="006B7403" w:rsidP="0009324C">
            <w:pPr>
              <w:numPr>
                <w:ilvl w:val="0"/>
                <w:numId w:val="18"/>
              </w:numPr>
              <w:tabs>
                <w:tab w:val="num" w:pos="522"/>
              </w:tabs>
              <w:ind w:firstLine="0"/>
              <w:jc w:val="both"/>
              <w:rPr>
                <w:rFonts w:ascii="Cambria" w:hAnsi="Cambria" w:cstheme="minorHAnsi"/>
                <w:sz w:val="18"/>
                <w:szCs w:val="18"/>
                <w:lang w:val="es-US"/>
              </w:rPr>
            </w:pPr>
            <w:hyperlink r:id="rId51" w:anchor="11.605">
              <w:r w:rsidR="007E31E3" w:rsidRPr="00E42B49">
                <w:rPr>
                  <w:rFonts w:ascii="Cambria" w:hAnsi="Cambria" w:cstheme="minorHAnsi"/>
                  <w:sz w:val="18"/>
                  <w:szCs w:val="18"/>
                  <w:lang w:val="es-US"/>
                </w:rPr>
                <w:t>Case 11.605</w:t>
              </w:r>
            </w:hyperlink>
            <w:r w:rsidR="007E31E3" w:rsidRPr="00E42B49">
              <w:rPr>
                <w:rFonts w:ascii="Cambria" w:hAnsi="Cambria" w:cstheme="minorHAnsi"/>
                <w:sz w:val="18"/>
                <w:szCs w:val="18"/>
                <w:lang w:val="es-US"/>
              </w:rPr>
              <w:t xml:space="preserve">, </w:t>
            </w:r>
            <w:proofErr w:type="spellStart"/>
            <w:r w:rsidR="007E31E3" w:rsidRPr="00E42B49">
              <w:rPr>
                <w:rFonts w:ascii="Cambria" w:hAnsi="Cambria" w:cstheme="minorHAnsi"/>
                <w:sz w:val="18"/>
                <w:szCs w:val="18"/>
                <w:lang w:val="es-US"/>
              </w:rPr>
              <w:t>Report</w:t>
            </w:r>
            <w:proofErr w:type="spellEnd"/>
            <w:r w:rsidR="007E31E3" w:rsidRPr="00E42B49">
              <w:rPr>
                <w:rFonts w:ascii="Cambria" w:hAnsi="Cambria" w:cstheme="minorHAnsi"/>
                <w:sz w:val="18"/>
                <w:szCs w:val="18"/>
                <w:lang w:val="es-US"/>
              </w:rPr>
              <w:t xml:space="preserve"> No. 21/01, René Gonzalo Cruz Pazmiño (Ecuador)</w:t>
            </w:r>
            <w:r w:rsidR="007E31E3" w:rsidRPr="00524435">
              <w:rPr>
                <w:rFonts w:ascii="Cambria" w:hAnsi="Cambria" w:cstheme="minorHAnsi"/>
                <w:sz w:val="18"/>
                <w:szCs w:val="18"/>
                <w:vertAlign w:val="superscript"/>
              </w:rPr>
              <w:footnoteReference w:id="66"/>
            </w:r>
          </w:p>
        </w:tc>
        <w:tc>
          <w:tcPr>
            <w:tcW w:w="1170" w:type="dxa"/>
            <w:vMerge/>
            <w:shd w:val="clear" w:color="auto" w:fill="F2F2F2" w:themeFill="background1" w:themeFillShade="F2"/>
          </w:tcPr>
          <w:p w14:paraId="111787F0" w14:textId="77777777" w:rsidR="007E31E3" w:rsidRPr="00E42B49" w:rsidRDefault="007E31E3" w:rsidP="00820229">
            <w:pPr>
              <w:jc w:val="center"/>
              <w:rPr>
                <w:rFonts w:ascii="Cambria" w:hAnsi="Cambria" w:cstheme="minorHAnsi"/>
                <w:sz w:val="18"/>
                <w:szCs w:val="18"/>
                <w:lang w:val="es-US"/>
              </w:rPr>
            </w:pPr>
          </w:p>
        </w:tc>
        <w:tc>
          <w:tcPr>
            <w:tcW w:w="1316" w:type="dxa"/>
          </w:tcPr>
          <w:p w14:paraId="4EC6CB51" w14:textId="77777777" w:rsidR="007E31E3" w:rsidRPr="00E42B49" w:rsidRDefault="007E31E3" w:rsidP="00820229">
            <w:pPr>
              <w:jc w:val="center"/>
              <w:rPr>
                <w:rFonts w:ascii="Cambria" w:hAnsi="Cambria" w:cstheme="minorHAnsi"/>
                <w:sz w:val="18"/>
                <w:szCs w:val="18"/>
                <w:lang w:val="es-US"/>
              </w:rPr>
            </w:pPr>
          </w:p>
        </w:tc>
        <w:tc>
          <w:tcPr>
            <w:tcW w:w="1170" w:type="dxa"/>
          </w:tcPr>
          <w:p w14:paraId="3B72C70E"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3D4B3BC1"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0A402286"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50%</w:t>
            </w:r>
          </w:p>
        </w:tc>
        <w:tc>
          <w:tcPr>
            <w:tcW w:w="1260" w:type="dxa"/>
          </w:tcPr>
          <w:p w14:paraId="59792620"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34C7F747" w14:textId="77777777" w:rsidTr="00820229">
        <w:trPr>
          <w:cnfStyle w:val="000000100000" w:firstRow="0" w:lastRow="0" w:firstColumn="0" w:lastColumn="0" w:oddVBand="0" w:evenVBand="0" w:oddHBand="1" w:evenHBand="0" w:firstRowFirstColumn="0" w:firstRowLastColumn="0" w:lastRowFirstColumn="0" w:lastRowLastColumn="0"/>
          <w:trHeight w:hRule="exact" w:val="900"/>
          <w:jc w:val="center"/>
        </w:trPr>
        <w:tc>
          <w:tcPr>
            <w:tcW w:w="2250" w:type="dxa"/>
          </w:tcPr>
          <w:p w14:paraId="1C93D27D" w14:textId="63E11ABF" w:rsidR="007E31E3" w:rsidRPr="00E42B49" w:rsidRDefault="006B7403" w:rsidP="0009324C">
            <w:pPr>
              <w:numPr>
                <w:ilvl w:val="0"/>
                <w:numId w:val="18"/>
              </w:numPr>
              <w:tabs>
                <w:tab w:val="num" w:pos="522"/>
              </w:tabs>
              <w:ind w:firstLine="0"/>
              <w:jc w:val="both"/>
              <w:rPr>
                <w:rFonts w:ascii="Cambria" w:hAnsi="Cambria" w:cstheme="minorHAnsi"/>
                <w:sz w:val="18"/>
                <w:szCs w:val="18"/>
                <w:lang w:val="es-US"/>
              </w:rPr>
            </w:pPr>
            <w:hyperlink r:id="rId52" w:anchor="11.779">
              <w:r w:rsidR="007E31E3" w:rsidRPr="00E42B49">
                <w:rPr>
                  <w:rFonts w:ascii="Cambria" w:hAnsi="Cambria" w:cstheme="minorHAnsi"/>
                  <w:sz w:val="18"/>
                  <w:szCs w:val="18"/>
                  <w:lang w:val="es-US"/>
                </w:rPr>
                <w:t>Case 11.779</w:t>
              </w:r>
            </w:hyperlink>
            <w:r w:rsidR="007E31E3" w:rsidRPr="00E42B49">
              <w:rPr>
                <w:rFonts w:ascii="Cambria" w:hAnsi="Cambria" w:cstheme="minorHAnsi"/>
                <w:sz w:val="18"/>
                <w:szCs w:val="18"/>
                <w:lang w:val="es-US"/>
              </w:rPr>
              <w:t xml:space="preserve">, </w:t>
            </w:r>
            <w:proofErr w:type="spellStart"/>
            <w:r w:rsidR="007E31E3" w:rsidRPr="00E42B49">
              <w:rPr>
                <w:rFonts w:ascii="Cambria" w:hAnsi="Cambria" w:cstheme="minorHAnsi"/>
                <w:sz w:val="18"/>
                <w:szCs w:val="18"/>
                <w:lang w:val="es-US"/>
              </w:rPr>
              <w:t>Report</w:t>
            </w:r>
            <w:proofErr w:type="spellEnd"/>
            <w:r w:rsidR="007E31E3" w:rsidRPr="00E42B49">
              <w:rPr>
                <w:rFonts w:ascii="Cambria" w:hAnsi="Cambria" w:cstheme="minorHAnsi"/>
                <w:sz w:val="18"/>
                <w:szCs w:val="18"/>
                <w:lang w:val="es-US"/>
              </w:rPr>
              <w:t xml:space="preserve"> No. 22/01, José Patricio Reascos (Ecuador)</w:t>
            </w:r>
            <w:r w:rsidR="007E31E3" w:rsidRPr="00E42B49">
              <w:rPr>
                <w:rFonts w:ascii="Cambria" w:hAnsi="Cambria" w:cstheme="minorHAnsi"/>
                <w:sz w:val="18"/>
                <w:szCs w:val="18"/>
                <w:vertAlign w:val="superscript"/>
                <w:lang w:val="es-US"/>
              </w:rPr>
              <w:t xml:space="preserve"> </w:t>
            </w:r>
            <w:r w:rsidR="007E31E3" w:rsidRPr="00524435">
              <w:rPr>
                <w:rFonts w:ascii="Cambria" w:hAnsi="Cambria" w:cstheme="minorHAnsi"/>
                <w:sz w:val="18"/>
                <w:szCs w:val="18"/>
                <w:vertAlign w:val="superscript"/>
              </w:rPr>
              <w:footnoteReference w:id="67"/>
            </w:r>
          </w:p>
        </w:tc>
        <w:tc>
          <w:tcPr>
            <w:tcW w:w="1170" w:type="dxa"/>
            <w:vMerge/>
            <w:shd w:val="clear" w:color="auto" w:fill="F2F2F2" w:themeFill="background1" w:themeFillShade="F2"/>
          </w:tcPr>
          <w:p w14:paraId="6DFEC120" w14:textId="77777777" w:rsidR="007E31E3" w:rsidRPr="00E42B49" w:rsidRDefault="007E31E3" w:rsidP="00820229">
            <w:pPr>
              <w:jc w:val="center"/>
              <w:rPr>
                <w:rFonts w:ascii="Cambria" w:hAnsi="Cambria" w:cstheme="minorHAnsi"/>
                <w:sz w:val="18"/>
                <w:szCs w:val="18"/>
                <w:lang w:val="es-US"/>
              </w:rPr>
            </w:pPr>
          </w:p>
        </w:tc>
        <w:tc>
          <w:tcPr>
            <w:tcW w:w="1316" w:type="dxa"/>
          </w:tcPr>
          <w:p w14:paraId="6143DFE9" w14:textId="77777777" w:rsidR="007E31E3" w:rsidRPr="00E42B49" w:rsidRDefault="007E31E3" w:rsidP="00820229">
            <w:pPr>
              <w:jc w:val="center"/>
              <w:rPr>
                <w:rFonts w:ascii="Cambria" w:hAnsi="Cambria" w:cstheme="minorHAnsi"/>
                <w:sz w:val="18"/>
                <w:szCs w:val="18"/>
                <w:lang w:val="es-US"/>
              </w:rPr>
            </w:pPr>
          </w:p>
        </w:tc>
        <w:tc>
          <w:tcPr>
            <w:tcW w:w="1170" w:type="dxa"/>
          </w:tcPr>
          <w:p w14:paraId="03F1CE15"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6E7BA656"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18A91F9D"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50%</w:t>
            </w:r>
          </w:p>
        </w:tc>
        <w:tc>
          <w:tcPr>
            <w:tcW w:w="1260" w:type="dxa"/>
          </w:tcPr>
          <w:p w14:paraId="2B2E92F1"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Closed</w:t>
            </w:r>
          </w:p>
        </w:tc>
      </w:tr>
      <w:tr w:rsidR="007E31E3" w:rsidRPr="00524435" w14:paraId="1ED9C550" w14:textId="77777777" w:rsidTr="00820229">
        <w:trPr>
          <w:cnfStyle w:val="000000010000" w:firstRow="0" w:lastRow="0" w:firstColumn="0" w:lastColumn="0" w:oddVBand="0" w:evenVBand="0" w:oddHBand="0" w:evenHBand="1" w:firstRowFirstColumn="0" w:firstRowLastColumn="0" w:lastRowFirstColumn="0" w:lastRowLastColumn="0"/>
          <w:trHeight w:hRule="exact" w:val="1089"/>
          <w:jc w:val="center"/>
        </w:trPr>
        <w:tc>
          <w:tcPr>
            <w:tcW w:w="2250" w:type="dxa"/>
          </w:tcPr>
          <w:p w14:paraId="76661C75" w14:textId="231A4119" w:rsidR="007E31E3" w:rsidRPr="00524435" w:rsidRDefault="006B7403" w:rsidP="0009324C">
            <w:pPr>
              <w:numPr>
                <w:ilvl w:val="0"/>
                <w:numId w:val="18"/>
              </w:numPr>
              <w:tabs>
                <w:tab w:val="num" w:pos="522"/>
              </w:tabs>
              <w:ind w:firstLine="0"/>
              <w:jc w:val="both"/>
              <w:rPr>
                <w:rFonts w:ascii="Cambria" w:hAnsi="Cambria" w:cstheme="minorHAnsi"/>
                <w:sz w:val="18"/>
                <w:szCs w:val="18"/>
              </w:rPr>
            </w:pPr>
            <w:hyperlink r:id="rId53" w:anchor="11.441">
              <w:r w:rsidR="007E31E3" w:rsidRPr="00E42B49">
                <w:rPr>
                  <w:rFonts w:ascii="Cambria" w:hAnsi="Cambria" w:cstheme="minorHAnsi"/>
                  <w:sz w:val="18"/>
                  <w:szCs w:val="18"/>
                  <w:lang w:val="es-US"/>
                </w:rPr>
                <w:t>Case 11.441</w:t>
              </w:r>
            </w:hyperlink>
            <w:r w:rsidR="007E31E3" w:rsidRPr="00E42B49">
              <w:rPr>
                <w:rFonts w:ascii="Cambria" w:hAnsi="Cambria" w:cstheme="minorHAnsi"/>
                <w:sz w:val="18"/>
                <w:szCs w:val="18"/>
                <w:lang w:val="es-US"/>
              </w:rPr>
              <w:t xml:space="preserve">, </w:t>
            </w:r>
            <w:proofErr w:type="spellStart"/>
            <w:r w:rsidR="007E31E3" w:rsidRPr="00E42B49">
              <w:rPr>
                <w:rFonts w:ascii="Cambria" w:hAnsi="Cambria" w:cstheme="minorHAnsi"/>
                <w:sz w:val="18"/>
                <w:szCs w:val="18"/>
                <w:lang w:val="es-US"/>
              </w:rPr>
              <w:t>Report</w:t>
            </w:r>
            <w:proofErr w:type="spellEnd"/>
            <w:r w:rsidR="007E31E3" w:rsidRPr="00E42B49">
              <w:rPr>
                <w:rFonts w:ascii="Cambria" w:hAnsi="Cambria" w:cstheme="minorHAnsi"/>
                <w:sz w:val="18"/>
                <w:szCs w:val="18"/>
                <w:lang w:val="es-US"/>
              </w:rPr>
              <w:t xml:space="preserve"> No. 104/01, Rodrigo </w:t>
            </w:r>
            <w:proofErr w:type="spellStart"/>
            <w:r w:rsidR="007E31E3" w:rsidRPr="00E42B49">
              <w:rPr>
                <w:rFonts w:ascii="Cambria" w:hAnsi="Cambria" w:cstheme="minorHAnsi"/>
                <w:sz w:val="18"/>
                <w:szCs w:val="18"/>
                <w:lang w:val="es-US"/>
              </w:rPr>
              <w:t>Elicio</w:t>
            </w:r>
            <w:proofErr w:type="spellEnd"/>
            <w:r w:rsidR="007E31E3" w:rsidRPr="00E42B49">
              <w:rPr>
                <w:rFonts w:ascii="Cambria" w:hAnsi="Cambria" w:cstheme="minorHAnsi"/>
                <w:sz w:val="18"/>
                <w:szCs w:val="18"/>
                <w:lang w:val="es-US"/>
              </w:rPr>
              <w:t xml:space="preserve"> Muñoz Arcos et al. </w:t>
            </w:r>
            <w:r w:rsidR="007E31E3" w:rsidRPr="00524435">
              <w:rPr>
                <w:rFonts w:ascii="Cambria" w:hAnsi="Cambria" w:cstheme="minorHAnsi"/>
                <w:sz w:val="18"/>
                <w:szCs w:val="18"/>
              </w:rPr>
              <w:t>(Ecuador)</w:t>
            </w:r>
            <w:r w:rsidR="007E31E3" w:rsidRPr="00524435">
              <w:rPr>
                <w:rFonts w:ascii="Cambria" w:hAnsi="Cambria" w:cstheme="minorHAnsi"/>
                <w:sz w:val="18"/>
                <w:szCs w:val="18"/>
                <w:vertAlign w:val="superscript"/>
              </w:rPr>
              <w:footnoteReference w:id="68"/>
            </w:r>
          </w:p>
        </w:tc>
        <w:tc>
          <w:tcPr>
            <w:tcW w:w="1170" w:type="dxa"/>
            <w:vMerge/>
            <w:shd w:val="clear" w:color="auto" w:fill="F2F2F2" w:themeFill="background1" w:themeFillShade="F2"/>
          </w:tcPr>
          <w:p w14:paraId="465EA126" w14:textId="77777777" w:rsidR="007E31E3" w:rsidRPr="00524435" w:rsidRDefault="007E31E3" w:rsidP="00820229">
            <w:pPr>
              <w:jc w:val="center"/>
              <w:rPr>
                <w:rFonts w:ascii="Cambria" w:hAnsi="Cambria" w:cstheme="minorHAnsi"/>
                <w:sz w:val="18"/>
                <w:szCs w:val="18"/>
              </w:rPr>
            </w:pPr>
          </w:p>
        </w:tc>
        <w:tc>
          <w:tcPr>
            <w:tcW w:w="1316" w:type="dxa"/>
          </w:tcPr>
          <w:p w14:paraId="37591755" w14:textId="77777777" w:rsidR="007E31E3" w:rsidRPr="00524435" w:rsidRDefault="007E31E3" w:rsidP="00820229">
            <w:pPr>
              <w:jc w:val="center"/>
              <w:rPr>
                <w:rFonts w:ascii="Cambria" w:hAnsi="Cambria" w:cstheme="minorHAnsi"/>
                <w:sz w:val="18"/>
                <w:szCs w:val="18"/>
              </w:rPr>
            </w:pPr>
          </w:p>
        </w:tc>
        <w:tc>
          <w:tcPr>
            <w:tcW w:w="1170" w:type="dxa"/>
          </w:tcPr>
          <w:p w14:paraId="6FE0DA43"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202239FF"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5C17B6A3"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50%</w:t>
            </w:r>
          </w:p>
        </w:tc>
        <w:tc>
          <w:tcPr>
            <w:tcW w:w="1260" w:type="dxa"/>
          </w:tcPr>
          <w:p w14:paraId="14C6849A"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Closed</w:t>
            </w:r>
          </w:p>
        </w:tc>
      </w:tr>
      <w:tr w:rsidR="007E31E3" w:rsidRPr="00524435" w14:paraId="5792209B" w14:textId="77777777" w:rsidTr="00820229">
        <w:trPr>
          <w:cnfStyle w:val="000000100000" w:firstRow="0" w:lastRow="0" w:firstColumn="0" w:lastColumn="0" w:oddVBand="0" w:evenVBand="0" w:oddHBand="1" w:evenHBand="0" w:firstRowFirstColumn="0" w:firstRowLastColumn="0" w:lastRowFirstColumn="0" w:lastRowLastColumn="0"/>
          <w:trHeight w:hRule="exact" w:val="1062"/>
          <w:jc w:val="center"/>
        </w:trPr>
        <w:tc>
          <w:tcPr>
            <w:tcW w:w="2250" w:type="dxa"/>
          </w:tcPr>
          <w:p w14:paraId="23735ED6" w14:textId="5439B4BF" w:rsidR="007E31E3" w:rsidRPr="00E42B49" w:rsidRDefault="006B7403" w:rsidP="0009324C">
            <w:pPr>
              <w:numPr>
                <w:ilvl w:val="0"/>
                <w:numId w:val="18"/>
              </w:numPr>
              <w:tabs>
                <w:tab w:val="num" w:pos="522"/>
              </w:tabs>
              <w:ind w:firstLine="0"/>
              <w:jc w:val="both"/>
              <w:rPr>
                <w:rFonts w:ascii="Cambria" w:hAnsi="Cambria" w:cstheme="minorHAnsi"/>
                <w:sz w:val="18"/>
                <w:szCs w:val="18"/>
                <w:lang w:val="es-US"/>
              </w:rPr>
            </w:pPr>
            <w:hyperlink r:id="rId54" w:anchor="11.443">
              <w:r w:rsidR="007E31E3" w:rsidRPr="00E42B49">
                <w:rPr>
                  <w:rFonts w:ascii="Cambria" w:hAnsi="Cambria" w:cstheme="minorHAnsi"/>
                  <w:sz w:val="18"/>
                  <w:szCs w:val="18"/>
                  <w:lang w:val="es-US"/>
                </w:rPr>
                <w:t>Case 11.443</w:t>
              </w:r>
            </w:hyperlink>
            <w:r w:rsidR="007E31E3" w:rsidRPr="00E42B49">
              <w:rPr>
                <w:rFonts w:ascii="Cambria" w:hAnsi="Cambria" w:cstheme="minorHAnsi"/>
                <w:sz w:val="18"/>
                <w:szCs w:val="18"/>
                <w:lang w:val="es-US"/>
              </w:rPr>
              <w:t xml:space="preserve">, </w:t>
            </w:r>
            <w:proofErr w:type="spellStart"/>
            <w:r w:rsidR="007E31E3" w:rsidRPr="00E42B49">
              <w:rPr>
                <w:rFonts w:ascii="Cambria" w:hAnsi="Cambria" w:cstheme="minorHAnsi"/>
                <w:sz w:val="18"/>
                <w:szCs w:val="18"/>
                <w:lang w:val="es-US"/>
              </w:rPr>
              <w:t>Report</w:t>
            </w:r>
            <w:proofErr w:type="spellEnd"/>
            <w:r w:rsidR="007E31E3" w:rsidRPr="00E42B49">
              <w:rPr>
                <w:rFonts w:ascii="Cambria" w:hAnsi="Cambria" w:cstheme="minorHAnsi"/>
                <w:sz w:val="18"/>
                <w:szCs w:val="18"/>
                <w:lang w:val="es-US"/>
              </w:rPr>
              <w:t xml:space="preserve"> No. 105/01, Washington Ayora Rodríguez (Ecuador)</w:t>
            </w:r>
            <w:r w:rsidR="007E31E3" w:rsidRPr="00524435">
              <w:rPr>
                <w:rFonts w:ascii="Cambria" w:hAnsi="Cambria" w:cstheme="minorHAnsi"/>
                <w:sz w:val="18"/>
                <w:szCs w:val="18"/>
                <w:vertAlign w:val="superscript"/>
              </w:rPr>
              <w:footnoteReference w:id="69"/>
            </w:r>
          </w:p>
        </w:tc>
        <w:tc>
          <w:tcPr>
            <w:tcW w:w="1170" w:type="dxa"/>
            <w:vMerge/>
            <w:shd w:val="clear" w:color="auto" w:fill="F2F2F2" w:themeFill="background1" w:themeFillShade="F2"/>
          </w:tcPr>
          <w:p w14:paraId="1C0A0A3E" w14:textId="77777777" w:rsidR="007E31E3" w:rsidRPr="00E42B49" w:rsidRDefault="007E31E3" w:rsidP="00820229">
            <w:pPr>
              <w:jc w:val="center"/>
              <w:rPr>
                <w:rFonts w:ascii="Cambria" w:hAnsi="Cambria" w:cstheme="minorHAnsi"/>
                <w:sz w:val="18"/>
                <w:szCs w:val="18"/>
                <w:lang w:val="es-US"/>
              </w:rPr>
            </w:pPr>
          </w:p>
        </w:tc>
        <w:tc>
          <w:tcPr>
            <w:tcW w:w="1316" w:type="dxa"/>
          </w:tcPr>
          <w:p w14:paraId="48379F79" w14:textId="77777777" w:rsidR="007E31E3" w:rsidRPr="00E42B49" w:rsidRDefault="007E31E3" w:rsidP="00820229">
            <w:pPr>
              <w:jc w:val="center"/>
              <w:rPr>
                <w:rFonts w:ascii="Cambria" w:hAnsi="Cambria" w:cstheme="minorHAnsi"/>
                <w:sz w:val="18"/>
                <w:szCs w:val="18"/>
                <w:lang w:val="es-US"/>
              </w:rPr>
            </w:pPr>
          </w:p>
        </w:tc>
        <w:tc>
          <w:tcPr>
            <w:tcW w:w="1170" w:type="dxa"/>
          </w:tcPr>
          <w:p w14:paraId="18EDD29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76B447A3"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7D2D2A2D"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50%</w:t>
            </w:r>
          </w:p>
        </w:tc>
        <w:tc>
          <w:tcPr>
            <w:tcW w:w="1260" w:type="dxa"/>
          </w:tcPr>
          <w:p w14:paraId="48B80B31"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416482B3" w14:textId="77777777" w:rsidTr="00820229">
        <w:trPr>
          <w:cnfStyle w:val="000000010000" w:firstRow="0" w:lastRow="0" w:firstColumn="0" w:lastColumn="0" w:oddVBand="0" w:evenVBand="0" w:oddHBand="0" w:evenHBand="1" w:firstRowFirstColumn="0" w:firstRowLastColumn="0" w:lastRowFirstColumn="0" w:lastRowLastColumn="0"/>
          <w:trHeight w:hRule="exact" w:val="1008"/>
          <w:jc w:val="center"/>
        </w:trPr>
        <w:tc>
          <w:tcPr>
            <w:tcW w:w="2250" w:type="dxa"/>
          </w:tcPr>
          <w:p w14:paraId="1BF9B0EE" w14:textId="294EA03C" w:rsidR="007E31E3" w:rsidRPr="00E42B49" w:rsidRDefault="006B7403" w:rsidP="0009324C">
            <w:pPr>
              <w:numPr>
                <w:ilvl w:val="0"/>
                <w:numId w:val="18"/>
              </w:numPr>
              <w:tabs>
                <w:tab w:val="num" w:pos="522"/>
              </w:tabs>
              <w:ind w:firstLine="0"/>
              <w:jc w:val="both"/>
              <w:rPr>
                <w:rFonts w:ascii="Cambria" w:hAnsi="Cambria" w:cstheme="minorHAnsi"/>
                <w:sz w:val="18"/>
                <w:szCs w:val="18"/>
                <w:lang w:val="es-US"/>
              </w:rPr>
            </w:pPr>
            <w:hyperlink r:id="rId55" w:anchor="11.450">
              <w:r w:rsidR="007E31E3" w:rsidRPr="00E42B49">
                <w:rPr>
                  <w:rFonts w:ascii="Cambria" w:hAnsi="Cambria" w:cstheme="minorHAnsi"/>
                  <w:sz w:val="18"/>
                  <w:szCs w:val="18"/>
                  <w:lang w:val="es-US"/>
                </w:rPr>
                <w:t>Case 11.450</w:t>
              </w:r>
            </w:hyperlink>
            <w:r w:rsidR="007E31E3" w:rsidRPr="00E42B49">
              <w:rPr>
                <w:rFonts w:ascii="Cambria" w:hAnsi="Cambria" w:cstheme="minorHAnsi"/>
                <w:sz w:val="18"/>
                <w:szCs w:val="18"/>
                <w:lang w:val="es-US"/>
              </w:rPr>
              <w:t xml:space="preserve">, </w:t>
            </w:r>
            <w:proofErr w:type="spellStart"/>
            <w:r w:rsidR="007E31E3" w:rsidRPr="00E42B49">
              <w:rPr>
                <w:rFonts w:ascii="Cambria" w:hAnsi="Cambria" w:cstheme="minorHAnsi"/>
                <w:sz w:val="18"/>
                <w:szCs w:val="18"/>
                <w:lang w:val="es-US"/>
              </w:rPr>
              <w:t>Report</w:t>
            </w:r>
            <w:proofErr w:type="spellEnd"/>
            <w:r w:rsidR="007E31E3" w:rsidRPr="00E42B49">
              <w:rPr>
                <w:rFonts w:ascii="Cambria" w:hAnsi="Cambria" w:cstheme="minorHAnsi"/>
                <w:sz w:val="18"/>
                <w:szCs w:val="18"/>
                <w:lang w:val="es-US"/>
              </w:rPr>
              <w:t xml:space="preserve"> No. 106/01, Marco Vinicio Almeida </w:t>
            </w:r>
            <w:proofErr w:type="spellStart"/>
            <w:r w:rsidR="007E31E3" w:rsidRPr="00E42B49">
              <w:rPr>
                <w:rFonts w:ascii="Cambria" w:hAnsi="Cambria" w:cstheme="minorHAnsi"/>
                <w:sz w:val="18"/>
                <w:szCs w:val="18"/>
                <w:lang w:val="es-US"/>
              </w:rPr>
              <w:t>Calispa</w:t>
            </w:r>
            <w:proofErr w:type="spellEnd"/>
            <w:r w:rsidR="007E31E3" w:rsidRPr="00E42B49">
              <w:rPr>
                <w:rFonts w:ascii="Cambria" w:hAnsi="Cambria" w:cstheme="minorHAnsi"/>
                <w:sz w:val="18"/>
                <w:szCs w:val="18"/>
                <w:lang w:val="es-US"/>
              </w:rPr>
              <w:t xml:space="preserve"> (Ecuador)</w:t>
            </w:r>
            <w:r w:rsidR="007E31E3" w:rsidRPr="00524435">
              <w:rPr>
                <w:rFonts w:ascii="Cambria" w:hAnsi="Cambria" w:cstheme="minorHAnsi"/>
                <w:sz w:val="18"/>
                <w:szCs w:val="18"/>
                <w:vertAlign w:val="superscript"/>
              </w:rPr>
              <w:footnoteReference w:id="70"/>
            </w:r>
          </w:p>
        </w:tc>
        <w:tc>
          <w:tcPr>
            <w:tcW w:w="1170" w:type="dxa"/>
            <w:vMerge/>
            <w:shd w:val="clear" w:color="auto" w:fill="F2F2F2" w:themeFill="background1" w:themeFillShade="F2"/>
          </w:tcPr>
          <w:p w14:paraId="55054D09" w14:textId="77777777" w:rsidR="007E31E3" w:rsidRPr="00E42B49" w:rsidRDefault="007E31E3" w:rsidP="00820229">
            <w:pPr>
              <w:jc w:val="center"/>
              <w:rPr>
                <w:rFonts w:ascii="Cambria" w:hAnsi="Cambria" w:cstheme="minorHAnsi"/>
                <w:sz w:val="18"/>
                <w:szCs w:val="18"/>
                <w:lang w:val="es-US"/>
              </w:rPr>
            </w:pPr>
          </w:p>
        </w:tc>
        <w:tc>
          <w:tcPr>
            <w:tcW w:w="1316" w:type="dxa"/>
          </w:tcPr>
          <w:p w14:paraId="47694369" w14:textId="77777777" w:rsidR="007E31E3" w:rsidRPr="00E42B49" w:rsidRDefault="007E31E3" w:rsidP="00820229">
            <w:pPr>
              <w:jc w:val="center"/>
              <w:rPr>
                <w:rFonts w:ascii="Cambria" w:hAnsi="Cambria" w:cstheme="minorHAnsi"/>
                <w:sz w:val="18"/>
                <w:szCs w:val="18"/>
                <w:lang w:val="es-US"/>
              </w:rPr>
            </w:pPr>
          </w:p>
        </w:tc>
        <w:tc>
          <w:tcPr>
            <w:tcW w:w="1170" w:type="dxa"/>
          </w:tcPr>
          <w:p w14:paraId="2C4BF7A0"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79677EDA"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127A6736"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50%</w:t>
            </w:r>
          </w:p>
        </w:tc>
        <w:tc>
          <w:tcPr>
            <w:tcW w:w="1260" w:type="dxa"/>
          </w:tcPr>
          <w:p w14:paraId="7CD63963"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4FC37D28" w14:textId="77777777" w:rsidTr="00820229">
        <w:trPr>
          <w:cnfStyle w:val="000000100000" w:firstRow="0" w:lastRow="0" w:firstColumn="0" w:lastColumn="0" w:oddVBand="0" w:evenVBand="0" w:oddHBand="1" w:evenHBand="0" w:firstRowFirstColumn="0" w:firstRowLastColumn="0" w:lastRowFirstColumn="0" w:lastRowLastColumn="0"/>
          <w:trHeight w:hRule="exact" w:val="1080"/>
          <w:jc w:val="center"/>
        </w:trPr>
        <w:tc>
          <w:tcPr>
            <w:tcW w:w="2250" w:type="dxa"/>
          </w:tcPr>
          <w:p w14:paraId="47F6F10E" w14:textId="078FBFC8" w:rsidR="007E31E3" w:rsidRPr="00E42B49" w:rsidRDefault="006B7403" w:rsidP="0009324C">
            <w:pPr>
              <w:numPr>
                <w:ilvl w:val="0"/>
                <w:numId w:val="18"/>
              </w:numPr>
              <w:tabs>
                <w:tab w:val="num" w:pos="522"/>
              </w:tabs>
              <w:ind w:firstLine="0"/>
              <w:jc w:val="both"/>
              <w:rPr>
                <w:rFonts w:ascii="Cambria" w:hAnsi="Cambria" w:cstheme="minorHAnsi"/>
                <w:sz w:val="18"/>
                <w:szCs w:val="18"/>
                <w:lang w:val="es-US"/>
              </w:rPr>
            </w:pPr>
            <w:hyperlink r:id="rId56" w:anchor="11.542">
              <w:r w:rsidR="007E31E3" w:rsidRPr="00E42B49">
                <w:rPr>
                  <w:rFonts w:ascii="Cambria" w:hAnsi="Cambria" w:cstheme="minorHAnsi"/>
                  <w:sz w:val="18"/>
                  <w:szCs w:val="18"/>
                  <w:lang w:val="es-US"/>
                </w:rPr>
                <w:t>Case 11.542</w:t>
              </w:r>
            </w:hyperlink>
            <w:r w:rsidR="007E31E3" w:rsidRPr="00E42B49">
              <w:rPr>
                <w:rFonts w:ascii="Cambria" w:hAnsi="Cambria" w:cstheme="minorHAnsi"/>
                <w:sz w:val="18"/>
                <w:szCs w:val="18"/>
                <w:lang w:val="es-US"/>
              </w:rPr>
              <w:t xml:space="preserve">, </w:t>
            </w:r>
            <w:proofErr w:type="spellStart"/>
            <w:r w:rsidR="007E31E3" w:rsidRPr="00E42B49">
              <w:rPr>
                <w:rFonts w:ascii="Cambria" w:hAnsi="Cambria" w:cstheme="minorHAnsi"/>
                <w:sz w:val="18"/>
                <w:szCs w:val="18"/>
                <w:lang w:val="es-US"/>
              </w:rPr>
              <w:t>Report</w:t>
            </w:r>
            <w:proofErr w:type="spellEnd"/>
            <w:r w:rsidR="007E31E3" w:rsidRPr="00E42B49">
              <w:rPr>
                <w:rFonts w:ascii="Cambria" w:hAnsi="Cambria" w:cstheme="minorHAnsi"/>
                <w:sz w:val="18"/>
                <w:szCs w:val="18"/>
                <w:lang w:val="es-US"/>
              </w:rPr>
              <w:t xml:space="preserve"> No. 107/01, Ángel </w:t>
            </w:r>
            <w:proofErr w:type="spellStart"/>
            <w:r w:rsidR="007E31E3" w:rsidRPr="00E42B49">
              <w:rPr>
                <w:rFonts w:ascii="Cambria" w:hAnsi="Cambria" w:cstheme="minorHAnsi"/>
                <w:sz w:val="18"/>
                <w:szCs w:val="18"/>
                <w:lang w:val="es-US"/>
              </w:rPr>
              <w:t>Reiniero</w:t>
            </w:r>
            <w:proofErr w:type="spellEnd"/>
            <w:r w:rsidR="007E31E3" w:rsidRPr="00E42B49">
              <w:rPr>
                <w:rFonts w:ascii="Cambria" w:hAnsi="Cambria" w:cstheme="minorHAnsi"/>
                <w:sz w:val="18"/>
                <w:szCs w:val="18"/>
                <w:lang w:val="es-US"/>
              </w:rPr>
              <w:t xml:space="preserve"> Vega Jiménez (Ecuador)</w:t>
            </w:r>
            <w:r w:rsidR="007E31E3" w:rsidRPr="00524435">
              <w:rPr>
                <w:rFonts w:ascii="Cambria" w:hAnsi="Cambria" w:cstheme="minorHAnsi"/>
                <w:sz w:val="18"/>
                <w:szCs w:val="18"/>
                <w:vertAlign w:val="superscript"/>
              </w:rPr>
              <w:footnoteReference w:id="71"/>
            </w:r>
          </w:p>
        </w:tc>
        <w:tc>
          <w:tcPr>
            <w:tcW w:w="1170" w:type="dxa"/>
            <w:vMerge/>
            <w:shd w:val="clear" w:color="auto" w:fill="F2F2F2" w:themeFill="background1" w:themeFillShade="F2"/>
          </w:tcPr>
          <w:p w14:paraId="678A92BB" w14:textId="77777777" w:rsidR="007E31E3" w:rsidRPr="00E42B49" w:rsidRDefault="007E31E3" w:rsidP="00820229">
            <w:pPr>
              <w:jc w:val="center"/>
              <w:rPr>
                <w:rFonts w:ascii="Cambria" w:hAnsi="Cambria" w:cstheme="minorHAnsi"/>
                <w:sz w:val="18"/>
                <w:szCs w:val="18"/>
                <w:lang w:val="es-US"/>
              </w:rPr>
            </w:pPr>
          </w:p>
        </w:tc>
        <w:tc>
          <w:tcPr>
            <w:tcW w:w="1316" w:type="dxa"/>
          </w:tcPr>
          <w:p w14:paraId="4A2BF84F" w14:textId="77777777" w:rsidR="007E31E3" w:rsidRPr="00E42B49" w:rsidRDefault="007E31E3" w:rsidP="00820229">
            <w:pPr>
              <w:jc w:val="center"/>
              <w:rPr>
                <w:rFonts w:ascii="Cambria" w:hAnsi="Cambria" w:cstheme="minorHAnsi"/>
                <w:sz w:val="18"/>
                <w:szCs w:val="18"/>
                <w:lang w:val="es-US"/>
              </w:rPr>
            </w:pPr>
          </w:p>
        </w:tc>
        <w:tc>
          <w:tcPr>
            <w:tcW w:w="1170" w:type="dxa"/>
          </w:tcPr>
          <w:p w14:paraId="13E1C98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57FC861F"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0DB243CF"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50%</w:t>
            </w:r>
          </w:p>
        </w:tc>
        <w:tc>
          <w:tcPr>
            <w:tcW w:w="1260" w:type="dxa"/>
          </w:tcPr>
          <w:p w14:paraId="0AE008E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655EA8E1" w14:textId="77777777" w:rsidTr="00820229">
        <w:trPr>
          <w:cnfStyle w:val="000000010000" w:firstRow="0" w:lastRow="0" w:firstColumn="0" w:lastColumn="0" w:oddVBand="0" w:evenVBand="0" w:oddHBand="0" w:evenHBand="1" w:firstRowFirstColumn="0" w:firstRowLastColumn="0" w:lastRowFirstColumn="0" w:lastRowLastColumn="0"/>
          <w:trHeight w:hRule="exact" w:val="1035"/>
          <w:jc w:val="center"/>
        </w:trPr>
        <w:tc>
          <w:tcPr>
            <w:tcW w:w="2250" w:type="dxa"/>
          </w:tcPr>
          <w:p w14:paraId="19A55A8D" w14:textId="62A39E5F" w:rsidR="007E31E3" w:rsidRPr="00E42B49" w:rsidRDefault="006B7403" w:rsidP="0009324C">
            <w:pPr>
              <w:numPr>
                <w:ilvl w:val="0"/>
                <w:numId w:val="18"/>
              </w:numPr>
              <w:tabs>
                <w:tab w:val="num" w:pos="522"/>
              </w:tabs>
              <w:ind w:firstLine="0"/>
              <w:jc w:val="both"/>
              <w:rPr>
                <w:rFonts w:ascii="Cambria" w:hAnsi="Cambria" w:cstheme="minorHAnsi"/>
                <w:sz w:val="18"/>
                <w:szCs w:val="18"/>
                <w:lang w:val="es-US"/>
              </w:rPr>
            </w:pPr>
            <w:hyperlink r:id="rId57" w:anchor="11.574">
              <w:r w:rsidR="007E31E3" w:rsidRPr="00E42B49">
                <w:rPr>
                  <w:rFonts w:ascii="Cambria" w:hAnsi="Cambria" w:cstheme="minorHAnsi"/>
                  <w:sz w:val="18"/>
                  <w:szCs w:val="18"/>
                  <w:lang w:val="es-US"/>
                </w:rPr>
                <w:t>Case 11.574</w:t>
              </w:r>
            </w:hyperlink>
            <w:r w:rsidR="007E31E3" w:rsidRPr="00E42B49">
              <w:rPr>
                <w:rFonts w:ascii="Cambria" w:hAnsi="Cambria" w:cstheme="minorHAnsi"/>
                <w:sz w:val="18"/>
                <w:szCs w:val="18"/>
                <w:lang w:val="es-US"/>
              </w:rPr>
              <w:t xml:space="preserve">, </w:t>
            </w:r>
            <w:proofErr w:type="spellStart"/>
            <w:r w:rsidR="007E31E3" w:rsidRPr="00E42B49">
              <w:rPr>
                <w:rFonts w:ascii="Cambria" w:hAnsi="Cambria" w:cstheme="minorHAnsi"/>
                <w:sz w:val="18"/>
                <w:szCs w:val="18"/>
                <w:lang w:val="es-US"/>
              </w:rPr>
              <w:t>Report</w:t>
            </w:r>
            <w:proofErr w:type="spellEnd"/>
            <w:r w:rsidR="007E31E3" w:rsidRPr="00E42B49">
              <w:rPr>
                <w:rFonts w:ascii="Cambria" w:hAnsi="Cambria" w:cstheme="minorHAnsi"/>
                <w:sz w:val="18"/>
                <w:szCs w:val="18"/>
                <w:lang w:val="es-US"/>
              </w:rPr>
              <w:t xml:space="preserve"> No. 108/01, Wilberto Samuel Manzano</w:t>
            </w:r>
            <w:hyperlink r:id="rId58">
              <w:r w:rsidR="007E31E3" w:rsidRPr="00E42B49">
                <w:rPr>
                  <w:rFonts w:ascii="Cambria" w:hAnsi="Cambria" w:cstheme="minorHAnsi"/>
                  <w:sz w:val="18"/>
                  <w:szCs w:val="18"/>
                  <w:lang w:val="es-US"/>
                </w:rPr>
                <w:t xml:space="preserve"> </w:t>
              </w:r>
            </w:hyperlink>
            <w:r w:rsidR="007E31E3" w:rsidRPr="00E42B49">
              <w:rPr>
                <w:rFonts w:ascii="Cambria" w:hAnsi="Cambria" w:cstheme="minorHAnsi"/>
                <w:sz w:val="18"/>
                <w:szCs w:val="18"/>
                <w:lang w:val="es-US"/>
              </w:rPr>
              <w:t>(Ecuador)</w:t>
            </w:r>
            <w:r w:rsidR="007E31E3" w:rsidRPr="00524435">
              <w:rPr>
                <w:rFonts w:ascii="Cambria" w:hAnsi="Cambria" w:cstheme="minorHAnsi"/>
                <w:sz w:val="18"/>
                <w:szCs w:val="18"/>
                <w:vertAlign w:val="superscript"/>
              </w:rPr>
              <w:footnoteReference w:id="72"/>
            </w:r>
          </w:p>
        </w:tc>
        <w:tc>
          <w:tcPr>
            <w:tcW w:w="1170" w:type="dxa"/>
            <w:vMerge/>
            <w:shd w:val="clear" w:color="auto" w:fill="F2F2F2" w:themeFill="background1" w:themeFillShade="F2"/>
          </w:tcPr>
          <w:p w14:paraId="778F7FBA" w14:textId="77777777" w:rsidR="007E31E3" w:rsidRPr="00E42B49" w:rsidRDefault="007E31E3" w:rsidP="00820229">
            <w:pPr>
              <w:jc w:val="center"/>
              <w:rPr>
                <w:rFonts w:ascii="Cambria" w:hAnsi="Cambria" w:cstheme="minorHAnsi"/>
                <w:sz w:val="18"/>
                <w:szCs w:val="18"/>
                <w:lang w:val="es-US"/>
              </w:rPr>
            </w:pPr>
          </w:p>
        </w:tc>
        <w:tc>
          <w:tcPr>
            <w:tcW w:w="1316" w:type="dxa"/>
          </w:tcPr>
          <w:p w14:paraId="5723FEBA" w14:textId="77777777" w:rsidR="007E31E3" w:rsidRPr="00E42B49" w:rsidRDefault="007E31E3" w:rsidP="00820229">
            <w:pPr>
              <w:jc w:val="center"/>
              <w:rPr>
                <w:rFonts w:ascii="Cambria" w:hAnsi="Cambria" w:cstheme="minorHAnsi"/>
                <w:sz w:val="18"/>
                <w:szCs w:val="18"/>
                <w:lang w:val="es-US"/>
              </w:rPr>
            </w:pPr>
          </w:p>
        </w:tc>
        <w:tc>
          <w:tcPr>
            <w:tcW w:w="1170" w:type="dxa"/>
          </w:tcPr>
          <w:p w14:paraId="1AEFFEAA"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0409721D"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796B7868"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50%</w:t>
            </w:r>
          </w:p>
        </w:tc>
        <w:tc>
          <w:tcPr>
            <w:tcW w:w="1260" w:type="dxa"/>
          </w:tcPr>
          <w:p w14:paraId="2AF71EA0"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2F5523A8" w14:textId="77777777" w:rsidTr="00820229">
        <w:trPr>
          <w:cnfStyle w:val="000000100000" w:firstRow="0" w:lastRow="0" w:firstColumn="0" w:lastColumn="0" w:oddVBand="0" w:evenVBand="0" w:oddHBand="1" w:evenHBand="0" w:firstRowFirstColumn="0" w:firstRowLastColumn="0" w:lastRowFirstColumn="0" w:lastRowLastColumn="0"/>
          <w:trHeight w:hRule="exact" w:val="945"/>
          <w:jc w:val="center"/>
        </w:trPr>
        <w:tc>
          <w:tcPr>
            <w:tcW w:w="2250" w:type="dxa"/>
          </w:tcPr>
          <w:p w14:paraId="7B81A7E3" w14:textId="1C5D5753" w:rsidR="007E31E3" w:rsidRPr="00E42B49" w:rsidRDefault="006B7403" w:rsidP="0009324C">
            <w:pPr>
              <w:numPr>
                <w:ilvl w:val="0"/>
                <w:numId w:val="18"/>
              </w:numPr>
              <w:tabs>
                <w:tab w:val="num" w:pos="522"/>
              </w:tabs>
              <w:ind w:firstLine="0"/>
              <w:jc w:val="both"/>
              <w:rPr>
                <w:rFonts w:ascii="Cambria" w:hAnsi="Cambria" w:cstheme="minorHAnsi"/>
                <w:sz w:val="18"/>
                <w:szCs w:val="18"/>
                <w:lang w:val="es-US"/>
              </w:rPr>
            </w:pPr>
            <w:hyperlink r:id="rId59" w:anchor="11.632">
              <w:r w:rsidR="007E31E3" w:rsidRPr="00E42B49">
                <w:rPr>
                  <w:rFonts w:ascii="Cambria" w:hAnsi="Cambria" w:cstheme="minorHAnsi"/>
                  <w:sz w:val="18"/>
                  <w:szCs w:val="18"/>
                  <w:lang w:val="es-US"/>
                </w:rPr>
                <w:t>Case 11.632</w:t>
              </w:r>
            </w:hyperlink>
            <w:r w:rsidR="007E31E3" w:rsidRPr="00E42B49">
              <w:rPr>
                <w:rFonts w:ascii="Cambria" w:hAnsi="Cambria" w:cstheme="minorHAnsi"/>
                <w:sz w:val="18"/>
                <w:szCs w:val="18"/>
                <w:lang w:val="es-US"/>
              </w:rPr>
              <w:t xml:space="preserve">, </w:t>
            </w:r>
            <w:proofErr w:type="spellStart"/>
            <w:r w:rsidR="007E31E3" w:rsidRPr="00E42B49">
              <w:rPr>
                <w:rFonts w:ascii="Cambria" w:hAnsi="Cambria" w:cstheme="minorHAnsi"/>
                <w:sz w:val="18"/>
                <w:szCs w:val="18"/>
                <w:lang w:val="es-US"/>
              </w:rPr>
              <w:t>Report</w:t>
            </w:r>
            <w:proofErr w:type="spellEnd"/>
            <w:r w:rsidR="007E31E3" w:rsidRPr="00E42B49">
              <w:rPr>
                <w:rFonts w:ascii="Cambria" w:hAnsi="Cambria" w:cstheme="minorHAnsi"/>
                <w:sz w:val="18"/>
                <w:szCs w:val="18"/>
                <w:lang w:val="es-US"/>
              </w:rPr>
              <w:t xml:space="preserve"> No. 109/01, Vidal Segura Hurtado (Ecuador)</w:t>
            </w:r>
            <w:r w:rsidR="007E31E3" w:rsidRPr="00524435">
              <w:rPr>
                <w:rFonts w:ascii="Cambria" w:hAnsi="Cambria" w:cstheme="minorHAnsi"/>
                <w:sz w:val="18"/>
                <w:szCs w:val="18"/>
                <w:vertAlign w:val="superscript"/>
              </w:rPr>
              <w:footnoteReference w:id="73"/>
            </w:r>
          </w:p>
        </w:tc>
        <w:tc>
          <w:tcPr>
            <w:tcW w:w="1170" w:type="dxa"/>
            <w:vMerge/>
            <w:shd w:val="clear" w:color="auto" w:fill="F2F2F2" w:themeFill="background1" w:themeFillShade="F2"/>
          </w:tcPr>
          <w:p w14:paraId="38129BBD" w14:textId="77777777" w:rsidR="007E31E3" w:rsidRPr="00E42B49" w:rsidRDefault="007E31E3" w:rsidP="00820229">
            <w:pPr>
              <w:jc w:val="center"/>
              <w:rPr>
                <w:rFonts w:ascii="Cambria" w:hAnsi="Cambria" w:cstheme="minorHAnsi"/>
                <w:sz w:val="18"/>
                <w:szCs w:val="18"/>
                <w:lang w:val="es-US"/>
              </w:rPr>
            </w:pPr>
          </w:p>
        </w:tc>
        <w:tc>
          <w:tcPr>
            <w:tcW w:w="1316" w:type="dxa"/>
          </w:tcPr>
          <w:p w14:paraId="3CED6745" w14:textId="77777777" w:rsidR="007E31E3" w:rsidRPr="00E42B49" w:rsidRDefault="007E31E3" w:rsidP="00820229">
            <w:pPr>
              <w:jc w:val="center"/>
              <w:rPr>
                <w:rFonts w:ascii="Cambria" w:hAnsi="Cambria" w:cstheme="minorHAnsi"/>
                <w:sz w:val="18"/>
                <w:szCs w:val="18"/>
                <w:lang w:val="es-US"/>
              </w:rPr>
            </w:pPr>
          </w:p>
        </w:tc>
        <w:tc>
          <w:tcPr>
            <w:tcW w:w="1170" w:type="dxa"/>
          </w:tcPr>
          <w:p w14:paraId="7A9F9216"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56B455E5"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5F500E6D"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50%</w:t>
            </w:r>
          </w:p>
        </w:tc>
        <w:tc>
          <w:tcPr>
            <w:tcW w:w="1260" w:type="dxa"/>
          </w:tcPr>
          <w:p w14:paraId="1D465C71"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7B753538" w14:textId="77777777" w:rsidTr="00820229">
        <w:trPr>
          <w:cnfStyle w:val="000000010000" w:firstRow="0" w:lastRow="0" w:firstColumn="0" w:lastColumn="0" w:oddVBand="0" w:evenVBand="0" w:oddHBand="0" w:evenHBand="1" w:firstRowFirstColumn="0" w:firstRowLastColumn="0" w:lastRowFirstColumn="0" w:lastRowLastColumn="0"/>
          <w:trHeight w:hRule="exact" w:val="1170"/>
          <w:jc w:val="center"/>
        </w:trPr>
        <w:tc>
          <w:tcPr>
            <w:tcW w:w="2250" w:type="dxa"/>
          </w:tcPr>
          <w:p w14:paraId="7045BE3E" w14:textId="4547E04F" w:rsidR="007E31E3" w:rsidRPr="00E42B49" w:rsidRDefault="006B7403" w:rsidP="0009324C">
            <w:pPr>
              <w:numPr>
                <w:ilvl w:val="0"/>
                <w:numId w:val="18"/>
              </w:numPr>
              <w:tabs>
                <w:tab w:val="num" w:pos="522"/>
              </w:tabs>
              <w:ind w:firstLine="0"/>
              <w:jc w:val="both"/>
              <w:rPr>
                <w:rFonts w:ascii="Cambria" w:hAnsi="Cambria" w:cstheme="minorHAnsi"/>
                <w:sz w:val="18"/>
                <w:szCs w:val="18"/>
                <w:lang w:val="es-US"/>
              </w:rPr>
            </w:pPr>
            <w:hyperlink r:id="rId60" w:anchor="12.007">
              <w:r w:rsidR="007E31E3" w:rsidRPr="00E42B49">
                <w:rPr>
                  <w:rFonts w:ascii="Cambria" w:hAnsi="Cambria" w:cstheme="minorHAnsi"/>
                  <w:sz w:val="18"/>
                  <w:szCs w:val="18"/>
                  <w:lang w:val="es-US"/>
                </w:rPr>
                <w:t>Case 12.007</w:t>
              </w:r>
            </w:hyperlink>
            <w:r w:rsidR="007E31E3" w:rsidRPr="00E42B49">
              <w:rPr>
                <w:rFonts w:ascii="Cambria" w:hAnsi="Cambria" w:cstheme="minorHAnsi"/>
                <w:sz w:val="18"/>
                <w:szCs w:val="18"/>
                <w:lang w:val="es-US"/>
              </w:rPr>
              <w:t xml:space="preserve">, </w:t>
            </w:r>
            <w:proofErr w:type="spellStart"/>
            <w:r w:rsidR="007E31E3" w:rsidRPr="00E42B49">
              <w:rPr>
                <w:rFonts w:ascii="Cambria" w:hAnsi="Cambria" w:cstheme="minorHAnsi"/>
                <w:sz w:val="18"/>
                <w:szCs w:val="18"/>
                <w:lang w:val="es-US"/>
              </w:rPr>
              <w:t>Report</w:t>
            </w:r>
            <w:proofErr w:type="spellEnd"/>
            <w:r w:rsidR="007E31E3" w:rsidRPr="00E42B49">
              <w:rPr>
                <w:rFonts w:ascii="Cambria" w:hAnsi="Cambria" w:cstheme="minorHAnsi"/>
                <w:sz w:val="18"/>
                <w:szCs w:val="18"/>
                <w:lang w:val="es-US"/>
              </w:rPr>
              <w:t xml:space="preserve"> No. 110/01, Pompeyo Carlos Andrade Benítez (Ecuador)</w:t>
            </w:r>
          </w:p>
        </w:tc>
        <w:tc>
          <w:tcPr>
            <w:tcW w:w="1170" w:type="dxa"/>
            <w:vMerge/>
            <w:shd w:val="clear" w:color="auto" w:fill="F2F2F2" w:themeFill="background1" w:themeFillShade="F2"/>
          </w:tcPr>
          <w:p w14:paraId="3EA0450A" w14:textId="77777777" w:rsidR="007E31E3" w:rsidRPr="00E42B49" w:rsidRDefault="007E31E3" w:rsidP="00820229">
            <w:pPr>
              <w:jc w:val="center"/>
              <w:rPr>
                <w:rFonts w:ascii="Cambria" w:hAnsi="Cambria" w:cstheme="minorHAnsi"/>
                <w:sz w:val="18"/>
                <w:szCs w:val="18"/>
                <w:lang w:val="es-US"/>
              </w:rPr>
            </w:pPr>
          </w:p>
        </w:tc>
        <w:tc>
          <w:tcPr>
            <w:tcW w:w="1316" w:type="dxa"/>
          </w:tcPr>
          <w:p w14:paraId="2585557E" w14:textId="77777777" w:rsidR="007E31E3" w:rsidRPr="00E42B49" w:rsidRDefault="007E31E3" w:rsidP="00820229">
            <w:pPr>
              <w:jc w:val="center"/>
              <w:rPr>
                <w:rFonts w:ascii="Cambria" w:hAnsi="Cambria" w:cstheme="minorHAnsi"/>
                <w:sz w:val="18"/>
                <w:szCs w:val="18"/>
                <w:lang w:val="es-US"/>
              </w:rPr>
            </w:pPr>
          </w:p>
        </w:tc>
        <w:tc>
          <w:tcPr>
            <w:tcW w:w="1170" w:type="dxa"/>
          </w:tcPr>
          <w:p w14:paraId="072D99D8"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7B73A97D"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1F3A1F31"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50%</w:t>
            </w:r>
          </w:p>
        </w:tc>
        <w:tc>
          <w:tcPr>
            <w:tcW w:w="1260" w:type="dxa"/>
          </w:tcPr>
          <w:p w14:paraId="13CB5B2B"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Closed 2021</w:t>
            </w:r>
          </w:p>
        </w:tc>
      </w:tr>
      <w:tr w:rsidR="007E31E3" w:rsidRPr="00524435" w14:paraId="02ECD746" w14:textId="77777777" w:rsidTr="00820229">
        <w:trPr>
          <w:cnfStyle w:val="000000100000" w:firstRow="0" w:lastRow="0" w:firstColumn="0" w:lastColumn="0" w:oddVBand="0" w:evenVBand="0" w:oddHBand="1" w:evenHBand="0" w:firstRowFirstColumn="0" w:firstRowLastColumn="0" w:lastRowFirstColumn="0" w:lastRowLastColumn="0"/>
          <w:trHeight w:hRule="exact" w:val="1161"/>
          <w:jc w:val="center"/>
        </w:trPr>
        <w:tc>
          <w:tcPr>
            <w:tcW w:w="2250" w:type="dxa"/>
          </w:tcPr>
          <w:p w14:paraId="5A8792D0" w14:textId="31A0FFF9" w:rsidR="007E31E3" w:rsidRPr="00E42B49" w:rsidRDefault="006B7403" w:rsidP="0009324C">
            <w:pPr>
              <w:numPr>
                <w:ilvl w:val="0"/>
                <w:numId w:val="18"/>
              </w:numPr>
              <w:tabs>
                <w:tab w:val="num" w:pos="522"/>
              </w:tabs>
              <w:ind w:firstLine="0"/>
              <w:jc w:val="both"/>
              <w:rPr>
                <w:rFonts w:ascii="Cambria" w:hAnsi="Cambria" w:cstheme="minorHAnsi"/>
                <w:sz w:val="18"/>
                <w:szCs w:val="18"/>
                <w:lang w:val="es-US"/>
              </w:rPr>
            </w:pPr>
            <w:hyperlink r:id="rId61" w:anchor="11.515">
              <w:r w:rsidR="007E31E3" w:rsidRPr="00E42B49">
                <w:rPr>
                  <w:rFonts w:ascii="Cambria" w:hAnsi="Cambria" w:cstheme="minorHAnsi"/>
                  <w:sz w:val="18"/>
                  <w:szCs w:val="18"/>
                  <w:lang w:val="es-US"/>
                </w:rPr>
                <w:t>Case 11.515</w:t>
              </w:r>
            </w:hyperlink>
            <w:r w:rsidR="007E31E3" w:rsidRPr="00E42B49">
              <w:rPr>
                <w:rFonts w:ascii="Cambria" w:hAnsi="Cambria" w:cstheme="minorHAnsi"/>
                <w:sz w:val="18"/>
                <w:szCs w:val="18"/>
                <w:lang w:val="es-US"/>
              </w:rPr>
              <w:t xml:space="preserve">, </w:t>
            </w:r>
            <w:proofErr w:type="spellStart"/>
            <w:r w:rsidR="007E31E3" w:rsidRPr="00E42B49">
              <w:rPr>
                <w:rFonts w:ascii="Cambria" w:hAnsi="Cambria" w:cstheme="minorHAnsi"/>
                <w:sz w:val="18"/>
                <w:szCs w:val="18"/>
                <w:lang w:val="es-US"/>
              </w:rPr>
              <w:t>Report</w:t>
            </w:r>
            <w:proofErr w:type="spellEnd"/>
            <w:r w:rsidR="007E31E3" w:rsidRPr="00E42B49">
              <w:rPr>
                <w:rFonts w:ascii="Cambria" w:hAnsi="Cambria" w:cstheme="minorHAnsi"/>
                <w:sz w:val="18"/>
                <w:szCs w:val="18"/>
                <w:lang w:val="es-US"/>
              </w:rPr>
              <w:t xml:space="preserve"> No. 63/03, Bolívar Franco Camacho Arboleda (Ecuador)</w:t>
            </w:r>
            <w:r w:rsidR="007E31E3" w:rsidRPr="00E42B49">
              <w:rPr>
                <w:rFonts w:ascii="Cambria" w:hAnsi="Cambria" w:cstheme="minorHAnsi"/>
                <w:sz w:val="18"/>
                <w:szCs w:val="18"/>
                <w:vertAlign w:val="superscript"/>
                <w:lang w:val="es-US"/>
              </w:rPr>
              <w:t xml:space="preserve"> </w:t>
            </w:r>
            <w:r w:rsidR="007E31E3" w:rsidRPr="00524435">
              <w:rPr>
                <w:rFonts w:ascii="Cambria" w:hAnsi="Cambria" w:cstheme="minorHAnsi"/>
                <w:sz w:val="18"/>
                <w:szCs w:val="18"/>
                <w:vertAlign w:val="superscript"/>
              </w:rPr>
              <w:footnoteReference w:id="74"/>
            </w:r>
          </w:p>
        </w:tc>
        <w:tc>
          <w:tcPr>
            <w:tcW w:w="1170" w:type="dxa"/>
            <w:vMerge/>
            <w:shd w:val="clear" w:color="auto" w:fill="F2F2F2" w:themeFill="background1" w:themeFillShade="F2"/>
          </w:tcPr>
          <w:p w14:paraId="1E181DF1" w14:textId="77777777" w:rsidR="007E31E3" w:rsidRPr="00E42B49" w:rsidRDefault="007E31E3" w:rsidP="00820229">
            <w:pPr>
              <w:jc w:val="center"/>
              <w:rPr>
                <w:rFonts w:ascii="Cambria" w:hAnsi="Cambria" w:cstheme="minorHAnsi"/>
                <w:sz w:val="18"/>
                <w:szCs w:val="18"/>
                <w:lang w:val="es-US"/>
              </w:rPr>
            </w:pPr>
          </w:p>
        </w:tc>
        <w:tc>
          <w:tcPr>
            <w:tcW w:w="1316" w:type="dxa"/>
          </w:tcPr>
          <w:p w14:paraId="1E415B01" w14:textId="77777777" w:rsidR="007E31E3" w:rsidRPr="00E42B49" w:rsidRDefault="007E31E3" w:rsidP="00820229">
            <w:pPr>
              <w:ind w:firstLine="31"/>
              <w:jc w:val="center"/>
              <w:rPr>
                <w:rFonts w:ascii="Cambria" w:hAnsi="Cambria" w:cstheme="minorHAnsi"/>
                <w:sz w:val="18"/>
                <w:szCs w:val="18"/>
                <w:lang w:val="es-US"/>
              </w:rPr>
            </w:pPr>
          </w:p>
        </w:tc>
        <w:tc>
          <w:tcPr>
            <w:tcW w:w="1170" w:type="dxa"/>
          </w:tcPr>
          <w:p w14:paraId="4C4CEE88" w14:textId="77777777" w:rsidR="007E31E3" w:rsidRPr="00524435" w:rsidRDefault="007E31E3" w:rsidP="00820229">
            <w:pPr>
              <w:ind w:firstLine="31"/>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3E67C7F3"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2E6E8860"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50%</w:t>
            </w:r>
          </w:p>
        </w:tc>
        <w:tc>
          <w:tcPr>
            <w:tcW w:w="1260" w:type="dxa"/>
          </w:tcPr>
          <w:p w14:paraId="61728F35"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5A2D512D" w14:textId="77777777" w:rsidTr="00820229">
        <w:trPr>
          <w:cnfStyle w:val="000000010000" w:firstRow="0" w:lastRow="0" w:firstColumn="0" w:lastColumn="0" w:oddVBand="0" w:evenVBand="0" w:oddHBand="0" w:evenHBand="1" w:firstRowFirstColumn="0" w:firstRowLastColumn="0" w:lastRowFirstColumn="0" w:lastRowLastColumn="0"/>
          <w:trHeight w:hRule="exact" w:val="1683"/>
          <w:jc w:val="center"/>
        </w:trPr>
        <w:tc>
          <w:tcPr>
            <w:tcW w:w="2250" w:type="dxa"/>
          </w:tcPr>
          <w:p w14:paraId="530B44F0" w14:textId="7FE014D1" w:rsidR="007E31E3" w:rsidRPr="00E42B49" w:rsidRDefault="006B7403" w:rsidP="0009324C">
            <w:pPr>
              <w:numPr>
                <w:ilvl w:val="0"/>
                <w:numId w:val="18"/>
              </w:numPr>
              <w:tabs>
                <w:tab w:val="num" w:pos="522"/>
              </w:tabs>
              <w:ind w:firstLine="0"/>
              <w:jc w:val="both"/>
              <w:rPr>
                <w:rFonts w:ascii="Cambria" w:hAnsi="Cambria" w:cstheme="minorHAnsi"/>
                <w:sz w:val="18"/>
                <w:szCs w:val="18"/>
                <w:lang w:val="es-US"/>
              </w:rPr>
            </w:pPr>
            <w:hyperlink r:id="rId62" w:anchor="12.188">
              <w:r w:rsidR="007E31E3" w:rsidRPr="00E42B49">
                <w:rPr>
                  <w:rFonts w:ascii="Cambria" w:hAnsi="Cambria" w:cstheme="minorHAnsi"/>
                  <w:sz w:val="18"/>
                  <w:szCs w:val="18"/>
                  <w:lang w:val="es-US"/>
                </w:rPr>
                <w:t>Case 12.188,</w:t>
              </w:r>
            </w:hyperlink>
            <w:r w:rsidR="007E31E3" w:rsidRPr="00E42B49">
              <w:rPr>
                <w:rFonts w:ascii="Cambria" w:hAnsi="Cambria" w:cstheme="minorHAnsi"/>
                <w:sz w:val="18"/>
                <w:szCs w:val="18"/>
                <w:lang w:val="es-US"/>
              </w:rPr>
              <w:t xml:space="preserve"> </w:t>
            </w:r>
            <w:proofErr w:type="spellStart"/>
            <w:r w:rsidR="007E31E3" w:rsidRPr="00E42B49">
              <w:rPr>
                <w:rFonts w:ascii="Cambria" w:hAnsi="Cambria" w:cstheme="minorHAnsi"/>
                <w:sz w:val="18"/>
                <w:szCs w:val="18"/>
                <w:lang w:val="es-US"/>
              </w:rPr>
              <w:t>Report</w:t>
            </w:r>
            <w:proofErr w:type="spellEnd"/>
            <w:r w:rsidR="007E31E3" w:rsidRPr="00E42B49">
              <w:rPr>
                <w:rFonts w:ascii="Cambria" w:hAnsi="Cambria" w:cstheme="minorHAnsi"/>
                <w:sz w:val="18"/>
                <w:szCs w:val="18"/>
                <w:lang w:val="es-US"/>
              </w:rPr>
              <w:t xml:space="preserve"> No. 64/03, Joffre José Valencia Mero, Priscila Fierro, </w:t>
            </w:r>
            <w:proofErr w:type="spellStart"/>
            <w:r w:rsidR="007E31E3" w:rsidRPr="00E42B49">
              <w:rPr>
                <w:rFonts w:ascii="Cambria" w:hAnsi="Cambria" w:cstheme="minorHAnsi"/>
                <w:sz w:val="18"/>
                <w:szCs w:val="18"/>
                <w:lang w:val="es-US"/>
              </w:rPr>
              <w:t>Zoreida</w:t>
            </w:r>
            <w:proofErr w:type="spellEnd"/>
            <w:r w:rsidR="007E31E3" w:rsidRPr="00E42B49">
              <w:rPr>
                <w:rFonts w:ascii="Cambria" w:hAnsi="Cambria" w:cstheme="minorHAnsi"/>
                <w:sz w:val="18"/>
                <w:szCs w:val="18"/>
                <w:lang w:val="es-US"/>
              </w:rPr>
              <w:t xml:space="preserve"> Valencia Sánchez, Rocío Valencia Sánchez (Ecuador)</w:t>
            </w:r>
            <w:r w:rsidR="007E31E3" w:rsidRPr="00E42B49">
              <w:rPr>
                <w:rFonts w:ascii="Cambria" w:hAnsi="Cambria" w:cstheme="minorHAnsi"/>
                <w:sz w:val="18"/>
                <w:szCs w:val="18"/>
                <w:vertAlign w:val="superscript"/>
                <w:lang w:val="es-US"/>
              </w:rPr>
              <w:t xml:space="preserve"> </w:t>
            </w:r>
            <w:r w:rsidR="007E31E3" w:rsidRPr="00524435">
              <w:rPr>
                <w:rFonts w:ascii="Cambria" w:hAnsi="Cambria" w:cstheme="minorHAnsi"/>
                <w:sz w:val="18"/>
                <w:szCs w:val="18"/>
                <w:vertAlign w:val="superscript"/>
              </w:rPr>
              <w:footnoteReference w:id="75"/>
            </w:r>
          </w:p>
        </w:tc>
        <w:tc>
          <w:tcPr>
            <w:tcW w:w="1170" w:type="dxa"/>
            <w:vMerge/>
            <w:shd w:val="clear" w:color="auto" w:fill="F2F2F2" w:themeFill="background1" w:themeFillShade="F2"/>
          </w:tcPr>
          <w:p w14:paraId="726080FB" w14:textId="77777777" w:rsidR="007E31E3" w:rsidRPr="00E42B49" w:rsidRDefault="007E31E3" w:rsidP="00820229">
            <w:pPr>
              <w:jc w:val="center"/>
              <w:rPr>
                <w:rFonts w:ascii="Cambria" w:hAnsi="Cambria" w:cstheme="minorHAnsi"/>
                <w:sz w:val="18"/>
                <w:szCs w:val="18"/>
                <w:lang w:val="es-US"/>
              </w:rPr>
            </w:pPr>
          </w:p>
        </w:tc>
        <w:tc>
          <w:tcPr>
            <w:tcW w:w="1316" w:type="dxa"/>
          </w:tcPr>
          <w:p w14:paraId="7B410D33" w14:textId="77777777" w:rsidR="007E31E3" w:rsidRPr="00E42B49" w:rsidRDefault="007E31E3" w:rsidP="00820229">
            <w:pPr>
              <w:ind w:firstLine="31"/>
              <w:jc w:val="center"/>
              <w:rPr>
                <w:rFonts w:ascii="Cambria" w:hAnsi="Cambria" w:cstheme="minorHAnsi"/>
                <w:sz w:val="18"/>
                <w:szCs w:val="18"/>
                <w:lang w:val="es-US"/>
              </w:rPr>
            </w:pPr>
          </w:p>
        </w:tc>
        <w:tc>
          <w:tcPr>
            <w:tcW w:w="1170" w:type="dxa"/>
          </w:tcPr>
          <w:p w14:paraId="09A44CA6" w14:textId="77777777" w:rsidR="007E31E3" w:rsidRPr="00524435" w:rsidRDefault="007E31E3" w:rsidP="00820229">
            <w:pPr>
              <w:ind w:firstLine="31"/>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7F1D3E2A"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1FE6C480"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50%</w:t>
            </w:r>
          </w:p>
        </w:tc>
        <w:tc>
          <w:tcPr>
            <w:tcW w:w="1260" w:type="dxa"/>
          </w:tcPr>
          <w:p w14:paraId="730D240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235602F9" w14:textId="77777777" w:rsidTr="00820229">
        <w:trPr>
          <w:cnfStyle w:val="000000100000" w:firstRow="0" w:lastRow="0" w:firstColumn="0" w:lastColumn="0" w:oddVBand="0" w:evenVBand="0" w:oddHBand="1" w:evenHBand="0" w:firstRowFirstColumn="0" w:firstRowLastColumn="0" w:lastRowFirstColumn="0" w:lastRowLastColumn="0"/>
          <w:trHeight w:hRule="exact" w:val="1530"/>
          <w:jc w:val="center"/>
        </w:trPr>
        <w:tc>
          <w:tcPr>
            <w:tcW w:w="2250" w:type="dxa"/>
          </w:tcPr>
          <w:p w14:paraId="179023C3" w14:textId="500B41BC" w:rsidR="007E31E3" w:rsidRPr="00E42B49" w:rsidRDefault="006B7403" w:rsidP="0009324C">
            <w:pPr>
              <w:numPr>
                <w:ilvl w:val="0"/>
                <w:numId w:val="18"/>
              </w:numPr>
              <w:tabs>
                <w:tab w:val="num" w:pos="522"/>
              </w:tabs>
              <w:ind w:firstLine="0"/>
              <w:jc w:val="both"/>
              <w:rPr>
                <w:rFonts w:ascii="Cambria" w:hAnsi="Cambria" w:cstheme="minorHAnsi"/>
                <w:sz w:val="18"/>
                <w:szCs w:val="18"/>
                <w:lang w:val="es-US"/>
              </w:rPr>
            </w:pPr>
            <w:hyperlink r:id="rId63" w:anchor="12.394">
              <w:r w:rsidR="007E31E3" w:rsidRPr="00E42B49">
                <w:rPr>
                  <w:rFonts w:ascii="Cambria" w:hAnsi="Cambria" w:cstheme="minorHAnsi"/>
                  <w:sz w:val="18"/>
                  <w:szCs w:val="18"/>
                  <w:lang w:val="es-US"/>
                </w:rPr>
                <w:t>Case 12.394</w:t>
              </w:r>
            </w:hyperlink>
            <w:r w:rsidR="007E31E3" w:rsidRPr="00E42B49">
              <w:rPr>
                <w:rFonts w:ascii="Cambria" w:hAnsi="Cambria" w:cstheme="minorHAnsi"/>
                <w:sz w:val="18"/>
                <w:szCs w:val="18"/>
                <w:lang w:val="es-US"/>
              </w:rPr>
              <w:t xml:space="preserve">, </w:t>
            </w:r>
            <w:proofErr w:type="spellStart"/>
            <w:r w:rsidR="007E31E3" w:rsidRPr="00E42B49">
              <w:rPr>
                <w:rFonts w:ascii="Cambria" w:hAnsi="Cambria" w:cstheme="minorHAnsi"/>
                <w:sz w:val="18"/>
                <w:szCs w:val="18"/>
                <w:lang w:val="es-US"/>
              </w:rPr>
              <w:t>Report</w:t>
            </w:r>
            <w:proofErr w:type="spellEnd"/>
            <w:r w:rsidR="007E31E3" w:rsidRPr="00E42B49">
              <w:rPr>
                <w:rFonts w:ascii="Cambria" w:hAnsi="Cambria" w:cstheme="minorHAnsi"/>
                <w:sz w:val="18"/>
                <w:szCs w:val="18"/>
                <w:lang w:val="es-US"/>
              </w:rPr>
              <w:t xml:space="preserve"> No. 65/03, Joaquín Hernández Alvarado, Marlon Loor Argote and Hugo Lara Pinos (Ecuador)</w:t>
            </w:r>
            <w:r w:rsidR="007E31E3" w:rsidRPr="00524435">
              <w:rPr>
                <w:rStyle w:val="FootnoteReference"/>
                <w:rFonts w:ascii="Cambria" w:hAnsi="Cambria" w:cstheme="minorHAnsi"/>
                <w:sz w:val="18"/>
                <w:szCs w:val="18"/>
              </w:rPr>
              <w:footnoteReference w:id="76"/>
            </w:r>
          </w:p>
        </w:tc>
        <w:tc>
          <w:tcPr>
            <w:tcW w:w="1170" w:type="dxa"/>
            <w:vMerge/>
            <w:shd w:val="clear" w:color="auto" w:fill="F2F2F2" w:themeFill="background1" w:themeFillShade="F2"/>
          </w:tcPr>
          <w:p w14:paraId="0FB89F59" w14:textId="77777777" w:rsidR="007E31E3" w:rsidRPr="00E42B49" w:rsidRDefault="007E31E3" w:rsidP="00820229">
            <w:pPr>
              <w:jc w:val="center"/>
              <w:rPr>
                <w:rFonts w:ascii="Cambria" w:hAnsi="Cambria" w:cstheme="minorHAnsi"/>
                <w:sz w:val="18"/>
                <w:szCs w:val="18"/>
                <w:lang w:val="es-US"/>
              </w:rPr>
            </w:pPr>
          </w:p>
        </w:tc>
        <w:tc>
          <w:tcPr>
            <w:tcW w:w="1316" w:type="dxa"/>
          </w:tcPr>
          <w:p w14:paraId="38C5D2F4" w14:textId="77777777" w:rsidR="007E31E3" w:rsidRPr="00E42B49" w:rsidRDefault="007E31E3" w:rsidP="00820229">
            <w:pPr>
              <w:ind w:firstLine="31"/>
              <w:jc w:val="center"/>
              <w:rPr>
                <w:rFonts w:ascii="Cambria" w:hAnsi="Cambria" w:cstheme="minorHAnsi"/>
                <w:sz w:val="18"/>
                <w:szCs w:val="18"/>
                <w:lang w:val="es-US"/>
              </w:rPr>
            </w:pPr>
          </w:p>
        </w:tc>
        <w:tc>
          <w:tcPr>
            <w:tcW w:w="1170" w:type="dxa"/>
          </w:tcPr>
          <w:p w14:paraId="183AA845" w14:textId="77777777" w:rsidR="007E31E3" w:rsidRPr="00524435" w:rsidRDefault="007E31E3" w:rsidP="00820229">
            <w:pPr>
              <w:ind w:firstLine="31"/>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1D561970"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0B1AA446"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50%</w:t>
            </w:r>
          </w:p>
        </w:tc>
        <w:tc>
          <w:tcPr>
            <w:tcW w:w="1260" w:type="dxa"/>
          </w:tcPr>
          <w:p w14:paraId="181CC8F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65695BA1" w14:textId="77777777" w:rsidTr="00820229">
        <w:trPr>
          <w:cnfStyle w:val="000000010000" w:firstRow="0" w:lastRow="0" w:firstColumn="0" w:lastColumn="0" w:oddVBand="0" w:evenVBand="0" w:oddHBand="0" w:evenHBand="1" w:firstRowFirstColumn="0" w:firstRowLastColumn="0" w:lastRowFirstColumn="0" w:lastRowLastColumn="0"/>
          <w:trHeight w:hRule="exact" w:val="1080"/>
          <w:jc w:val="center"/>
        </w:trPr>
        <w:tc>
          <w:tcPr>
            <w:tcW w:w="2250" w:type="dxa"/>
          </w:tcPr>
          <w:p w14:paraId="35BCC520" w14:textId="37AA5C23" w:rsidR="007E31E3" w:rsidRPr="00E42B49" w:rsidRDefault="006B7403" w:rsidP="0009324C">
            <w:pPr>
              <w:numPr>
                <w:ilvl w:val="0"/>
                <w:numId w:val="18"/>
              </w:numPr>
              <w:tabs>
                <w:tab w:val="num" w:pos="522"/>
              </w:tabs>
              <w:ind w:firstLine="0"/>
              <w:jc w:val="both"/>
              <w:rPr>
                <w:rFonts w:ascii="Cambria" w:hAnsi="Cambria" w:cstheme="minorHAnsi"/>
                <w:sz w:val="18"/>
                <w:szCs w:val="18"/>
                <w:lang w:val="es-US"/>
              </w:rPr>
            </w:pPr>
            <w:hyperlink r:id="rId64" w:anchor="12.205">
              <w:r w:rsidR="007E31E3" w:rsidRPr="00E42B49">
                <w:rPr>
                  <w:rFonts w:ascii="Cambria" w:hAnsi="Cambria" w:cstheme="minorHAnsi"/>
                  <w:sz w:val="18"/>
                  <w:szCs w:val="18"/>
                  <w:lang w:val="es-US"/>
                </w:rPr>
                <w:t>Case 12.205</w:t>
              </w:r>
            </w:hyperlink>
            <w:r w:rsidR="007E31E3" w:rsidRPr="00E42B49">
              <w:rPr>
                <w:rFonts w:ascii="Cambria" w:hAnsi="Cambria" w:cstheme="minorHAnsi"/>
                <w:sz w:val="18"/>
                <w:szCs w:val="18"/>
                <w:lang w:val="es-US"/>
              </w:rPr>
              <w:t xml:space="preserve">, </w:t>
            </w:r>
            <w:proofErr w:type="spellStart"/>
            <w:r w:rsidR="007E31E3" w:rsidRPr="00E42B49">
              <w:rPr>
                <w:rFonts w:ascii="Cambria" w:hAnsi="Cambria" w:cstheme="minorHAnsi"/>
                <w:sz w:val="18"/>
                <w:szCs w:val="18"/>
                <w:lang w:val="es-US"/>
              </w:rPr>
              <w:t>Report</w:t>
            </w:r>
            <w:proofErr w:type="spellEnd"/>
            <w:r w:rsidR="007E31E3" w:rsidRPr="00E42B49">
              <w:rPr>
                <w:rFonts w:ascii="Cambria" w:hAnsi="Cambria" w:cstheme="minorHAnsi"/>
                <w:sz w:val="18"/>
                <w:szCs w:val="18"/>
                <w:lang w:val="es-US"/>
              </w:rPr>
              <w:t xml:space="preserve"> No. 44/06, José René Castro Galarza (Ecuador)</w:t>
            </w:r>
          </w:p>
        </w:tc>
        <w:tc>
          <w:tcPr>
            <w:tcW w:w="1170" w:type="dxa"/>
            <w:vMerge/>
            <w:shd w:val="clear" w:color="auto" w:fill="F2F2F2" w:themeFill="background1" w:themeFillShade="F2"/>
          </w:tcPr>
          <w:p w14:paraId="25E33F15" w14:textId="77777777" w:rsidR="007E31E3" w:rsidRPr="00E42B49" w:rsidRDefault="007E31E3" w:rsidP="00820229">
            <w:pPr>
              <w:jc w:val="center"/>
              <w:rPr>
                <w:rFonts w:ascii="Cambria" w:hAnsi="Cambria" w:cstheme="minorHAnsi"/>
                <w:sz w:val="18"/>
                <w:szCs w:val="18"/>
                <w:lang w:val="es-US"/>
              </w:rPr>
            </w:pPr>
          </w:p>
        </w:tc>
        <w:tc>
          <w:tcPr>
            <w:tcW w:w="1316" w:type="dxa"/>
          </w:tcPr>
          <w:p w14:paraId="19F7D608" w14:textId="77777777" w:rsidR="007E31E3" w:rsidRPr="00E42B49" w:rsidRDefault="007E31E3" w:rsidP="00820229">
            <w:pPr>
              <w:ind w:firstLine="31"/>
              <w:jc w:val="center"/>
              <w:rPr>
                <w:rFonts w:ascii="Cambria" w:hAnsi="Cambria" w:cstheme="minorHAnsi"/>
                <w:sz w:val="18"/>
                <w:szCs w:val="18"/>
                <w:lang w:val="es-US"/>
              </w:rPr>
            </w:pPr>
          </w:p>
        </w:tc>
        <w:tc>
          <w:tcPr>
            <w:tcW w:w="1170" w:type="dxa"/>
          </w:tcPr>
          <w:p w14:paraId="53DABCBC" w14:textId="77777777" w:rsidR="007E31E3" w:rsidRPr="00524435" w:rsidRDefault="007E31E3" w:rsidP="00820229">
            <w:pPr>
              <w:ind w:firstLine="31"/>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09874B3F"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265E6649"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50%</w:t>
            </w:r>
          </w:p>
        </w:tc>
        <w:tc>
          <w:tcPr>
            <w:tcW w:w="1260" w:type="dxa"/>
          </w:tcPr>
          <w:p w14:paraId="0E86D36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24B5E239" w14:textId="77777777" w:rsidTr="00820229">
        <w:trPr>
          <w:cnfStyle w:val="000000100000" w:firstRow="0" w:lastRow="0" w:firstColumn="0" w:lastColumn="0" w:oddVBand="0" w:evenVBand="0" w:oddHBand="1" w:evenHBand="0" w:firstRowFirstColumn="0" w:firstRowLastColumn="0" w:lastRowFirstColumn="0" w:lastRowLastColumn="0"/>
          <w:trHeight w:hRule="exact" w:val="1125"/>
          <w:jc w:val="center"/>
        </w:trPr>
        <w:tc>
          <w:tcPr>
            <w:tcW w:w="2250" w:type="dxa"/>
          </w:tcPr>
          <w:p w14:paraId="15ED0C54" w14:textId="3CE504ED" w:rsidR="007E31E3" w:rsidRPr="00E42B49" w:rsidRDefault="006B7403" w:rsidP="0009324C">
            <w:pPr>
              <w:numPr>
                <w:ilvl w:val="0"/>
                <w:numId w:val="18"/>
              </w:numPr>
              <w:tabs>
                <w:tab w:val="num" w:pos="522"/>
              </w:tabs>
              <w:ind w:firstLine="0"/>
              <w:jc w:val="both"/>
              <w:rPr>
                <w:rFonts w:ascii="Cambria" w:hAnsi="Cambria" w:cstheme="minorHAnsi"/>
                <w:sz w:val="18"/>
                <w:szCs w:val="18"/>
                <w:lang w:val="es-US"/>
              </w:rPr>
            </w:pPr>
            <w:hyperlink r:id="rId65" w:anchor="12.207">
              <w:r w:rsidR="007E31E3" w:rsidRPr="00E42B49">
                <w:rPr>
                  <w:rFonts w:ascii="Cambria" w:hAnsi="Cambria" w:cstheme="minorHAnsi"/>
                  <w:sz w:val="18"/>
                  <w:szCs w:val="18"/>
                  <w:lang w:val="es-US"/>
                </w:rPr>
                <w:t>Case 12.207</w:t>
              </w:r>
            </w:hyperlink>
            <w:r w:rsidR="007E31E3" w:rsidRPr="00E42B49">
              <w:rPr>
                <w:rFonts w:ascii="Cambria" w:hAnsi="Cambria" w:cstheme="minorHAnsi"/>
                <w:sz w:val="18"/>
                <w:szCs w:val="18"/>
                <w:lang w:val="es-US"/>
              </w:rPr>
              <w:t xml:space="preserve">, </w:t>
            </w:r>
            <w:proofErr w:type="spellStart"/>
            <w:r w:rsidR="007E31E3" w:rsidRPr="00E42B49">
              <w:rPr>
                <w:rFonts w:ascii="Cambria" w:hAnsi="Cambria" w:cstheme="minorHAnsi"/>
                <w:sz w:val="18"/>
                <w:szCs w:val="18"/>
                <w:lang w:val="es-US"/>
              </w:rPr>
              <w:t>Report</w:t>
            </w:r>
            <w:proofErr w:type="spellEnd"/>
            <w:r w:rsidR="007E31E3" w:rsidRPr="00E42B49">
              <w:rPr>
                <w:rFonts w:ascii="Cambria" w:hAnsi="Cambria" w:cstheme="minorHAnsi"/>
                <w:sz w:val="18"/>
                <w:szCs w:val="18"/>
                <w:lang w:val="es-US"/>
              </w:rPr>
              <w:t xml:space="preserve"> No. 45/06, Lizandro Ramiro Montero </w:t>
            </w:r>
            <w:proofErr w:type="spellStart"/>
            <w:r w:rsidR="007E31E3" w:rsidRPr="00E42B49">
              <w:rPr>
                <w:rFonts w:ascii="Cambria" w:hAnsi="Cambria" w:cstheme="minorHAnsi"/>
                <w:sz w:val="18"/>
                <w:szCs w:val="18"/>
                <w:lang w:val="es-US"/>
              </w:rPr>
              <w:t>Masache</w:t>
            </w:r>
            <w:proofErr w:type="spellEnd"/>
            <w:r w:rsidR="007E31E3" w:rsidRPr="00E42B49">
              <w:rPr>
                <w:rFonts w:ascii="Cambria" w:hAnsi="Cambria" w:cstheme="minorHAnsi"/>
                <w:sz w:val="18"/>
                <w:szCs w:val="18"/>
                <w:lang w:val="es-US"/>
              </w:rPr>
              <w:t xml:space="preserve"> (Ecuador)</w:t>
            </w:r>
            <w:r w:rsidR="007E31E3" w:rsidRPr="00E42B49">
              <w:rPr>
                <w:rFonts w:ascii="Cambria" w:hAnsi="Cambria" w:cstheme="minorHAnsi"/>
                <w:sz w:val="18"/>
                <w:szCs w:val="18"/>
                <w:vertAlign w:val="superscript"/>
                <w:lang w:val="es-US"/>
              </w:rPr>
              <w:t xml:space="preserve"> </w:t>
            </w:r>
            <w:r w:rsidR="007E31E3" w:rsidRPr="00524435">
              <w:rPr>
                <w:rFonts w:ascii="Cambria" w:hAnsi="Cambria" w:cstheme="minorHAnsi"/>
                <w:sz w:val="18"/>
                <w:szCs w:val="18"/>
                <w:vertAlign w:val="superscript"/>
              </w:rPr>
              <w:footnoteReference w:id="77"/>
            </w:r>
          </w:p>
        </w:tc>
        <w:tc>
          <w:tcPr>
            <w:tcW w:w="1170" w:type="dxa"/>
            <w:vMerge/>
            <w:shd w:val="clear" w:color="auto" w:fill="F2F2F2" w:themeFill="background1" w:themeFillShade="F2"/>
          </w:tcPr>
          <w:p w14:paraId="41FEA804" w14:textId="77777777" w:rsidR="007E31E3" w:rsidRPr="00E42B49" w:rsidRDefault="007E31E3" w:rsidP="00820229">
            <w:pPr>
              <w:jc w:val="center"/>
              <w:rPr>
                <w:rFonts w:ascii="Cambria" w:hAnsi="Cambria" w:cstheme="minorHAnsi"/>
                <w:sz w:val="18"/>
                <w:szCs w:val="18"/>
                <w:lang w:val="es-US"/>
              </w:rPr>
            </w:pPr>
          </w:p>
        </w:tc>
        <w:tc>
          <w:tcPr>
            <w:tcW w:w="1316" w:type="dxa"/>
          </w:tcPr>
          <w:p w14:paraId="61806F74" w14:textId="77777777" w:rsidR="007E31E3" w:rsidRPr="00E42B49" w:rsidRDefault="007E31E3" w:rsidP="00820229">
            <w:pPr>
              <w:ind w:firstLine="31"/>
              <w:jc w:val="center"/>
              <w:rPr>
                <w:rFonts w:ascii="Cambria" w:hAnsi="Cambria" w:cstheme="minorHAnsi"/>
                <w:sz w:val="18"/>
                <w:szCs w:val="18"/>
                <w:lang w:val="es-US"/>
              </w:rPr>
            </w:pPr>
          </w:p>
        </w:tc>
        <w:tc>
          <w:tcPr>
            <w:tcW w:w="1170" w:type="dxa"/>
          </w:tcPr>
          <w:p w14:paraId="1740925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233B5F0A"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37B9BC07"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50%</w:t>
            </w:r>
          </w:p>
        </w:tc>
        <w:tc>
          <w:tcPr>
            <w:tcW w:w="1260" w:type="dxa"/>
          </w:tcPr>
          <w:p w14:paraId="6B6F37A0"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4DF08D9E" w14:textId="77777777" w:rsidTr="00820229">
        <w:trPr>
          <w:cnfStyle w:val="000000010000" w:firstRow="0" w:lastRow="0" w:firstColumn="0" w:lastColumn="0" w:oddVBand="0" w:evenVBand="0" w:oddHBand="0" w:evenHBand="1" w:firstRowFirstColumn="0" w:firstRowLastColumn="0" w:lastRowFirstColumn="0" w:lastRowLastColumn="0"/>
          <w:trHeight w:hRule="exact" w:val="981"/>
          <w:jc w:val="center"/>
        </w:trPr>
        <w:tc>
          <w:tcPr>
            <w:tcW w:w="2250" w:type="dxa"/>
          </w:tcPr>
          <w:p w14:paraId="70B46A2A" w14:textId="074C6D45" w:rsidR="007E31E3" w:rsidRPr="003D0B33" w:rsidRDefault="006B7403" w:rsidP="0009324C">
            <w:pPr>
              <w:numPr>
                <w:ilvl w:val="0"/>
                <w:numId w:val="18"/>
              </w:numPr>
              <w:tabs>
                <w:tab w:val="num" w:pos="522"/>
              </w:tabs>
              <w:ind w:firstLine="0"/>
              <w:jc w:val="both"/>
              <w:rPr>
                <w:rFonts w:ascii="Cambria" w:hAnsi="Cambria" w:cstheme="minorHAnsi"/>
                <w:sz w:val="18"/>
                <w:szCs w:val="18"/>
                <w:lang w:val="pt-PT"/>
              </w:rPr>
            </w:pPr>
            <w:hyperlink r:id="rId66" w:anchor="12.238">
              <w:r w:rsidR="007E31E3" w:rsidRPr="003D0B33">
                <w:rPr>
                  <w:rFonts w:ascii="Cambria" w:hAnsi="Cambria" w:cstheme="minorHAnsi"/>
                  <w:sz w:val="18"/>
                  <w:szCs w:val="18"/>
                  <w:lang w:val="pt-PT"/>
                </w:rPr>
                <w:t>Case 12.238</w:t>
              </w:r>
            </w:hyperlink>
            <w:r w:rsidR="007E31E3" w:rsidRPr="003D0B33">
              <w:rPr>
                <w:rFonts w:ascii="Cambria" w:hAnsi="Cambria" w:cstheme="minorHAnsi"/>
                <w:sz w:val="18"/>
                <w:szCs w:val="18"/>
                <w:lang w:val="pt-PT"/>
              </w:rPr>
              <w:t>, Report No. 46/06, Myriam Larrea Pintado (Ecuador)</w:t>
            </w:r>
            <w:r w:rsidR="007E31E3" w:rsidRPr="00524435">
              <w:rPr>
                <w:rStyle w:val="FootnoteReference"/>
                <w:rFonts w:ascii="Cambria" w:hAnsi="Cambria" w:cstheme="minorHAnsi"/>
                <w:sz w:val="18"/>
                <w:szCs w:val="18"/>
              </w:rPr>
              <w:footnoteReference w:id="78"/>
            </w:r>
          </w:p>
        </w:tc>
        <w:tc>
          <w:tcPr>
            <w:tcW w:w="1170" w:type="dxa"/>
            <w:vMerge/>
            <w:shd w:val="clear" w:color="auto" w:fill="F2F2F2" w:themeFill="background1" w:themeFillShade="F2"/>
          </w:tcPr>
          <w:p w14:paraId="5459B5B5" w14:textId="77777777" w:rsidR="007E31E3" w:rsidRPr="003D0B33" w:rsidRDefault="007E31E3" w:rsidP="00820229">
            <w:pPr>
              <w:jc w:val="center"/>
              <w:rPr>
                <w:rFonts w:ascii="Cambria" w:hAnsi="Cambria" w:cstheme="minorHAnsi"/>
                <w:sz w:val="18"/>
                <w:szCs w:val="18"/>
                <w:lang w:val="pt-PT"/>
              </w:rPr>
            </w:pPr>
          </w:p>
        </w:tc>
        <w:tc>
          <w:tcPr>
            <w:tcW w:w="1316" w:type="dxa"/>
          </w:tcPr>
          <w:p w14:paraId="109CC2B0" w14:textId="77777777" w:rsidR="007E31E3" w:rsidRPr="003D0B33" w:rsidRDefault="007E31E3" w:rsidP="00820229">
            <w:pPr>
              <w:ind w:firstLine="31"/>
              <w:jc w:val="center"/>
              <w:rPr>
                <w:rFonts w:ascii="Cambria" w:hAnsi="Cambria" w:cstheme="minorHAnsi"/>
                <w:sz w:val="18"/>
                <w:szCs w:val="18"/>
                <w:lang w:val="pt-PT"/>
              </w:rPr>
            </w:pPr>
          </w:p>
        </w:tc>
        <w:tc>
          <w:tcPr>
            <w:tcW w:w="1170" w:type="dxa"/>
          </w:tcPr>
          <w:p w14:paraId="68E59CE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4BC1F269"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6A7D7677"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60%</w:t>
            </w:r>
          </w:p>
        </w:tc>
        <w:tc>
          <w:tcPr>
            <w:tcW w:w="1260" w:type="dxa"/>
          </w:tcPr>
          <w:p w14:paraId="6A36A8A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59BFD56A" w14:textId="77777777" w:rsidTr="00820229">
        <w:trPr>
          <w:cnfStyle w:val="000000100000" w:firstRow="0" w:lastRow="0" w:firstColumn="0" w:lastColumn="0" w:oddVBand="0" w:evenVBand="0" w:oddHBand="1" w:evenHBand="0" w:firstRowFirstColumn="0" w:firstRowLastColumn="0" w:lastRowFirstColumn="0" w:lastRowLastColumn="0"/>
          <w:trHeight w:hRule="exact" w:val="1260"/>
          <w:jc w:val="center"/>
        </w:trPr>
        <w:tc>
          <w:tcPr>
            <w:tcW w:w="2250" w:type="dxa"/>
          </w:tcPr>
          <w:p w14:paraId="2075D1C6" w14:textId="5AF22096" w:rsidR="007E31E3" w:rsidRPr="003F238D" w:rsidRDefault="006B7403" w:rsidP="0009324C">
            <w:pPr>
              <w:numPr>
                <w:ilvl w:val="0"/>
                <w:numId w:val="18"/>
              </w:numPr>
              <w:tabs>
                <w:tab w:val="num" w:pos="522"/>
              </w:tabs>
              <w:ind w:firstLine="0"/>
              <w:jc w:val="both"/>
              <w:rPr>
                <w:rFonts w:ascii="Cambria" w:hAnsi="Cambria" w:cstheme="minorHAnsi"/>
                <w:sz w:val="18"/>
                <w:szCs w:val="18"/>
                <w:lang w:val="es-US"/>
              </w:rPr>
            </w:pPr>
            <w:hyperlink r:id="rId67" w:anchor="533-01">
              <w:r w:rsidR="007E31E3" w:rsidRPr="003F238D">
                <w:rPr>
                  <w:rFonts w:ascii="Cambria" w:hAnsi="Cambria" w:cstheme="minorHAnsi"/>
                  <w:sz w:val="18"/>
                  <w:szCs w:val="18"/>
                  <w:lang w:val="es-US"/>
                </w:rPr>
                <w:t>Case 12.558</w:t>
              </w:r>
            </w:hyperlink>
            <w:r w:rsidR="007E31E3" w:rsidRPr="003F238D">
              <w:rPr>
                <w:rFonts w:ascii="Cambria" w:hAnsi="Cambria" w:cstheme="minorHAnsi"/>
                <w:sz w:val="18"/>
                <w:szCs w:val="18"/>
                <w:lang w:val="es-US"/>
              </w:rPr>
              <w:t xml:space="preserve">, </w:t>
            </w:r>
            <w:proofErr w:type="spellStart"/>
            <w:r w:rsidR="007E31E3" w:rsidRPr="003F238D">
              <w:rPr>
                <w:rFonts w:ascii="Cambria" w:hAnsi="Cambria" w:cstheme="minorHAnsi"/>
                <w:sz w:val="18"/>
                <w:szCs w:val="18"/>
                <w:lang w:val="es-US"/>
              </w:rPr>
              <w:t>Report</w:t>
            </w:r>
            <w:proofErr w:type="spellEnd"/>
            <w:r w:rsidR="007E31E3" w:rsidRPr="003F238D">
              <w:rPr>
                <w:rFonts w:ascii="Cambria" w:hAnsi="Cambria" w:cstheme="minorHAnsi"/>
                <w:sz w:val="18"/>
                <w:szCs w:val="18"/>
                <w:lang w:val="es-US"/>
              </w:rPr>
              <w:t xml:space="preserve"> No. 47/06, Fausto Mendoza Giler and Diógenes Mendoza Bravo (Ecuador)</w:t>
            </w:r>
            <w:r w:rsidR="007E31E3" w:rsidRPr="00524435">
              <w:rPr>
                <w:rFonts w:ascii="Cambria" w:hAnsi="Cambria" w:cstheme="minorHAnsi"/>
                <w:sz w:val="18"/>
                <w:szCs w:val="18"/>
                <w:vertAlign w:val="superscript"/>
              </w:rPr>
              <w:footnoteReference w:id="79"/>
            </w:r>
          </w:p>
        </w:tc>
        <w:tc>
          <w:tcPr>
            <w:tcW w:w="1170" w:type="dxa"/>
            <w:vMerge/>
            <w:shd w:val="clear" w:color="auto" w:fill="F2F2F2" w:themeFill="background1" w:themeFillShade="F2"/>
          </w:tcPr>
          <w:p w14:paraId="62FD5791" w14:textId="77777777" w:rsidR="007E31E3" w:rsidRPr="003F238D" w:rsidRDefault="007E31E3" w:rsidP="00820229">
            <w:pPr>
              <w:jc w:val="center"/>
              <w:rPr>
                <w:rFonts w:ascii="Cambria" w:hAnsi="Cambria" w:cstheme="minorHAnsi"/>
                <w:sz w:val="18"/>
                <w:szCs w:val="18"/>
                <w:lang w:val="es-US"/>
              </w:rPr>
            </w:pPr>
          </w:p>
        </w:tc>
        <w:tc>
          <w:tcPr>
            <w:tcW w:w="1316" w:type="dxa"/>
          </w:tcPr>
          <w:p w14:paraId="2C15502F" w14:textId="77777777" w:rsidR="007E31E3" w:rsidRPr="003F238D" w:rsidRDefault="007E31E3" w:rsidP="00820229">
            <w:pPr>
              <w:jc w:val="center"/>
              <w:rPr>
                <w:rFonts w:ascii="Cambria" w:hAnsi="Cambria" w:cstheme="minorHAnsi"/>
                <w:sz w:val="18"/>
                <w:szCs w:val="18"/>
                <w:lang w:val="es-US"/>
              </w:rPr>
            </w:pPr>
          </w:p>
        </w:tc>
        <w:tc>
          <w:tcPr>
            <w:tcW w:w="1170" w:type="dxa"/>
          </w:tcPr>
          <w:p w14:paraId="48B1F43D"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6DF3A7D7" w14:textId="77777777" w:rsidR="007E31E3" w:rsidRPr="00524435" w:rsidRDefault="007E31E3" w:rsidP="00820229">
            <w:pPr>
              <w:keepNext/>
              <w:ind w:firstLine="31"/>
              <w:jc w:val="center"/>
              <w:outlineLvl w:val="2"/>
              <w:rPr>
                <w:rFonts w:ascii="Cambria" w:hAnsi="Cambria" w:cstheme="minorHAnsi"/>
                <w:sz w:val="18"/>
                <w:szCs w:val="18"/>
              </w:rPr>
            </w:pPr>
          </w:p>
        </w:tc>
        <w:tc>
          <w:tcPr>
            <w:tcW w:w="1170" w:type="dxa"/>
          </w:tcPr>
          <w:p w14:paraId="377AE196" w14:textId="77777777" w:rsidR="007E31E3" w:rsidRPr="00524435" w:rsidRDefault="007E31E3" w:rsidP="00820229">
            <w:pPr>
              <w:keepNext/>
              <w:tabs>
                <w:tab w:val="left" w:pos="177"/>
              </w:tabs>
              <w:ind w:firstLine="31"/>
              <w:jc w:val="center"/>
              <w:outlineLvl w:val="2"/>
              <w:rPr>
                <w:rFonts w:ascii="Cambria" w:hAnsi="Cambria" w:cstheme="minorHAnsi"/>
                <w:sz w:val="18"/>
                <w:szCs w:val="18"/>
              </w:rPr>
            </w:pPr>
            <w:r w:rsidRPr="00524435">
              <w:rPr>
                <w:rFonts w:ascii="Cambria" w:hAnsi="Cambria" w:cstheme="minorHAnsi"/>
                <w:sz w:val="18"/>
                <w:szCs w:val="18"/>
              </w:rPr>
              <w:t>50%</w:t>
            </w:r>
          </w:p>
        </w:tc>
        <w:tc>
          <w:tcPr>
            <w:tcW w:w="1260" w:type="dxa"/>
          </w:tcPr>
          <w:p w14:paraId="002D025A"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7DA9A1C0" w14:textId="77777777" w:rsidTr="00820229">
        <w:trPr>
          <w:cnfStyle w:val="000000010000" w:firstRow="0" w:lastRow="0" w:firstColumn="0" w:lastColumn="0" w:oddVBand="0" w:evenVBand="0" w:oddHBand="0" w:evenHBand="1" w:firstRowFirstColumn="0" w:firstRowLastColumn="0" w:lastRowFirstColumn="0" w:lastRowLastColumn="0"/>
          <w:trHeight w:hRule="exact" w:val="1026"/>
          <w:jc w:val="center"/>
        </w:trPr>
        <w:tc>
          <w:tcPr>
            <w:tcW w:w="2250" w:type="dxa"/>
          </w:tcPr>
          <w:p w14:paraId="2F6B2F7B" w14:textId="77777777" w:rsidR="007E31E3" w:rsidRPr="00E42B49" w:rsidRDefault="007E31E3" w:rsidP="0009324C">
            <w:pPr>
              <w:numPr>
                <w:ilvl w:val="0"/>
                <w:numId w:val="18"/>
              </w:numPr>
              <w:tabs>
                <w:tab w:val="num" w:pos="522"/>
              </w:tabs>
              <w:ind w:firstLine="0"/>
              <w:jc w:val="both"/>
              <w:rPr>
                <w:rFonts w:ascii="Cambria" w:hAnsi="Cambria" w:cstheme="minorHAnsi"/>
                <w:sz w:val="18"/>
                <w:szCs w:val="18"/>
                <w:lang w:val="es-US"/>
              </w:rPr>
            </w:pPr>
            <w:proofErr w:type="spellStart"/>
            <w:r w:rsidRPr="00E42B49">
              <w:rPr>
                <w:rFonts w:ascii="Cambria" w:hAnsi="Cambria" w:cstheme="minorHAnsi"/>
                <w:sz w:val="18"/>
                <w:szCs w:val="18"/>
                <w:lang w:val="es-US"/>
              </w:rPr>
              <w:lastRenderedPageBreak/>
              <w:t>Petition</w:t>
            </w:r>
            <w:proofErr w:type="spellEnd"/>
            <w:r w:rsidRPr="00E42B49">
              <w:rPr>
                <w:rFonts w:ascii="Cambria" w:hAnsi="Cambria" w:cstheme="minorHAnsi"/>
                <w:sz w:val="18"/>
                <w:szCs w:val="18"/>
                <w:lang w:val="es-US"/>
              </w:rPr>
              <w:t xml:space="preserve"> 533-05,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122/12, Julio Rubén Robles Eras (Ecuador)</w:t>
            </w:r>
            <w:r w:rsidRPr="00524435">
              <w:rPr>
                <w:rFonts w:ascii="Cambria" w:hAnsi="Cambria" w:cstheme="minorHAnsi"/>
                <w:sz w:val="18"/>
                <w:szCs w:val="18"/>
                <w:vertAlign w:val="superscript"/>
              </w:rPr>
              <w:footnoteReference w:id="80"/>
            </w:r>
          </w:p>
        </w:tc>
        <w:tc>
          <w:tcPr>
            <w:tcW w:w="1170" w:type="dxa"/>
            <w:vMerge/>
            <w:shd w:val="clear" w:color="auto" w:fill="F2F2F2" w:themeFill="background1" w:themeFillShade="F2"/>
          </w:tcPr>
          <w:p w14:paraId="3E096018" w14:textId="77777777" w:rsidR="007E31E3" w:rsidRPr="00E42B49" w:rsidRDefault="007E31E3" w:rsidP="00820229">
            <w:pPr>
              <w:jc w:val="center"/>
              <w:rPr>
                <w:rFonts w:ascii="Cambria" w:hAnsi="Cambria" w:cstheme="minorHAnsi"/>
                <w:sz w:val="18"/>
                <w:szCs w:val="18"/>
                <w:lang w:val="es-US"/>
              </w:rPr>
            </w:pPr>
          </w:p>
        </w:tc>
        <w:tc>
          <w:tcPr>
            <w:tcW w:w="1316" w:type="dxa"/>
          </w:tcPr>
          <w:p w14:paraId="08B84D77" w14:textId="77777777" w:rsidR="007E31E3" w:rsidRPr="00E42B49" w:rsidRDefault="007E31E3" w:rsidP="00820229">
            <w:pPr>
              <w:jc w:val="center"/>
              <w:rPr>
                <w:rFonts w:ascii="Cambria" w:hAnsi="Cambria" w:cstheme="minorHAnsi"/>
                <w:sz w:val="18"/>
                <w:szCs w:val="18"/>
                <w:lang w:val="es-US"/>
              </w:rPr>
            </w:pPr>
          </w:p>
        </w:tc>
        <w:tc>
          <w:tcPr>
            <w:tcW w:w="1170" w:type="dxa"/>
          </w:tcPr>
          <w:p w14:paraId="2180926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5C7DD196" w14:textId="77777777" w:rsidR="007E31E3" w:rsidRPr="00524435" w:rsidRDefault="007E31E3" w:rsidP="00820229">
            <w:pPr>
              <w:keepNext/>
              <w:ind w:firstLine="31"/>
              <w:jc w:val="center"/>
              <w:outlineLvl w:val="2"/>
              <w:rPr>
                <w:rFonts w:ascii="Cambria" w:hAnsi="Cambria" w:cstheme="minorHAnsi"/>
                <w:sz w:val="18"/>
                <w:szCs w:val="18"/>
              </w:rPr>
            </w:pPr>
          </w:p>
        </w:tc>
        <w:tc>
          <w:tcPr>
            <w:tcW w:w="1170" w:type="dxa"/>
          </w:tcPr>
          <w:p w14:paraId="61DE429A" w14:textId="77777777" w:rsidR="007E31E3" w:rsidRPr="00524435" w:rsidRDefault="007E31E3" w:rsidP="00820229">
            <w:pPr>
              <w:keepNext/>
              <w:tabs>
                <w:tab w:val="left" w:pos="177"/>
              </w:tabs>
              <w:ind w:firstLine="31"/>
              <w:jc w:val="center"/>
              <w:outlineLvl w:val="2"/>
              <w:rPr>
                <w:rFonts w:ascii="Cambria" w:hAnsi="Cambria" w:cstheme="minorHAnsi"/>
                <w:sz w:val="18"/>
                <w:szCs w:val="18"/>
              </w:rPr>
            </w:pPr>
            <w:r w:rsidRPr="00524435">
              <w:rPr>
                <w:rFonts w:ascii="Cambria" w:hAnsi="Cambria" w:cstheme="minorHAnsi"/>
                <w:sz w:val="18"/>
                <w:szCs w:val="18"/>
              </w:rPr>
              <w:t>67%</w:t>
            </w:r>
          </w:p>
        </w:tc>
        <w:tc>
          <w:tcPr>
            <w:tcW w:w="1260" w:type="dxa"/>
          </w:tcPr>
          <w:p w14:paraId="26AE095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642BB1DD" w14:textId="77777777" w:rsidTr="00820229">
        <w:trPr>
          <w:cnfStyle w:val="000000100000" w:firstRow="0" w:lastRow="0" w:firstColumn="0" w:lastColumn="0" w:oddVBand="0" w:evenVBand="0" w:oddHBand="1" w:evenHBand="0" w:firstRowFirstColumn="0" w:firstRowLastColumn="0" w:lastRowFirstColumn="0" w:lastRowLastColumn="0"/>
          <w:trHeight w:hRule="exact" w:val="1080"/>
          <w:jc w:val="center"/>
        </w:trPr>
        <w:tc>
          <w:tcPr>
            <w:tcW w:w="2250" w:type="dxa"/>
          </w:tcPr>
          <w:p w14:paraId="6FAF3DB4" w14:textId="77777777" w:rsidR="007E31E3" w:rsidRPr="00E42B49" w:rsidRDefault="007E31E3" w:rsidP="0009324C">
            <w:pPr>
              <w:numPr>
                <w:ilvl w:val="0"/>
                <w:numId w:val="18"/>
              </w:numPr>
              <w:tabs>
                <w:tab w:val="num" w:pos="522"/>
              </w:tabs>
              <w:ind w:firstLine="0"/>
              <w:jc w:val="both"/>
              <w:rPr>
                <w:rFonts w:ascii="Cambria" w:hAnsi="Cambria" w:cstheme="minorHAnsi"/>
                <w:sz w:val="18"/>
                <w:szCs w:val="18"/>
                <w:lang w:val="es-US"/>
              </w:rPr>
            </w:pPr>
            <w:r w:rsidRPr="00E42B49">
              <w:rPr>
                <w:rFonts w:ascii="Cambria" w:hAnsi="Cambria" w:cstheme="minorHAnsi"/>
                <w:sz w:val="18"/>
                <w:szCs w:val="18"/>
                <w:lang w:val="es-US"/>
              </w:rPr>
              <w:t xml:space="preserve">Case 12.631,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61/13, Karina Montenegro et al. (Ecuador)</w:t>
            </w:r>
          </w:p>
        </w:tc>
        <w:tc>
          <w:tcPr>
            <w:tcW w:w="1170" w:type="dxa"/>
            <w:vMerge/>
            <w:shd w:val="clear" w:color="auto" w:fill="F2F2F2" w:themeFill="background1" w:themeFillShade="F2"/>
          </w:tcPr>
          <w:p w14:paraId="30DF2571" w14:textId="77777777" w:rsidR="007E31E3" w:rsidRPr="00E42B49" w:rsidRDefault="007E31E3" w:rsidP="00820229">
            <w:pPr>
              <w:jc w:val="center"/>
              <w:rPr>
                <w:rFonts w:ascii="Cambria" w:hAnsi="Cambria" w:cstheme="minorHAnsi"/>
                <w:sz w:val="18"/>
                <w:szCs w:val="18"/>
                <w:lang w:val="es-US"/>
              </w:rPr>
            </w:pPr>
          </w:p>
        </w:tc>
        <w:tc>
          <w:tcPr>
            <w:tcW w:w="1316" w:type="dxa"/>
          </w:tcPr>
          <w:p w14:paraId="7BAC2E0C" w14:textId="77777777" w:rsidR="007E31E3" w:rsidRPr="00E42B49" w:rsidRDefault="007E31E3" w:rsidP="00820229">
            <w:pPr>
              <w:jc w:val="center"/>
              <w:rPr>
                <w:rFonts w:ascii="Cambria" w:hAnsi="Cambria" w:cstheme="minorHAnsi"/>
                <w:sz w:val="18"/>
                <w:szCs w:val="18"/>
                <w:lang w:val="es-US"/>
              </w:rPr>
            </w:pPr>
          </w:p>
        </w:tc>
        <w:tc>
          <w:tcPr>
            <w:tcW w:w="1170" w:type="dxa"/>
          </w:tcPr>
          <w:p w14:paraId="176F85F0"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2C71FA2B" w14:textId="77777777" w:rsidR="007E31E3" w:rsidRPr="00524435" w:rsidRDefault="007E31E3" w:rsidP="00820229">
            <w:pPr>
              <w:keepNext/>
              <w:ind w:firstLine="31"/>
              <w:jc w:val="center"/>
              <w:outlineLvl w:val="2"/>
              <w:rPr>
                <w:rFonts w:ascii="Cambria" w:hAnsi="Cambria" w:cstheme="minorHAnsi"/>
                <w:sz w:val="18"/>
                <w:szCs w:val="18"/>
              </w:rPr>
            </w:pPr>
          </w:p>
        </w:tc>
        <w:tc>
          <w:tcPr>
            <w:tcW w:w="1170" w:type="dxa"/>
          </w:tcPr>
          <w:p w14:paraId="2B96FD05" w14:textId="77777777" w:rsidR="007E31E3" w:rsidRPr="00524435" w:rsidRDefault="007E31E3" w:rsidP="00820229">
            <w:pPr>
              <w:keepNext/>
              <w:tabs>
                <w:tab w:val="left" w:pos="177"/>
              </w:tabs>
              <w:ind w:firstLine="31"/>
              <w:jc w:val="center"/>
              <w:outlineLvl w:val="2"/>
              <w:rPr>
                <w:rFonts w:ascii="Cambria" w:hAnsi="Cambria" w:cstheme="minorHAnsi"/>
                <w:sz w:val="18"/>
                <w:szCs w:val="18"/>
              </w:rPr>
            </w:pPr>
            <w:r w:rsidRPr="00524435">
              <w:rPr>
                <w:rFonts w:ascii="Cambria" w:hAnsi="Cambria" w:cstheme="minorHAnsi"/>
                <w:sz w:val="18"/>
                <w:szCs w:val="18"/>
              </w:rPr>
              <w:t>45%</w:t>
            </w:r>
          </w:p>
        </w:tc>
        <w:tc>
          <w:tcPr>
            <w:tcW w:w="1260" w:type="dxa"/>
          </w:tcPr>
          <w:p w14:paraId="5A756189"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49985C63" w14:textId="77777777" w:rsidTr="00820229">
        <w:trPr>
          <w:cnfStyle w:val="000000010000" w:firstRow="0" w:lastRow="0" w:firstColumn="0" w:lastColumn="0" w:oddVBand="0" w:evenVBand="0" w:oddHBand="0" w:evenHBand="1" w:firstRowFirstColumn="0" w:firstRowLastColumn="0" w:lastRowFirstColumn="0" w:lastRowLastColumn="0"/>
          <w:trHeight w:val="1377"/>
          <w:jc w:val="center"/>
        </w:trPr>
        <w:tc>
          <w:tcPr>
            <w:tcW w:w="2250" w:type="dxa"/>
          </w:tcPr>
          <w:p w14:paraId="7B53571B" w14:textId="77777777" w:rsidR="007E31E3" w:rsidRPr="00E42B49" w:rsidRDefault="007E31E3" w:rsidP="0009324C">
            <w:pPr>
              <w:numPr>
                <w:ilvl w:val="0"/>
                <w:numId w:val="18"/>
              </w:numPr>
              <w:tabs>
                <w:tab w:val="num" w:pos="522"/>
              </w:tabs>
              <w:snapToGrid w:val="0"/>
              <w:ind w:firstLine="0"/>
              <w:jc w:val="both"/>
              <w:rPr>
                <w:rFonts w:ascii="Cambria" w:hAnsi="Cambria" w:cstheme="minorHAnsi"/>
                <w:sz w:val="18"/>
                <w:szCs w:val="18"/>
                <w:lang w:val="es-US"/>
              </w:rPr>
            </w:pPr>
            <w:r w:rsidRPr="00E42B49">
              <w:rPr>
                <w:rFonts w:ascii="Cambria" w:hAnsi="Cambria" w:cstheme="minorHAnsi"/>
                <w:sz w:val="18"/>
                <w:szCs w:val="18"/>
                <w:lang w:val="es-US"/>
              </w:rPr>
              <w:t xml:space="preserve">Case 12.957,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167/18, Luis Bolívar Hernández Peñaherrera (Ecuador)</w:t>
            </w:r>
          </w:p>
        </w:tc>
        <w:tc>
          <w:tcPr>
            <w:tcW w:w="1170" w:type="dxa"/>
            <w:vMerge/>
            <w:shd w:val="clear" w:color="auto" w:fill="F2F2F2" w:themeFill="background1" w:themeFillShade="F2"/>
          </w:tcPr>
          <w:p w14:paraId="47418F42" w14:textId="77777777" w:rsidR="007E31E3" w:rsidRPr="00E42B49" w:rsidRDefault="007E31E3" w:rsidP="00820229">
            <w:pPr>
              <w:jc w:val="center"/>
              <w:rPr>
                <w:rFonts w:ascii="Cambria" w:hAnsi="Cambria" w:cstheme="minorHAnsi"/>
                <w:color w:val="1F497D"/>
                <w:sz w:val="18"/>
                <w:szCs w:val="18"/>
                <w:lang w:val="es-US"/>
              </w:rPr>
            </w:pPr>
          </w:p>
        </w:tc>
        <w:tc>
          <w:tcPr>
            <w:tcW w:w="1316" w:type="dxa"/>
          </w:tcPr>
          <w:p w14:paraId="3921B8E9" w14:textId="77777777" w:rsidR="007E31E3" w:rsidRPr="00524435" w:rsidRDefault="007E31E3" w:rsidP="00820229">
            <w:pPr>
              <w:ind w:firstLine="720"/>
              <w:rPr>
                <w:rFonts w:ascii="Cambria" w:hAnsi="Cambria" w:cstheme="minorHAnsi"/>
                <w:sz w:val="18"/>
                <w:szCs w:val="18"/>
              </w:rPr>
            </w:pPr>
            <w:r w:rsidRPr="00524435">
              <w:rPr>
                <w:rFonts w:ascii="Cambria" w:hAnsi="Cambria" w:cstheme="minorHAnsi"/>
                <w:sz w:val="18"/>
                <w:szCs w:val="18"/>
              </w:rPr>
              <w:t>X</w:t>
            </w:r>
          </w:p>
        </w:tc>
        <w:tc>
          <w:tcPr>
            <w:tcW w:w="1170" w:type="dxa"/>
          </w:tcPr>
          <w:p w14:paraId="5DBF85A1" w14:textId="77777777" w:rsidR="007E31E3" w:rsidRPr="00524435" w:rsidRDefault="007E31E3" w:rsidP="00820229">
            <w:pPr>
              <w:jc w:val="center"/>
              <w:rPr>
                <w:rFonts w:ascii="Cambria" w:hAnsi="Cambria" w:cstheme="minorHAnsi"/>
                <w:sz w:val="18"/>
                <w:szCs w:val="18"/>
              </w:rPr>
            </w:pPr>
          </w:p>
        </w:tc>
        <w:tc>
          <w:tcPr>
            <w:tcW w:w="1170" w:type="dxa"/>
          </w:tcPr>
          <w:p w14:paraId="17765A2A"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326DCD95"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39749C2E"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 2021</w:t>
            </w:r>
          </w:p>
        </w:tc>
      </w:tr>
      <w:tr w:rsidR="007E31E3" w:rsidRPr="00524435" w14:paraId="5569C29C" w14:textId="77777777" w:rsidTr="00820229">
        <w:trPr>
          <w:cnfStyle w:val="000000100000" w:firstRow="0" w:lastRow="0" w:firstColumn="0" w:lastColumn="0" w:oddVBand="0" w:evenVBand="0" w:oddHBand="1" w:evenHBand="0" w:firstRowFirstColumn="0" w:firstRowLastColumn="0" w:lastRowFirstColumn="0" w:lastRowLastColumn="0"/>
          <w:trHeight w:val="639"/>
          <w:jc w:val="center"/>
        </w:trPr>
        <w:tc>
          <w:tcPr>
            <w:tcW w:w="2250" w:type="dxa"/>
          </w:tcPr>
          <w:p w14:paraId="751D2D56" w14:textId="77777777" w:rsidR="007E31E3" w:rsidRPr="00E42B49" w:rsidRDefault="007E31E3" w:rsidP="0009324C">
            <w:pPr>
              <w:numPr>
                <w:ilvl w:val="0"/>
                <w:numId w:val="18"/>
              </w:numPr>
              <w:tabs>
                <w:tab w:val="num" w:pos="522"/>
              </w:tabs>
              <w:snapToGrid w:val="0"/>
              <w:ind w:firstLine="0"/>
              <w:jc w:val="both"/>
              <w:rPr>
                <w:rFonts w:ascii="Cambria" w:hAnsi="Cambria" w:cstheme="minorHAnsi"/>
                <w:sz w:val="18"/>
                <w:szCs w:val="18"/>
                <w:lang w:val="es-US"/>
              </w:rPr>
            </w:pPr>
            <w:r w:rsidRPr="00E42B49">
              <w:rPr>
                <w:rFonts w:ascii="Cambria" w:hAnsi="Cambria" w:cstheme="minorHAnsi"/>
                <w:sz w:val="18"/>
                <w:szCs w:val="18"/>
                <w:lang w:val="es-US"/>
              </w:rPr>
              <w:t xml:space="preserve">Case 11.626 A,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81/20, Fredy Oreste </w:t>
            </w:r>
            <w:proofErr w:type="spellStart"/>
            <w:r w:rsidRPr="00E42B49">
              <w:rPr>
                <w:rFonts w:ascii="Cambria" w:hAnsi="Cambria" w:cstheme="minorHAnsi"/>
                <w:sz w:val="18"/>
                <w:szCs w:val="18"/>
                <w:lang w:val="es-US"/>
              </w:rPr>
              <w:t>Cañola</w:t>
            </w:r>
            <w:proofErr w:type="spellEnd"/>
            <w:r w:rsidRPr="00E42B49">
              <w:rPr>
                <w:rFonts w:ascii="Cambria" w:hAnsi="Cambria" w:cstheme="minorHAnsi"/>
                <w:sz w:val="18"/>
                <w:szCs w:val="18"/>
                <w:lang w:val="es-US"/>
              </w:rPr>
              <w:t xml:space="preserve"> Valencia (Ecuador)</w:t>
            </w:r>
            <w:r w:rsidRPr="00524435">
              <w:rPr>
                <w:rFonts w:ascii="Cambria" w:hAnsi="Cambria" w:cstheme="minorHAnsi"/>
                <w:sz w:val="18"/>
                <w:szCs w:val="18"/>
                <w:vertAlign w:val="superscript"/>
              </w:rPr>
              <w:footnoteReference w:id="81"/>
            </w:r>
          </w:p>
        </w:tc>
        <w:tc>
          <w:tcPr>
            <w:tcW w:w="1170" w:type="dxa"/>
            <w:vMerge/>
            <w:shd w:val="clear" w:color="auto" w:fill="F2F2F2" w:themeFill="background1" w:themeFillShade="F2"/>
          </w:tcPr>
          <w:p w14:paraId="7B61213E" w14:textId="77777777" w:rsidR="007E31E3" w:rsidRPr="00E42B49" w:rsidRDefault="007E31E3" w:rsidP="00820229">
            <w:pPr>
              <w:jc w:val="center"/>
              <w:rPr>
                <w:rFonts w:ascii="Cambria" w:hAnsi="Cambria" w:cstheme="minorHAnsi"/>
                <w:color w:val="1F497D"/>
                <w:sz w:val="18"/>
                <w:szCs w:val="18"/>
                <w:lang w:val="es-US"/>
              </w:rPr>
            </w:pPr>
          </w:p>
        </w:tc>
        <w:tc>
          <w:tcPr>
            <w:tcW w:w="1316" w:type="dxa"/>
          </w:tcPr>
          <w:p w14:paraId="58454208" w14:textId="77777777" w:rsidR="007E31E3" w:rsidRPr="00E42B49" w:rsidRDefault="007E31E3" w:rsidP="00820229">
            <w:pPr>
              <w:ind w:firstLine="720"/>
              <w:jc w:val="center"/>
              <w:rPr>
                <w:rFonts w:ascii="Cambria" w:hAnsi="Cambria" w:cstheme="minorHAnsi"/>
                <w:sz w:val="18"/>
                <w:szCs w:val="18"/>
                <w:lang w:val="es-US"/>
              </w:rPr>
            </w:pPr>
          </w:p>
        </w:tc>
        <w:tc>
          <w:tcPr>
            <w:tcW w:w="1170" w:type="dxa"/>
          </w:tcPr>
          <w:p w14:paraId="74030625"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330FA018"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797D8CDC"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67%</w:t>
            </w:r>
          </w:p>
        </w:tc>
        <w:tc>
          <w:tcPr>
            <w:tcW w:w="1260" w:type="dxa"/>
          </w:tcPr>
          <w:p w14:paraId="6091D373"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6D16800D" w14:textId="77777777" w:rsidTr="00820229">
        <w:trPr>
          <w:cnfStyle w:val="000000010000" w:firstRow="0" w:lastRow="0" w:firstColumn="0" w:lastColumn="0" w:oddVBand="0" w:evenVBand="0" w:oddHBand="0" w:evenHBand="1" w:firstRowFirstColumn="0" w:firstRowLastColumn="0" w:lastRowFirstColumn="0" w:lastRowLastColumn="0"/>
          <w:trHeight w:val="954"/>
          <w:jc w:val="center"/>
        </w:trPr>
        <w:tc>
          <w:tcPr>
            <w:tcW w:w="2250" w:type="dxa"/>
          </w:tcPr>
          <w:p w14:paraId="555BC0B9" w14:textId="77777777" w:rsidR="007E31E3" w:rsidRPr="00E42B49" w:rsidRDefault="007E31E3" w:rsidP="0009324C">
            <w:pPr>
              <w:numPr>
                <w:ilvl w:val="0"/>
                <w:numId w:val="18"/>
              </w:numPr>
              <w:tabs>
                <w:tab w:val="num" w:pos="522"/>
              </w:tabs>
              <w:snapToGrid w:val="0"/>
              <w:ind w:firstLine="0"/>
              <w:jc w:val="both"/>
              <w:rPr>
                <w:rFonts w:ascii="Cambria" w:hAnsi="Cambria" w:cstheme="minorHAnsi"/>
                <w:sz w:val="18"/>
                <w:szCs w:val="18"/>
                <w:lang w:val="es-US"/>
              </w:rPr>
            </w:pPr>
            <w:r w:rsidRPr="00E42B49">
              <w:rPr>
                <w:rFonts w:ascii="Cambria" w:hAnsi="Cambria" w:cstheme="minorHAnsi"/>
                <w:sz w:val="18"/>
                <w:szCs w:val="18"/>
                <w:lang w:val="es-US"/>
              </w:rPr>
              <w:t xml:space="preserve">Case 11.626 B,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82/20, Luis Enrique </w:t>
            </w:r>
            <w:proofErr w:type="spellStart"/>
            <w:r w:rsidRPr="00E42B49">
              <w:rPr>
                <w:rFonts w:ascii="Cambria" w:hAnsi="Cambria" w:cstheme="minorHAnsi"/>
                <w:sz w:val="18"/>
                <w:szCs w:val="18"/>
                <w:lang w:val="es-US"/>
              </w:rPr>
              <w:t>Cañola</w:t>
            </w:r>
            <w:proofErr w:type="spellEnd"/>
            <w:r w:rsidRPr="00E42B49">
              <w:rPr>
                <w:rFonts w:ascii="Cambria" w:hAnsi="Cambria" w:cstheme="minorHAnsi"/>
                <w:sz w:val="18"/>
                <w:szCs w:val="18"/>
                <w:lang w:val="es-US"/>
              </w:rPr>
              <w:t xml:space="preserve"> Valencia (Ecuador)</w:t>
            </w:r>
            <w:r w:rsidRPr="00E42B49">
              <w:rPr>
                <w:rFonts w:ascii="Cambria" w:hAnsi="Cambria" w:cstheme="minorHAnsi"/>
                <w:sz w:val="18"/>
                <w:szCs w:val="18"/>
                <w:vertAlign w:val="superscript"/>
                <w:lang w:val="es-US"/>
              </w:rPr>
              <w:t xml:space="preserve"> </w:t>
            </w:r>
            <w:r w:rsidRPr="00524435">
              <w:rPr>
                <w:rFonts w:ascii="Cambria" w:hAnsi="Cambria" w:cstheme="minorHAnsi"/>
                <w:sz w:val="18"/>
                <w:szCs w:val="18"/>
                <w:vertAlign w:val="superscript"/>
              </w:rPr>
              <w:footnoteReference w:id="82"/>
            </w:r>
          </w:p>
        </w:tc>
        <w:tc>
          <w:tcPr>
            <w:tcW w:w="1170" w:type="dxa"/>
            <w:vMerge/>
            <w:shd w:val="clear" w:color="auto" w:fill="F2F2F2" w:themeFill="background1" w:themeFillShade="F2"/>
          </w:tcPr>
          <w:p w14:paraId="3BFD622F" w14:textId="77777777" w:rsidR="007E31E3" w:rsidRPr="00E42B49" w:rsidRDefault="007E31E3" w:rsidP="00820229">
            <w:pPr>
              <w:jc w:val="center"/>
              <w:rPr>
                <w:rFonts w:ascii="Cambria" w:hAnsi="Cambria" w:cstheme="minorHAnsi"/>
                <w:color w:val="1F497D"/>
                <w:sz w:val="18"/>
                <w:szCs w:val="18"/>
                <w:lang w:val="es-US"/>
              </w:rPr>
            </w:pPr>
          </w:p>
        </w:tc>
        <w:tc>
          <w:tcPr>
            <w:tcW w:w="1316" w:type="dxa"/>
          </w:tcPr>
          <w:p w14:paraId="02AC6AE9" w14:textId="77777777" w:rsidR="007E31E3" w:rsidRPr="00E42B49" w:rsidRDefault="007E31E3" w:rsidP="00820229">
            <w:pPr>
              <w:ind w:firstLine="720"/>
              <w:jc w:val="center"/>
              <w:rPr>
                <w:rFonts w:ascii="Cambria" w:hAnsi="Cambria" w:cstheme="minorHAnsi"/>
                <w:sz w:val="18"/>
                <w:szCs w:val="18"/>
                <w:lang w:val="es-US"/>
              </w:rPr>
            </w:pPr>
          </w:p>
        </w:tc>
        <w:tc>
          <w:tcPr>
            <w:tcW w:w="1170" w:type="dxa"/>
          </w:tcPr>
          <w:p w14:paraId="2B8E2B36"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081C83CD"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48F8F709"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67%</w:t>
            </w:r>
          </w:p>
        </w:tc>
        <w:tc>
          <w:tcPr>
            <w:tcW w:w="1260" w:type="dxa"/>
          </w:tcPr>
          <w:p w14:paraId="1229EA8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400D818E" w14:textId="77777777" w:rsidTr="00820229">
        <w:trPr>
          <w:cnfStyle w:val="000000100000" w:firstRow="0" w:lastRow="0" w:firstColumn="0" w:lastColumn="0" w:oddVBand="0" w:evenVBand="0" w:oddHBand="1" w:evenHBand="0" w:firstRowFirstColumn="0" w:firstRowLastColumn="0" w:lastRowFirstColumn="0" w:lastRowLastColumn="0"/>
          <w:trHeight w:val="936"/>
          <w:jc w:val="center"/>
        </w:trPr>
        <w:tc>
          <w:tcPr>
            <w:tcW w:w="2250" w:type="dxa"/>
          </w:tcPr>
          <w:p w14:paraId="133B521C" w14:textId="77777777" w:rsidR="007E31E3" w:rsidRPr="00E42B49" w:rsidRDefault="007E31E3" w:rsidP="0009324C">
            <w:pPr>
              <w:numPr>
                <w:ilvl w:val="0"/>
                <w:numId w:val="18"/>
              </w:numPr>
              <w:tabs>
                <w:tab w:val="num" w:pos="522"/>
              </w:tabs>
              <w:snapToGrid w:val="0"/>
              <w:ind w:firstLine="0"/>
              <w:jc w:val="both"/>
              <w:rPr>
                <w:rFonts w:ascii="Cambria" w:hAnsi="Cambria" w:cstheme="minorHAnsi"/>
                <w:sz w:val="18"/>
                <w:szCs w:val="18"/>
                <w:lang w:val="es-US"/>
              </w:rPr>
            </w:pPr>
            <w:r w:rsidRPr="00E42B49">
              <w:rPr>
                <w:rFonts w:ascii="Cambria" w:hAnsi="Cambria" w:cstheme="minorHAnsi"/>
                <w:sz w:val="18"/>
                <w:szCs w:val="18"/>
                <w:lang w:val="es-US"/>
              </w:rPr>
              <w:t xml:space="preserve">Case 11.626 C,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83/20, Santo Enrique </w:t>
            </w:r>
            <w:proofErr w:type="spellStart"/>
            <w:r w:rsidRPr="00E42B49">
              <w:rPr>
                <w:rFonts w:ascii="Cambria" w:hAnsi="Cambria" w:cstheme="minorHAnsi"/>
                <w:sz w:val="18"/>
                <w:szCs w:val="18"/>
                <w:lang w:val="es-US"/>
              </w:rPr>
              <w:t>Cañola</w:t>
            </w:r>
            <w:proofErr w:type="spellEnd"/>
            <w:r w:rsidRPr="00E42B49">
              <w:rPr>
                <w:rFonts w:ascii="Cambria" w:hAnsi="Cambria" w:cstheme="minorHAnsi"/>
                <w:sz w:val="18"/>
                <w:szCs w:val="18"/>
                <w:lang w:val="es-US"/>
              </w:rPr>
              <w:t xml:space="preserve"> González (Ecuador)</w:t>
            </w:r>
            <w:r w:rsidRPr="00E42B49">
              <w:rPr>
                <w:rFonts w:ascii="Cambria" w:hAnsi="Cambria" w:cstheme="minorHAnsi"/>
                <w:sz w:val="18"/>
                <w:szCs w:val="18"/>
                <w:vertAlign w:val="superscript"/>
                <w:lang w:val="es-US"/>
              </w:rPr>
              <w:t xml:space="preserve"> </w:t>
            </w:r>
            <w:r w:rsidRPr="00524435">
              <w:rPr>
                <w:rFonts w:ascii="Cambria" w:hAnsi="Cambria" w:cstheme="minorHAnsi"/>
                <w:sz w:val="18"/>
                <w:szCs w:val="18"/>
                <w:vertAlign w:val="superscript"/>
              </w:rPr>
              <w:footnoteReference w:id="83"/>
            </w:r>
          </w:p>
        </w:tc>
        <w:tc>
          <w:tcPr>
            <w:tcW w:w="1170" w:type="dxa"/>
            <w:vMerge/>
            <w:shd w:val="clear" w:color="auto" w:fill="F2F2F2" w:themeFill="background1" w:themeFillShade="F2"/>
          </w:tcPr>
          <w:p w14:paraId="65C9B87D" w14:textId="77777777" w:rsidR="007E31E3" w:rsidRPr="00E42B49" w:rsidRDefault="007E31E3" w:rsidP="00820229">
            <w:pPr>
              <w:jc w:val="center"/>
              <w:rPr>
                <w:rFonts w:ascii="Cambria" w:hAnsi="Cambria" w:cstheme="minorHAnsi"/>
                <w:color w:val="1F497D"/>
                <w:sz w:val="18"/>
                <w:szCs w:val="18"/>
                <w:lang w:val="es-US"/>
              </w:rPr>
            </w:pPr>
          </w:p>
        </w:tc>
        <w:tc>
          <w:tcPr>
            <w:tcW w:w="1316" w:type="dxa"/>
          </w:tcPr>
          <w:p w14:paraId="06B775B8" w14:textId="77777777" w:rsidR="007E31E3" w:rsidRPr="00E42B49" w:rsidRDefault="007E31E3" w:rsidP="00820229">
            <w:pPr>
              <w:ind w:firstLine="720"/>
              <w:jc w:val="center"/>
              <w:rPr>
                <w:rFonts w:ascii="Cambria" w:hAnsi="Cambria" w:cstheme="minorHAnsi"/>
                <w:sz w:val="18"/>
                <w:szCs w:val="18"/>
                <w:lang w:val="es-US"/>
              </w:rPr>
            </w:pPr>
          </w:p>
        </w:tc>
        <w:tc>
          <w:tcPr>
            <w:tcW w:w="1170" w:type="dxa"/>
          </w:tcPr>
          <w:p w14:paraId="472BD34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775651C4"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458BC4C3"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67%</w:t>
            </w:r>
          </w:p>
        </w:tc>
        <w:tc>
          <w:tcPr>
            <w:tcW w:w="1260" w:type="dxa"/>
          </w:tcPr>
          <w:p w14:paraId="1E0850B9"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51272F57" w14:textId="77777777" w:rsidTr="00820229">
        <w:trPr>
          <w:cnfStyle w:val="000000010000" w:firstRow="0" w:lastRow="0" w:firstColumn="0" w:lastColumn="0" w:oddVBand="0" w:evenVBand="0" w:oddHBand="0" w:evenHBand="1" w:firstRowFirstColumn="0" w:firstRowLastColumn="0" w:lastRowFirstColumn="0" w:lastRowLastColumn="0"/>
          <w:trHeight w:val="909"/>
          <w:jc w:val="center"/>
        </w:trPr>
        <w:tc>
          <w:tcPr>
            <w:tcW w:w="2250" w:type="dxa"/>
          </w:tcPr>
          <w:p w14:paraId="612FEED7" w14:textId="77777777" w:rsidR="007E31E3" w:rsidRPr="00524435" w:rsidRDefault="007E31E3" w:rsidP="0009324C">
            <w:pPr>
              <w:numPr>
                <w:ilvl w:val="0"/>
                <w:numId w:val="18"/>
              </w:numPr>
              <w:tabs>
                <w:tab w:val="num" w:pos="522"/>
              </w:tabs>
              <w:snapToGrid w:val="0"/>
              <w:ind w:firstLine="0"/>
              <w:jc w:val="both"/>
              <w:rPr>
                <w:rFonts w:ascii="Cambria" w:hAnsi="Cambria" w:cstheme="minorHAnsi"/>
                <w:sz w:val="18"/>
                <w:szCs w:val="18"/>
              </w:rPr>
            </w:pPr>
            <w:r w:rsidRPr="00524435">
              <w:rPr>
                <w:rFonts w:ascii="Cambria" w:hAnsi="Cambria" w:cstheme="minorHAnsi"/>
                <w:sz w:val="18"/>
                <w:szCs w:val="18"/>
              </w:rPr>
              <w:t>Case 11.312, Report No. 66/03, Emilio Tec Pop (Guatemala)</w:t>
            </w:r>
          </w:p>
        </w:tc>
        <w:tc>
          <w:tcPr>
            <w:tcW w:w="1170" w:type="dxa"/>
            <w:vMerge w:val="restart"/>
          </w:tcPr>
          <w:p w14:paraId="06EA882C" w14:textId="43373303" w:rsidR="007E31E3" w:rsidRPr="00524435" w:rsidRDefault="006B7403" w:rsidP="00820229">
            <w:pPr>
              <w:jc w:val="center"/>
              <w:rPr>
                <w:rFonts w:ascii="Cambria" w:hAnsi="Cambria" w:cstheme="minorHAnsi"/>
                <w:sz w:val="18"/>
                <w:szCs w:val="18"/>
              </w:rPr>
            </w:pPr>
            <w:hyperlink r:id="rId68" w:history="1">
              <w:r w:rsidR="007E31E3" w:rsidRPr="00524435">
                <w:rPr>
                  <w:rStyle w:val="Hyperlink"/>
                  <w:rFonts w:ascii="Cambria" w:hAnsi="Cambria" w:cstheme="minorHAnsi"/>
                  <w:sz w:val="18"/>
                  <w:szCs w:val="18"/>
                </w:rPr>
                <w:t>Link to monitoring sheets on matters related to reports of friendly settlement</w:t>
              </w:r>
            </w:hyperlink>
            <w:r w:rsidR="007E31E3" w:rsidRPr="00524435">
              <w:rPr>
                <w:rFonts w:ascii="Cambria" w:hAnsi="Cambria" w:cstheme="minorHAnsi"/>
                <w:sz w:val="18"/>
                <w:szCs w:val="18"/>
              </w:rPr>
              <w:t xml:space="preserve"> </w:t>
            </w:r>
            <w:r w:rsidR="007E31E3" w:rsidRPr="00524435">
              <w:rPr>
                <w:rFonts w:ascii="Cambria" w:hAnsi="Cambria" w:cstheme="minorHAnsi"/>
                <w:sz w:val="18"/>
                <w:szCs w:val="18"/>
              </w:rPr>
              <w:lastRenderedPageBreak/>
              <w:t xml:space="preserve">agreements </w:t>
            </w:r>
            <w:hyperlink r:id="rId69" w:history="1">
              <w:r w:rsidR="007E31E3" w:rsidRPr="00524435">
                <w:rPr>
                  <w:rStyle w:val="Hyperlink"/>
                  <w:rFonts w:ascii="Cambria" w:hAnsi="Cambria" w:cstheme="minorHAnsi"/>
                  <w:sz w:val="18"/>
                  <w:szCs w:val="18"/>
                </w:rPr>
                <w:t>of Guatemala  that are subject to monitoring</w:t>
              </w:r>
            </w:hyperlink>
            <w:r w:rsidR="007E31E3" w:rsidRPr="00524435">
              <w:rPr>
                <w:rFonts w:ascii="Cambria" w:hAnsi="Cambria" w:cstheme="minorHAnsi"/>
                <w:sz w:val="18"/>
                <w:szCs w:val="18"/>
              </w:rPr>
              <w:t xml:space="preserve"> </w:t>
            </w:r>
          </w:p>
        </w:tc>
        <w:tc>
          <w:tcPr>
            <w:tcW w:w="1316" w:type="dxa"/>
          </w:tcPr>
          <w:p w14:paraId="6E76C032" w14:textId="77777777" w:rsidR="007E31E3" w:rsidRPr="00524435" w:rsidRDefault="007E31E3" w:rsidP="00820229">
            <w:pPr>
              <w:ind w:firstLine="720"/>
              <w:jc w:val="center"/>
              <w:rPr>
                <w:rFonts w:ascii="Cambria" w:hAnsi="Cambria" w:cstheme="minorHAnsi"/>
                <w:sz w:val="18"/>
                <w:szCs w:val="18"/>
              </w:rPr>
            </w:pPr>
          </w:p>
        </w:tc>
        <w:tc>
          <w:tcPr>
            <w:tcW w:w="1170" w:type="dxa"/>
          </w:tcPr>
          <w:p w14:paraId="5CB8318D"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2151E3F0" w14:textId="77777777" w:rsidR="007E31E3" w:rsidRPr="00524435" w:rsidRDefault="007E31E3" w:rsidP="00820229">
            <w:pPr>
              <w:keepNext/>
              <w:ind w:firstLine="720"/>
              <w:jc w:val="center"/>
              <w:outlineLvl w:val="2"/>
              <w:rPr>
                <w:rFonts w:ascii="Cambria" w:hAnsi="Cambria" w:cstheme="minorHAnsi"/>
                <w:sz w:val="18"/>
                <w:szCs w:val="18"/>
              </w:rPr>
            </w:pPr>
          </w:p>
        </w:tc>
        <w:tc>
          <w:tcPr>
            <w:tcW w:w="1170" w:type="dxa"/>
          </w:tcPr>
          <w:p w14:paraId="5DA22F60"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67%</w:t>
            </w:r>
          </w:p>
        </w:tc>
        <w:tc>
          <w:tcPr>
            <w:tcW w:w="1260" w:type="dxa"/>
          </w:tcPr>
          <w:p w14:paraId="320050C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21028194" w14:textId="77777777" w:rsidTr="00820229">
        <w:trPr>
          <w:cnfStyle w:val="000000100000" w:firstRow="0" w:lastRow="0" w:firstColumn="0" w:lastColumn="0" w:oddVBand="0" w:evenVBand="0" w:oddHBand="1" w:evenHBand="0" w:firstRowFirstColumn="0" w:firstRowLastColumn="0" w:lastRowFirstColumn="0" w:lastRowLastColumn="0"/>
          <w:trHeight w:val="945"/>
          <w:jc w:val="center"/>
        </w:trPr>
        <w:tc>
          <w:tcPr>
            <w:tcW w:w="2250" w:type="dxa"/>
          </w:tcPr>
          <w:p w14:paraId="67500906"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t>Case 11.766, Report No. 67/03, Irma Flaquer (Guatemala)</w:t>
            </w:r>
          </w:p>
        </w:tc>
        <w:tc>
          <w:tcPr>
            <w:tcW w:w="1170" w:type="dxa"/>
            <w:vMerge/>
          </w:tcPr>
          <w:p w14:paraId="04772504" w14:textId="77777777" w:rsidR="007E31E3" w:rsidRPr="00524435" w:rsidRDefault="007E31E3" w:rsidP="00820229">
            <w:pPr>
              <w:jc w:val="center"/>
              <w:rPr>
                <w:rFonts w:ascii="Cambria" w:hAnsi="Cambria" w:cstheme="minorHAnsi"/>
                <w:sz w:val="18"/>
                <w:szCs w:val="18"/>
              </w:rPr>
            </w:pPr>
          </w:p>
        </w:tc>
        <w:tc>
          <w:tcPr>
            <w:tcW w:w="1316" w:type="dxa"/>
          </w:tcPr>
          <w:p w14:paraId="69D3CB44" w14:textId="77777777" w:rsidR="007E31E3" w:rsidRPr="00524435" w:rsidRDefault="007E31E3" w:rsidP="00820229">
            <w:pPr>
              <w:jc w:val="center"/>
              <w:rPr>
                <w:rFonts w:ascii="Cambria" w:hAnsi="Cambria" w:cstheme="minorHAnsi"/>
                <w:sz w:val="18"/>
                <w:szCs w:val="18"/>
              </w:rPr>
            </w:pPr>
          </w:p>
        </w:tc>
        <w:tc>
          <w:tcPr>
            <w:tcW w:w="1170" w:type="dxa"/>
          </w:tcPr>
          <w:p w14:paraId="7D29CE1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47D50347"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51EBA56A"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92%</w:t>
            </w:r>
          </w:p>
        </w:tc>
        <w:tc>
          <w:tcPr>
            <w:tcW w:w="1260" w:type="dxa"/>
          </w:tcPr>
          <w:p w14:paraId="5835BF8E"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37DD2B91" w14:textId="77777777" w:rsidTr="00820229">
        <w:trPr>
          <w:cnfStyle w:val="000000010000" w:firstRow="0" w:lastRow="0" w:firstColumn="0" w:lastColumn="0" w:oddVBand="0" w:evenVBand="0" w:oddHBand="0" w:evenHBand="1" w:firstRowFirstColumn="0" w:firstRowLastColumn="0" w:lastRowFirstColumn="0" w:lastRowLastColumn="0"/>
          <w:trHeight w:val="1224"/>
          <w:jc w:val="center"/>
        </w:trPr>
        <w:tc>
          <w:tcPr>
            <w:tcW w:w="2250" w:type="dxa"/>
          </w:tcPr>
          <w:p w14:paraId="7831E02E" w14:textId="77777777" w:rsidR="007E31E3" w:rsidRPr="00524435" w:rsidRDefault="007E31E3" w:rsidP="0009324C">
            <w:pPr>
              <w:numPr>
                <w:ilvl w:val="0"/>
                <w:numId w:val="18"/>
              </w:numPr>
              <w:tabs>
                <w:tab w:val="num" w:pos="522"/>
              </w:tabs>
              <w:snapToGrid w:val="0"/>
              <w:ind w:firstLine="0"/>
              <w:jc w:val="both"/>
              <w:rPr>
                <w:rFonts w:ascii="Cambria" w:hAnsi="Cambria" w:cstheme="minorHAnsi"/>
                <w:sz w:val="18"/>
                <w:szCs w:val="18"/>
              </w:rPr>
            </w:pPr>
            <w:r w:rsidRPr="00524435">
              <w:rPr>
                <w:rFonts w:ascii="Cambria" w:hAnsi="Cambria" w:cstheme="minorHAnsi"/>
                <w:sz w:val="18"/>
                <w:szCs w:val="18"/>
              </w:rPr>
              <w:lastRenderedPageBreak/>
              <w:t xml:space="preserve">Case 11.197, Report No. 68/03, Community of San Vicente de los </w:t>
            </w:r>
            <w:proofErr w:type="spellStart"/>
            <w:r w:rsidRPr="00524435">
              <w:rPr>
                <w:rFonts w:ascii="Cambria" w:hAnsi="Cambria" w:cstheme="minorHAnsi"/>
                <w:sz w:val="18"/>
                <w:szCs w:val="18"/>
              </w:rPr>
              <w:t>Cimientos</w:t>
            </w:r>
            <w:proofErr w:type="spellEnd"/>
            <w:r w:rsidRPr="00524435">
              <w:rPr>
                <w:rFonts w:ascii="Cambria" w:hAnsi="Cambria" w:cstheme="minorHAnsi"/>
                <w:sz w:val="18"/>
                <w:szCs w:val="18"/>
              </w:rPr>
              <w:t xml:space="preserve"> (Guatemala)</w:t>
            </w:r>
          </w:p>
        </w:tc>
        <w:tc>
          <w:tcPr>
            <w:tcW w:w="1170" w:type="dxa"/>
            <w:vMerge/>
          </w:tcPr>
          <w:p w14:paraId="2C72479D" w14:textId="77777777" w:rsidR="007E31E3" w:rsidRPr="00524435" w:rsidRDefault="007E31E3" w:rsidP="00820229">
            <w:pPr>
              <w:jc w:val="center"/>
              <w:rPr>
                <w:rFonts w:ascii="Cambria" w:hAnsi="Cambria" w:cstheme="minorHAnsi"/>
                <w:sz w:val="18"/>
                <w:szCs w:val="18"/>
              </w:rPr>
            </w:pPr>
          </w:p>
        </w:tc>
        <w:tc>
          <w:tcPr>
            <w:tcW w:w="1316" w:type="dxa"/>
          </w:tcPr>
          <w:p w14:paraId="3732121A" w14:textId="77777777" w:rsidR="007E31E3" w:rsidRPr="00524435" w:rsidRDefault="007E31E3" w:rsidP="00820229">
            <w:pPr>
              <w:jc w:val="center"/>
              <w:rPr>
                <w:rFonts w:ascii="Cambria" w:hAnsi="Cambria" w:cstheme="minorHAnsi"/>
                <w:sz w:val="18"/>
                <w:szCs w:val="18"/>
              </w:rPr>
            </w:pPr>
          </w:p>
        </w:tc>
        <w:tc>
          <w:tcPr>
            <w:tcW w:w="1170" w:type="dxa"/>
          </w:tcPr>
          <w:p w14:paraId="16ED2E8A"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241F155D"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57835139"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57%</w:t>
            </w:r>
          </w:p>
        </w:tc>
        <w:tc>
          <w:tcPr>
            <w:tcW w:w="1260" w:type="dxa"/>
          </w:tcPr>
          <w:p w14:paraId="63CFD9A3"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45C10961" w14:textId="77777777" w:rsidTr="00820229">
        <w:trPr>
          <w:cnfStyle w:val="000000100000" w:firstRow="0" w:lastRow="0" w:firstColumn="0" w:lastColumn="0" w:oddVBand="0" w:evenVBand="0" w:oddHBand="1" w:evenHBand="0" w:firstRowFirstColumn="0" w:firstRowLastColumn="0" w:lastRowFirstColumn="0" w:lastRowLastColumn="0"/>
          <w:trHeight w:val="945"/>
          <w:jc w:val="center"/>
        </w:trPr>
        <w:tc>
          <w:tcPr>
            <w:tcW w:w="2250" w:type="dxa"/>
          </w:tcPr>
          <w:p w14:paraId="3ADD1BFD" w14:textId="77777777" w:rsidR="007E31E3" w:rsidRPr="007A5442" w:rsidRDefault="007E31E3" w:rsidP="0009324C">
            <w:pPr>
              <w:numPr>
                <w:ilvl w:val="0"/>
                <w:numId w:val="18"/>
              </w:numPr>
              <w:tabs>
                <w:tab w:val="num" w:pos="522"/>
              </w:tabs>
              <w:ind w:firstLine="0"/>
              <w:jc w:val="both"/>
              <w:rPr>
                <w:rFonts w:ascii="Cambria" w:hAnsi="Cambria" w:cstheme="minorHAnsi"/>
                <w:sz w:val="18"/>
                <w:szCs w:val="18"/>
                <w:lang w:val="pt-PT"/>
              </w:rPr>
            </w:pPr>
            <w:r w:rsidRPr="007A5442">
              <w:rPr>
                <w:rFonts w:ascii="Cambria" w:hAnsi="Cambria" w:cstheme="minorHAnsi"/>
                <w:sz w:val="18"/>
                <w:szCs w:val="18"/>
                <w:lang w:val="pt-PT"/>
              </w:rPr>
              <w:t>Case 9.168, Report No. 29/04, Jorge Alberto Rosal Paz (Guatemala)</w:t>
            </w:r>
          </w:p>
        </w:tc>
        <w:tc>
          <w:tcPr>
            <w:tcW w:w="1170" w:type="dxa"/>
            <w:vMerge/>
          </w:tcPr>
          <w:p w14:paraId="4F87893C" w14:textId="77777777" w:rsidR="007E31E3" w:rsidRPr="007A5442" w:rsidRDefault="007E31E3" w:rsidP="00820229">
            <w:pPr>
              <w:jc w:val="center"/>
              <w:rPr>
                <w:rFonts w:ascii="Cambria" w:hAnsi="Cambria" w:cstheme="minorHAnsi"/>
                <w:sz w:val="18"/>
                <w:szCs w:val="18"/>
                <w:lang w:val="pt-PT"/>
              </w:rPr>
            </w:pPr>
          </w:p>
        </w:tc>
        <w:tc>
          <w:tcPr>
            <w:tcW w:w="1316" w:type="dxa"/>
          </w:tcPr>
          <w:p w14:paraId="1DA891D9" w14:textId="77777777" w:rsidR="007E31E3" w:rsidRPr="007A5442" w:rsidRDefault="007E31E3" w:rsidP="00820229">
            <w:pPr>
              <w:jc w:val="center"/>
              <w:rPr>
                <w:rFonts w:ascii="Cambria" w:hAnsi="Cambria" w:cstheme="minorHAnsi"/>
                <w:sz w:val="18"/>
                <w:szCs w:val="18"/>
                <w:lang w:val="pt-PT"/>
              </w:rPr>
            </w:pPr>
          </w:p>
        </w:tc>
        <w:tc>
          <w:tcPr>
            <w:tcW w:w="1170" w:type="dxa"/>
          </w:tcPr>
          <w:p w14:paraId="66EFFD82"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1FDD4F9A"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08438597"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80%</w:t>
            </w:r>
          </w:p>
        </w:tc>
        <w:tc>
          <w:tcPr>
            <w:tcW w:w="1260" w:type="dxa"/>
          </w:tcPr>
          <w:p w14:paraId="21689FA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0287D30D" w14:textId="77777777" w:rsidTr="00820229">
        <w:trPr>
          <w:cnfStyle w:val="000000010000" w:firstRow="0" w:lastRow="0" w:firstColumn="0" w:lastColumn="0" w:oddVBand="0" w:evenVBand="0" w:oddHBand="0" w:evenHBand="1" w:firstRowFirstColumn="0" w:firstRowLastColumn="0" w:lastRowFirstColumn="0" w:lastRowLastColumn="0"/>
          <w:trHeight w:val="882"/>
          <w:jc w:val="center"/>
        </w:trPr>
        <w:tc>
          <w:tcPr>
            <w:tcW w:w="2250" w:type="dxa"/>
          </w:tcPr>
          <w:p w14:paraId="1991ADED" w14:textId="77777777" w:rsidR="007E31E3" w:rsidRPr="007A5442" w:rsidRDefault="007E31E3" w:rsidP="0009324C">
            <w:pPr>
              <w:numPr>
                <w:ilvl w:val="0"/>
                <w:numId w:val="18"/>
              </w:numPr>
              <w:tabs>
                <w:tab w:val="num" w:pos="522"/>
              </w:tabs>
              <w:ind w:firstLine="0"/>
              <w:jc w:val="both"/>
              <w:rPr>
                <w:rFonts w:ascii="Cambria" w:hAnsi="Cambria" w:cstheme="minorHAnsi"/>
                <w:sz w:val="18"/>
                <w:szCs w:val="18"/>
                <w:lang w:val="pt-PT"/>
              </w:rPr>
            </w:pPr>
            <w:r w:rsidRPr="007A5442">
              <w:rPr>
                <w:rFonts w:ascii="Cambria" w:hAnsi="Cambria" w:cstheme="minorHAnsi"/>
                <w:sz w:val="18"/>
                <w:szCs w:val="18"/>
                <w:lang w:val="pt-PT"/>
              </w:rPr>
              <w:t>Petition 133-04, Report No. 99/05, José Miguel Mérida Escobar (Guatemala)</w:t>
            </w:r>
          </w:p>
        </w:tc>
        <w:tc>
          <w:tcPr>
            <w:tcW w:w="1170" w:type="dxa"/>
            <w:vMerge/>
          </w:tcPr>
          <w:p w14:paraId="04CA0EDB" w14:textId="77777777" w:rsidR="007E31E3" w:rsidRPr="007A5442" w:rsidRDefault="007E31E3" w:rsidP="00820229">
            <w:pPr>
              <w:jc w:val="center"/>
              <w:rPr>
                <w:rFonts w:ascii="Cambria" w:hAnsi="Cambria" w:cstheme="minorHAnsi"/>
                <w:sz w:val="18"/>
                <w:szCs w:val="18"/>
                <w:lang w:val="pt-PT"/>
              </w:rPr>
            </w:pPr>
          </w:p>
        </w:tc>
        <w:tc>
          <w:tcPr>
            <w:tcW w:w="1316" w:type="dxa"/>
          </w:tcPr>
          <w:p w14:paraId="56A88C0C" w14:textId="77777777" w:rsidR="007E31E3" w:rsidRPr="007A5442" w:rsidRDefault="007E31E3" w:rsidP="00820229">
            <w:pPr>
              <w:jc w:val="center"/>
              <w:rPr>
                <w:rFonts w:ascii="Cambria" w:hAnsi="Cambria" w:cstheme="minorHAnsi"/>
                <w:sz w:val="18"/>
                <w:szCs w:val="18"/>
                <w:lang w:val="pt-PT"/>
              </w:rPr>
            </w:pPr>
          </w:p>
        </w:tc>
        <w:tc>
          <w:tcPr>
            <w:tcW w:w="1170" w:type="dxa"/>
          </w:tcPr>
          <w:p w14:paraId="1B1193C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0C6031D0"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6163A239"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89%</w:t>
            </w:r>
          </w:p>
        </w:tc>
        <w:tc>
          <w:tcPr>
            <w:tcW w:w="1260" w:type="dxa"/>
          </w:tcPr>
          <w:p w14:paraId="46533E3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 2021</w:t>
            </w:r>
          </w:p>
        </w:tc>
      </w:tr>
      <w:tr w:rsidR="007E31E3" w:rsidRPr="00524435" w14:paraId="7A1E0968" w14:textId="77777777" w:rsidTr="00820229">
        <w:trPr>
          <w:cnfStyle w:val="000000100000" w:firstRow="0" w:lastRow="0" w:firstColumn="0" w:lastColumn="0" w:oddVBand="0" w:evenVBand="0" w:oddHBand="1" w:evenHBand="0" w:firstRowFirstColumn="0" w:firstRowLastColumn="0" w:lastRowFirstColumn="0" w:lastRowLastColumn="0"/>
          <w:trHeight w:val="954"/>
          <w:jc w:val="center"/>
        </w:trPr>
        <w:tc>
          <w:tcPr>
            <w:tcW w:w="2250" w:type="dxa"/>
          </w:tcPr>
          <w:p w14:paraId="2FB85D3C"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t>Case 11.422, Report No. 1/12, Mario Alioto López Sánchez (Guatemala)</w:t>
            </w:r>
          </w:p>
        </w:tc>
        <w:tc>
          <w:tcPr>
            <w:tcW w:w="1170" w:type="dxa"/>
            <w:vMerge/>
          </w:tcPr>
          <w:p w14:paraId="4EDD9386" w14:textId="77777777" w:rsidR="007E31E3" w:rsidRPr="00524435" w:rsidRDefault="007E31E3" w:rsidP="00820229">
            <w:pPr>
              <w:jc w:val="center"/>
              <w:rPr>
                <w:rFonts w:ascii="Cambria" w:hAnsi="Cambria" w:cstheme="minorHAnsi"/>
                <w:sz w:val="18"/>
                <w:szCs w:val="18"/>
              </w:rPr>
            </w:pPr>
          </w:p>
        </w:tc>
        <w:tc>
          <w:tcPr>
            <w:tcW w:w="1316" w:type="dxa"/>
          </w:tcPr>
          <w:p w14:paraId="25716C86" w14:textId="77777777" w:rsidR="007E31E3" w:rsidRPr="00524435" w:rsidRDefault="007E31E3" w:rsidP="00820229">
            <w:pPr>
              <w:jc w:val="center"/>
              <w:rPr>
                <w:rFonts w:ascii="Cambria" w:hAnsi="Cambria" w:cstheme="minorHAnsi"/>
                <w:sz w:val="18"/>
                <w:szCs w:val="18"/>
              </w:rPr>
            </w:pPr>
          </w:p>
        </w:tc>
        <w:tc>
          <w:tcPr>
            <w:tcW w:w="1170" w:type="dxa"/>
          </w:tcPr>
          <w:p w14:paraId="0B5D194A"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0D9FDFBD"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4956FD72"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80%</w:t>
            </w:r>
          </w:p>
        </w:tc>
        <w:tc>
          <w:tcPr>
            <w:tcW w:w="1260" w:type="dxa"/>
          </w:tcPr>
          <w:p w14:paraId="2945E990"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6C872082" w14:textId="77777777" w:rsidTr="00820229">
        <w:trPr>
          <w:cnfStyle w:val="000000010000" w:firstRow="0" w:lastRow="0" w:firstColumn="0" w:lastColumn="0" w:oddVBand="0" w:evenVBand="0" w:oddHBand="0" w:evenHBand="1" w:firstRowFirstColumn="0" w:firstRowLastColumn="0" w:lastRowFirstColumn="0" w:lastRowLastColumn="0"/>
          <w:trHeight w:val="945"/>
          <w:jc w:val="center"/>
        </w:trPr>
        <w:tc>
          <w:tcPr>
            <w:tcW w:w="2250" w:type="dxa"/>
          </w:tcPr>
          <w:p w14:paraId="6D5BE1A6"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t xml:space="preserve">Case 12,546, Report No. 30/12, Juan </w:t>
            </w:r>
            <w:proofErr w:type="spellStart"/>
            <w:r w:rsidRPr="00524435">
              <w:rPr>
                <w:rFonts w:ascii="Cambria" w:hAnsi="Cambria" w:cstheme="minorHAnsi"/>
                <w:sz w:val="18"/>
                <w:szCs w:val="18"/>
              </w:rPr>
              <w:t>Jacobo</w:t>
            </w:r>
            <w:proofErr w:type="spellEnd"/>
            <w:r w:rsidRPr="00524435">
              <w:rPr>
                <w:rFonts w:ascii="Cambria" w:hAnsi="Cambria" w:cstheme="minorHAnsi"/>
                <w:sz w:val="18"/>
                <w:szCs w:val="18"/>
              </w:rPr>
              <w:t xml:space="preserve"> Arbenz Guzmán (Guatemala)</w:t>
            </w:r>
            <w:r w:rsidRPr="00524435">
              <w:rPr>
                <w:rStyle w:val="FootnoteReference"/>
                <w:rFonts w:ascii="Cambria" w:hAnsi="Cambria" w:cstheme="minorHAnsi"/>
                <w:sz w:val="18"/>
                <w:szCs w:val="18"/>
              </w:rPr>
              <w:footnoteReference w:id="84"/>
            </w:r>
          </w:p>
        </w:tc>
        <w:tc>
          <w:tcPr>
            <w:tcW w:w="1170" w:type="dxa"/>
            <w:vMerge/>
          </w:tcPr>
          <w:p w14:paraId="78EC9BB5" w14:textId="77777777" w:rsidR="007E31E3" w:rsidRPr="00524435" w:rsidRDefault="007E31E3" w:rsidP="00820229">
            <w:pPr>
              <w:jc w:val="center"/>
              <w:rPr>
                <w:rFonts w:ascii="Cambria" w:hAnsi="Cambria" w:cstheme="minorHAnsi"/>
                <w:sz w:val="18"/>
                <w:szCs w:val="18"/>
              </w:rPr>
            </w:pPr>
          </w:p>
        </w:tc>
        <w:tc>
          <w:tcPr>
            <w:tcW w:w="1316" w:type="dxa"/>
          </w:tcPr>
          <w:p w14:paraId="281E5914" w14:textId="77777777" w:rsidR="007E31E3" w:rsidRPr="00524435" w:rsidRDefault="007E31E3" w:rsidP="00820229">
            <w:pPr>
              <w:jc w:val="center"/>
              <w:rPr>
                <w:rFonts w:ascii="Cambria" w:hAnsi="Cambria" w:cstheme="minorHAnsi"/>
                <w:sz w:val="18"/>
                <w:szCs w:val="18"/>
              </w:rPr>
            </w:pPr>
          </w:p>
        </w:tc>
        <w:tc>
          <w:tcPr>
            <w:tcW w:w="1170" w:type="dxa"/>
          </w:tcPr>
          <w:p w14:paraId="2F4C248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1721A409"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009EBD13"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88%</w:t>
            </w:r>
          </w:p>
        </w:tc>
        <w:tc>
          <w:tcPr>
            <w:tcW w:w="1260" w:type="dxa"/>
          </w:tcPr>
          <w:p w14:paraId="64C8202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5587C5FB" w14:textId="77777777" w:rsidTr="00820229">
        <w:trPr>
          <w:cnfStyle w:val="000000100000" w:firstRow="0" w:lastRow="0" w:firstColumn="0" w:lastColumn="0" w:oddVBand="0" w:evenVBand="0" w:oddHBand="1" w:evenHBand="0" w:firstRowFirstColumn="0" w:firstRowLastColumn="0" w:lastRowFirstColumn="0" w:lastRowLastColumn="0"/>
          <w:trHeight w:val="990"/>
          <w:jc w:val="center"/>
        </w:trPr>
        <w:tc>
          <w:tcPr>
            <w:tcW w:w="2250" w:type="dxa"/>
          </w:tcPr>
          <w:p w14:paraId="16F70F71" w14:textId="77777777" w:rsidR="007E31E3" w:rsidRPr="00E42B49" w:rsidRDefault="007E31E3" w:rsidP="0009324C">
            <w:pPr>
              <w:numPr>
                <w:ilvl w:val="0"/>
                <w:numId w:val="18"/>
              </w:numPr>
              <w:tabs>
                <w:tab w:val="num" w:pos="522"/>
              </w:tabs>
              <w:ind w:firstLine="0"/>
              <w:jc w:val="both"/>
              <w:rPr>
                <w:rFonts w:ascii="Cambria" w:hAnsi="Cambria" w:cstheme="minorHAnsi"/>
                <w:sz w:val="18"/>
                <w:szCs w:val="18"/>
                <w:lang w:val="es-US"/>
              </w:rPr>
            </w:pPr>
            <w:r w:rsidRPr="00E42B49">
              <w:rPr>
                <w:rFonts w:ascii="Cambria" w:hAnsi="Cambria" w:cstheme="minorHAnsi"/>
                <w:sz w:val="18"/>
                <w:szCs w:val="18"/>
                <w:lang w:val="es-US"/>
              </w:rPr>
              <w:t xml:space="preserve">Case 12.591,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123/12, </w:t>
            </w:r>
            <w:proofErr w:type="spellStart"/>
            <w:r w:rsidRPr="00E42B49">
              <w:rPr>
                <w:rFonts w:ascii="Cambria" w:hAnsi="Cambria" w:cstheme="minorHAnsi"/>
                <w:sz w:val="18"/>
                <w:szCs w:val="18"/>
                <w:lang w:val="es-US"/>
              </w:rPr>
              <w:t>Ángelica</w:t>
            </w:r>
            <w:proofErr w:type="spellEnd"/>
            <w:r w:rsidRPr="00E42B49">
              <w:rPr>
                <w:rFonts w:ascii="Cambria" w:hAnsi="Cambria" w:cstheme="minorHAnsi"/>
                <w:sz w:val="18"/>
                <w:szCs w:val="18"/>
                <w:lang w:val="es-US"/>
              </w:rPr>
              <w:t xml:space="preserve"> Jerónimo Juárez (Guatemala)</w:t>
            </w:r>
            <w:r w:rsidRPr="00524435">
              <w:rPr>
                <w:rFonts w:ascii="Cambria" w:hAnsi="Cambria" w:cstheme="minorHAnsi"/>
                <w:sz w:val="18"/>
                <w:szCs w:val="18"/>
                <w:vertAlign w:val="superscript"/>
              </w:rPr>
              <w:footnoteReference w:id="85"/>
            </w:r>
          </w:p>
        </w:tc>
        <w:tc>
          <w:tcPr>
            <w:tcW w:w="1170" w:type="dxa"/>
            <w:vMerge/>
          </w:tcPr>
          <w:p w14:paraId="1F183167" w14:textId="77777777" w:rsidR="007E31E3" w:rsidRPr="00E42B49" w:rsidRDefault="007E31E3" w:rsidP="00820229">
            <w:pPr>
              <w:jc w:val="center"/>
              <w:rPr>
                <w:rFonts w:ascii="Cambria" w:hAnsi="Cambria" w:cstheme="minorHAnsi"/>
                <w:sz w:val="18"/>
                <w:szCs w:val="18"/>
                <w:lang w:val="es-US"/>
              </w:rPr>
            </w:pPr>
          </w:p>
        </w:tc>
        <w:tc>
          <w:tcPr>
            <w:tcW w:w="1316" w:type="dxa"/>
          </w:tcPr>
          <w:p w14:paraId="7E2BFD9A"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78ACFE32" w14:textId="77777777" w:rsidR="007E31E3" w:rsidRPr="00524435" w:rsidRDefault="007E31E3" w:rsidP="00820229">
            <w:pPr>
              <w:jc w:val="center"/>
              <w:rPr>
                <w:rFonts w:ascii="Cambria" w:hAnsi="Cambria" w:cstheme="minorHAnsi"/>
                <w:sz w:val="18"/>
                <w:szCs w:val="18"/>
              </w:rPr>
            </w:pPr>
          </w:p>
        </w:tc>
        <w:tc>
          <w:tcPr>
            <w:tcW w:w="1170" w:type="dxa"/>
          </w:tcPr>
          <w:p w14:paraId="1FA0AABE"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71C3081F"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621B89F1"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Closed</w:t>
            </w:r>
          </w:p>
        </w:tc>
      </w:tr>
      <w:tr w:rsidR="007E31E3" w:rsidRPr="00524435" w14:paraId="65205937" w14:textId="77777777" w:rsidTr="00820229">
        <w:trPr>
          <w:cnfStyle w:val="000000010000" w:firstRow="0" w:lastRow="0" w:firstColumn="0" w:lastColumn="0" w:oddVBand="0" w:evenVBand="0" w:oddHBand="0" w:evenHBand="1" w:firstRowFirstColumn="0" w:firstRowLastColumn="0" w:lastRowFirstColumn="0" w:lastRowLastColumn="0"/>
          <w:trHeight w:val="1116"/>
          <w:jc w:val="center"/>
        </w:trPr>
        <w:tc>
          <w:tcPr>
            <w:tcW w:w="2250" w:type="dxa"/>
          </w:tcPr>
          <w:p w14:paraId="54C30972"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proofErr w:type="spellStart"/>
            <w:r w:rsidRPr="00E42B49">
              <w:rPr>
                <w:rFonts w:ascii="Cambria" w:hAnsi="Cambria" w:cstheme="minorHAnsi"/>
                <w:sz w:val="18"/>
                <w:szCs w:val="18"/>
                <w:lang w:val="es-US"/>
              </w:rPr>
              <w:t>Petition</w:t>
            </w:r>
            <w:proofErr w:type="spellEnd"/>
            <w:r w:rsidRPr="00E42B49">
              <w:rPr>
                <w:rFonts w:ascii="Cambria" w:hAnsi="Cambria" w:cstheme="minorHAnsi"/>
                <w:sz w:val="18"/>
                <w:szCs w:val="18"/>
                <w:lang w:val="es-US"/>
              </w:rPr>
              <w:t xml:space="preserve"> 279-03,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39/15. Fredy Rolando Hernández Rodríguez et al. </w:t>
            </w:r>
            <w:r w:rsidRPr="00524435">
              <w:rPr>
                <w:rFonts w:ascii="Cambria" w:hAnsi="Cambria" w:cstheme="minorHAnsi"/>
                <w:sz w:val="18"/>
                <w:szCs w:val="18"/>
              </w:rPr>
              <w:t>(Guatemala)</w:t>
            </w:r>
            <w:r w:rsidRPr="00524435">
              <w:rPr>
                <w:rStyle w:val="FootnoteReference"/>
                <w:rFonts w:ascii="Cambria" w:hAnsi="Cambria" w:cstheme="minorHAnsi"/>
                <w:sz w:val="18"/>
                <w:szCs w:val="18"/>
              </w:rPr>
              <w:footnoteReference w:id="86"/>
            </w:r>
          </w:p>
        </w:tc>
        <w:tc>
          <w:tcPr>
            <w:tcW w:w="1170" w:type="dxa"/>
            <w:vMerge/>
          </w:tcPr>
          <w:p w14:paraId="594E3D65" w14:textId="77777777" w:rsidR="007E31E3" w:rsidRPr="00524435" w:rsidRDefault="007E31E3" w:rsidP="00820229">
            <w:pPr>
              <w:jc w:val="center"/>
              <w:rPr>
                <w:rFonts w:ascii="Cambria" w:hAnsi="Cambria" w:cstheme="minorHAnsi"/>
                <w:sz w:val="18"/>
                <w:szCs w:val="18"/>
              </w:rPr>
            </w:pPr>
          </w:p>
        </w:tc>
        <w:tc>
          <w:tcPr>
            <w:tcW w:w="1316" w:type="dxa"/>
          </w:tcPr>
          <w:p w14:paraId="29962382"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7FDD0791" w14:textId="77777777" w:rsidR="007E31E3" w:rsidRPr="00524435" w:rsidRDefault="007E31E3" w:rsidP="00820229">
            <w:pPr>
              <w:jc w:val="center"/>
              <w:rPr>
                <w:rFonts w:ascii="Cambria" w:hAnsi="Cambria" w:cstheme="minorHAnsi"/>
                <w:sz w:val="18"/>
                <w:szCs w:val="18"/>
              </w:rPr>
            </w:pPr>
          </w:p>
        </w:tc>
        <w:tc>
          <w:tcPr>
            <w:tcW w:w="1170" w:type="dxa"/>
          </w:tcPr>
          <w:p w14:paraId="5D78419B"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6979C1EE"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7F11B381"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134193B9" w14:textId="77777777" w:rsidTr="00820229">
        <w:trPr>
          <w:cnfStyle w:val="000000100000" w:firstRow="0" w:lastRow="0" w:firstColumn="0" w:lastColumn="0" w:oddVBand="0" w:evenVBand="0" w:oddHBand="1" w:evenHBand="0" w:firstRowFirstColumn="0" w:firstRowLastColumn="0" w:lastRowFirstColumn="0" w:lastRowLastColumn="0"/>
          <w:trHeight w:val="1179"/>
          <w:jc w:val="center"/>
        </w:trPr>
        <w:tc>
          <w:tcPr>
            <w:tcW w:w="2250" w:type="dxa"/>
          </w:tcPr>
          <w:p w14:paraId="250B8ED7" w14:textId="77777777" w:rsidR="007E31E3" w:rsidRPr="00524435" w:rsidRDefault="007E31E3" w:rsidP="0009324C">
            <w:pPr>
              <w:numPr>
                <w:ilvl w:val="0"/>
                <w:numId w:val="18"/>
              </w:numPr>
              <w:ind w:firstLine="0"/>
              <w:rPr>
                <w:rFonts w:ascii="Cambria" w:hAnsi="Cambria" w:cstheme="minorHAnsi"/>
                <w:sz w:val="18"/>
                <w:szCs w:val="18"/>
              </w:rPr>
            </w:pPr>
            <w:r w:rsidRPr="00524435">
              <w:rPr>
                <w:rFonts w:ascii="Cambria" w:hAnsi="Cambria" w:cstheme="minorHAnsi"/>
                <w:sz w:val="18"/>
                <w:szCs w:val="18"/>
              </w:rPr>
              <w:t>Case 12.732, Report No. 86/20, Richard Conrad Solórzano Contreras (Guatemala)</w:t>
            </w:r>
          </w:p>
        </w:tc>
        <w:tc>
          <w:tcPr>
            <w:tcW w:w="1170" w:type="dxa"/>
            <w:vMerge/>
          </w:tcPr>
          <w:p w14:paraId="47738B3F" w14:textId="77777777" w:rsidR="007E31E3" w:rsidRPr="00524435" w:rsidRDefault="007E31E3" w:rsidP="00820229">
            <w:pPr>
              <w:jc w:val="center"/>
              <w:rPr>
                <w:rFonts w:ascii="Cambria" w:hAnsi="Cambria" w:cstheme="minorHAnsi"/>
                <w:sz w:val="18"/>
                <w:szCs w:val="18"/>
              </w:rPr>
            </w:pPr>
          </w:p>
        </w:tc>
        <w:tc>
          <w:tcPr>
            <w:tcW w:w="1316" w:type="dxa"/>
          </w:tcPr>
          <w:p w14:paraId="36B1D21E" w14:textId="77777777" w:rsidR="007E31E3" w:rsidRPr="00524435" w:rsidRDefault="007E31E3" w:rsidP="00820229">
            <w:pPr>
              <w:jc w:val="center"/>
              <w:rPr>
                <w:rFonts w:ascii="Cambria" w:hAnsi="Cambria" w:cstheme="minorHAnsi"/>
                <w:sz w:val="18"/>
                <w:szCs w:val="18"/>
              </w:rPr>
            </w:pPr>
          </w:p>
        </w:tc>
        <w:tc>
          <w:tcPr>
            <w:tcW w:w="1170" w:type="dxa"/>
          </w:tcPr>
          <w:p w14:paraId="5ED6A7C2"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6BEE95AA"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3AF092F2"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50%</w:t>
            </w:r>
          </w:p>
        </w:tc>
        <w:tc>
          <w:tcPr>
            <w:tcW w:w="1260" w:type="dxa"/>
          </w:tcPr>
          <w:p w14:paraId="3A420EE1"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66042827" w14:textId="77777777" w:rsidTr="00820229">
        <w:trPr>
          <w:cnfStyle w:val="000000010000" w:firstRow="0" w:lastRow="0" w:firstColumn="0" w:lastColumn="0" w:oddVBand="0" w:evenVBand="0" w:oddHBand="0" w:evenHBand="1" w:firstRowFirstColumn="0" w:firstRowLastColumn="0" w:lastRowFirstColumn="0" w:lastRowLastColumn="0"/>
          <w:trHeight w:val="1080"/>
          <w:jc w:val="center"/>
        </w:trPr>
        <w:tc>
          <w:tcPr>
            <w:tcW w:w="2250" w:type="dxa"/>
          </w:tcPr>
          <w:p w14:paraId="55CCECB5" w14:textId="77777777" w:rsidR="007E31E3" w:rsidRPr="00524435" w:rsidRDefault="007E31E3" w:rsidP="0009324C">
            <w:pPr>
              <w:numPr>
                <w:ilvl w:val="0"/>
                <w:numId w:val="18"/>
              </w:numPr>
              <w:ind w:firstLine="0"/>
              <w:rPr>
                <w:rFonts w:ascii="Cambria" w:hAnsi="Cambria" w:cstheme="minorHAnsi"/>
                <w:sz w:val="18"/>
                <w:szCs w:val="18"/>
              </w:rPr>
            </w:pPr>
            <w:r w:rsidRPr="00524435">
              <w:rPr>
                <w:rFonts w:ascii="Cambria" w:hAnsi="Cambria" w:cstheme="minorHAnsi"/>
                <w:sz w:val="18"/>
                <w:szCs w:val="18"/>
              </w:rPr>
              <w:t xml:space="preserve">Case 10.441 A, Report No. 214/20, Silvia María </w:t>
            </w:r>
            <w:proofErr w:type="spellStart"/>
            <w:r w:rsidRPr="00524435">
              <w:rPr>
                <w:rFonts w:ascii="Cambria" w:hAnsi="Cambria" w:cstheme="minorHAnsi"/>
                <w:sz w:val="18"/>
                <w:szCs w:val="18"/>
              </w:rPr>
              <w:t>Azurdia</w:t>
            </w:r>
            <w:proofErr w:type="spellEnd"/>
            <w:r w:rsidRPr="00524435">
              <w:rPr>
                <w:rFonts w:ascii="Cambria" w:hAnsi="Cambria" w:cstheme="minorHAnsi"/>
                <w:sz w:val="18"/>
                <w:szCs w:val="18"/>
              </w:rPr>
              <w:t xml:space="preserve"> Utrera and Others (Guatemala)</w:t>
            </w:r>
          </w:p>
        </w:tc>
        <w:tc>
          <w:tcPr>
            <w:tcW w:w="1170" w:type="dxa"/>
            <w:vMerge/>
          </w:tcPr>
          <w:p w14:paraId="31A1C70D" w14:textId="77777777" w:rsidR="007E31E3" w:rsidRPr="00524435" w:rsidRDefault="007E31E3" w:rsidP="00820229">
            <w:pPr>
              <w:jc w:val="center"/>
              <w:rPr>
                <w:rFonts w:ascii="Cambria" w:hAnsi="Cambria" w:cstheme="minorHAnsi"/>
                <w:sz w:val="18"/>
                <w:szCs w:val="18"/>
              </w:rPr>
            </w:pPr>
          </w:p>
        </w:tc>
        <w:tc>
          <w:tcPr>
            <w:tcW w:w="1316" w:type="dxa"/>
          </w:tcPr>
          <w:p w14:paraId="265E1BC2" w14:textId="77777777" w:rsidR="007E31E3" w:rsidRPr="00524435" w:rsidRDefault="007E31E3" w:rsidP="00820229">
            <w:pPr>
              <w:jc w:val="center"/>
              <w:rPr>
                <w:rFonts w:ascii="Cambria" w:hAnsi="Cambria" w:cstheme="minorHAnsi"/>
                <w:sz w:val="18"/>
                <w:szCs w:val="18"/>
              </w:rPr>
            </w:pPr>
          </w:p>
        </w:tc>
        <w:tc>
          <w:tcPr>
            <w:tcW w:w="1170" w:type="dxa"/>
          </w:tcPr>
          <w:p w14:paraId="035BB9B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70F186D0"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7CCDBCC4"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80%</w:t>
            </w:r>
          </w:p>
        </w:tc>
        <w:tc>
          <w:tcPr>
            <w:tcW w:w="1260" w:type="dxa"/>
          </w:tcPr>
          <w:p w14:paraId="7BCF97E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7BF3ADA5" w14:textId="77777777" w:rsidTr="00820229">
        <w:trPr>
          <w:cnfStyle w:val="000000100000" w:firstRow="0" w:lastRow="0" w:firstColumn="0" w:lastColumn="0" w:oddVBand="0" w:evenVBand="0" w:oddHBand="1" w:evenHBand="0" w:firstRowFirstColumn="0" w:firstRowLastColumn="0" w:lastRowFirstColumn="0" w:lastRowLastColumn="0"/>
          <w:trHeight w:val="1125"/>
          <w:jc w:val="center"/>
        </w:trPr>
        <w:tc>
          <w:tcPr>
            <w:tcW w:w="2250" w:type="dxa"/>
          </w:tcPr>
          <w:p w14:paraId="48853DE7" w14:textId="77777777" w:rsidR="007E31E3" w:rsidRPr="00E42B49" w:rsidRDefault="007E31E3" w:rsidP="0009324C">
            <w:pPr>
              <w:numPr>
                <w:ilvl w:val="0"/>
                <w:numId w:val="18"/>
              </w:numPr>
              <w:ind w:firstLine="0"/>
              <w:rPr>
                <w:rFonts w:ascii="Cambria" w:hAnsi="Cambria" w:cstheme="minorHAnsi"/>
                <w:sz w:val="18"/>
                <w:szCs w:val="18"/>
                <w:lang w:val="es-US"/>
              </w:rPr>
            </w:pPr>
            <w:r w:rsidRPr="00E42B49">
              <w:rPr>
                <w:rFonts w:ascii="Cambria" w:hAnsi="Cambria" w:cstheme="minorHAnsi"/>
                <w:sz w:val="18"/>
                <w:szCs w:val="18"/>
                <w:lang w:val="es-US"/>
              </w:rPr>
              <w:t xml:space="preserve">Case 10.441 B,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215/20, Carlos Humberto Cabrera                                                                 Rivera (Guatemala)</w:t>
            </w:r>
          </w:p>
        </w:tc>
        <w:tc>
          <w:tcPr>
            <w:tcW w:w="1170" w:type="dxa"/>
            <w:vMerge/>
          </w:tcPr>
          <w:p w14:paraId="3AA4A9AD" w14:textId="77777777" w:rsidR="007E31E3" w:rsidRPr="00E42B49" w:rsidRDefault="007E31E3" w:rsidP="00820229">
            <w:pPr>
              <w:jc w:val="center"/>
              <w:rPr>
                <w:rFonts w:ascii="Cambria" w:hAnsi="Cambria" w:cstheme="minorHAnsi"/>
                <w:sz w:val="18"/>
                <w:szCs w:val="18"/>
                <w:lang w:val="es-US"/>
              </w:rPr>
            </w:pPr>
          </w:p>
        </w:tc>
        <w:tc>
          <w:tcPr>
            <w:tcW w:w="1316" w:type="dxa"/>
          </w:tcPr>
          <w:p w14:paraId="5A0E14C2" w14:textId="77777777" w:rsidR="007E31E3" w:rsidRPr="00E42B49" w:rsidRDefault="007E31E3" w:rsidP="00820229">
            <w:pPr>
              <w:jc w:val="center"/>
              <w:rPr>
                <w:rFonts w:ascii="Cambria" w:hAnsi="Cambria" w:cstheme="minorHAnsi"/>
                <w:sz w:val="18"/>
                <w:szCs w:val="18"/>
                <w:lang w:val="es-US"/>
              </w:rPr>
            </w:pPr>
          </w:p>
        </w:tc>
        <w:tc>
          <w:tcPr>
            <w:tcW w:w="1170" w:type="dxa"/>
          </w:tcPr>
          <w:p w14:paraId="693F382E"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395B3785"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7B6DB7FD"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80%</w:t>
            </w:r>
          </w:p>
        </w:tc>
        <w:tc>
          <w:tcPr>
            <w:tcW w:w="1260" w:type="dxa"/>
          </w:tcPr>
          <w:p w14:paraId="3B385A79"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6C2445FE" w14:textId="77777777" w:rsidTr="00820229">
        <w:trPr>
          <w:cnfStyle w:val="000000010000" w:firstRow="0" w:lastRow="0" w:firstColumn="0" w:lastColumn="0" w:oddVBand="0" w:evenVBand="0" w:oddHBand="0" w:evenHBand="1" w:firstRowFirstColumn="0" w:firstRowLastColumn="0" w:lastRowFirstColumn="0" w:lastRowLastColumn="0"/>
          <w:trHeight w:val="954"/>
          <w:jc w:val="center"/>
        </w:trPr>
        <w:tc>
          <w:tcPr>
            <w:tcW w:w="2250" w:type="dxa"/>
          </w:tcPr>
          <w:p w14:paraId="4E597D0A" w14:textId="77777777" w:rsidR="007E31E3" w:rsidRPr="00E42B49" w:rsidRDefault="007E31E3" w:rsidP="0009324C">
            <w:pPr>
              <w:numPr>
                <w:ilvl w:val="0"/>
                <w:numId w:val="18"/>
              </w:numPr>
              <w:ind w:firstLine="0"/>
              <w:rPr>
                <w:rFonts w:ascii="Cambria" w:hAnsi="Cambria" w:cstheme="minorHAnsi"/>
                <w:sz w:val="18"/>
                <w:szCs w:val="18"/>
                <w:lang w:val="es-US"/>
              </w:rPr>
            </w:pPr>
            <w:r w:rsidRPr="00E42B49">
              <w:rPr>
                <w:rFonts w:ascii="Cambria" w:hAnsi="Cambria" w:cs="Arial"/>
                <w:sz w:val="18"/>
                <w:szCs w:val="18"/>
                <w:lang w:val="es-US" w:eastAsia="es-ES_tradnl"/>
              </w:rPr>
              <w:lastRenderedPageBreak/>
              <w:t xml:space="preserve">Case 12.737, </w:t>
            </w:r>
            <w:proofErr w:type="spellStart"/>
            <w:r w:rsidRPr="00E42B49">
              <w:rPr>
                <w:rFonts w:ascii="Cambria" w:hAnsi="Cambria" w:cs="Arial"/>
                <w:sz w:val="18"/>
                <w:szCs w:val="18"/>
                <w:lang w:val="es-US" w:eastAsia="es-ES_tradnl"/>
              </w:rPr>
              <w:t>Report</w:t>
            </w:r>
            <w:proofErr w:type="spellEnd"/>
            <w:r w:rsidRPr="00E42B49">
              <w:rPr>
                <w:rFonts w:ascii="Cambria" w:hAnsi="Cambria" w:cs="Arial"/>
                <w:sz w:val="18"/>
                <w:szCs w:val="18"/>
                <w:lang w:val="es-US" w:eastAsia="es-ES_tradnl"/>
              </w:rPr>
              <w:t xml:space="preserve"> No. 114/21, Carlos Raúl Morales </w:t>
            </w:r>
            <w:proofErr w:type="spellStart"/>
            <w:r w:rsidRPr="00E42B49">
              <w:rPr>
                <w:rFonts w:ascii="Cambria" w:hAnsi="Cambria" w:cs="Arial"/>
                <w:sz w:val="18"/>
                <w:szCs w:val="18"/>
                <w:lang w:val="es-US" w:eastAsia="es-ES_tradnl"/>
              </w:rPr>
              <w:t>Catalan</w:t>
            </w:r>
            <w:proofErr w:type="spellEnd"/>
            <w:r w:rsidRPr="00E42B49">
              <w:rPr>
                <w:rFonts w:ascii="Cambria" w:hAnsi="Cambria" w:cs="Arial"/>
                <w:sz w:val="18"/>
                <w:szCs w:val="18"/>
                <w:lang w:val="es-US" w:eastAsia="es-ES_tradnl"/>
              </w:rPr>
              <w:t xml:space="preserve"> (Guatemala)</w:t>
            </w:r>
          </w:p>
        </w:tc>
        <w:tc>
          <w:tcPr>
            <w:tcW w:w="1170" w:type="dxa"/>
            <w:vMerge/>
          </w:tcPr>
          <w:p w14:paraId="5A1ECA43" w14:textId="77777777" w:rsidR="007E31E3" w:rsidRPr="00E42B49" w:rsidRDefault="007E31E3" w:rsidP="00820229">
            <w:pPr>
              <w:jc w:val="center"/>
              <w:rPr>
                <w:rFonts w:ascii="Cambria" w:hAnsi="Cambria" w:cstheme="minorHAnsi"/>
                <w:sz w:val="18"/>
                <w:szCs w:val="18"/>
                <w:lang w:val="es-US"/>
              </w:rPr>
            </w:pPr>
          </w:p>
        </w:tc>
        <w:tc>
          <w:tcPr>
            <w:tcW w:w="1316" w:type="dxa"/>
          </w:tcPr>
          <w:p w14:paraId="6A42602D" w14:textId="77777777" w:rsidR="007E31E3" w:rsidRPr="00E42B49" w:rsidRDefault="007E31E3" w:rsidP="00820229">
            <w:pPr>
              <w:jc w:val="center"/>
              <w:rPr>
                <w:rFonts w:ascii="Cambria" w:hAnsi="Cambria" w:cstheme="minorHAnsi"/>
                <w:sz w:val="18"/>
                <w:szCs w:val="18"/>
                <w:lang w:val="es-US"/>
              </w:rPr>
            </w:pPr>
          </w:p>
        </w:tc>
        <w:tc>
          <w:tcPr>
            <w:tcW w:w="1170" w:type="dxa"/>
          </w:tcPr>
          <w:p w14:paraId="0F709783" w14:textId="77777777" w:rsidR="007E31E3" w:rsidRPr="00524435" w:rsidRDefault="007E31E3" w:rsidP="00820229">
            <w:pPr>
              <w:jc w:val="center"/>
              <w:rPr>
                <w:rFonts w:ascii="Cambria" w:hAnsi="Cambria" w:cstheme="minorHAnsi"/>
                <w:sz w:val="18"/>
                <w:szCs w:val="18"/>
              </w:rPr>
            </w:pPr>
            <w:r w:rsidRPr="00524435">
              <w:rPr>
                <w:rFonts w:ascii="Cambria" w:hAnsi="Cambria" w:cs="Arial"/>
                <w:sz w:val="18"/>
                <w:szCs w:val="18"/>
                <w:lang w:eastAsia="es-ES_tradnl"/>
              </w:rPr>
              <w:t>X</w:t>
            </w:r>
          </w:p>
        </w:tc>
        <w:tc>
          <w:tcPr>
            <w:tcW w:w="1170" w:type="dxa"/>
          </w:tcPr>
          <w:p w14:paraId="6D71250C"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28A740DC"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Arial"/>
                <w:sz w:val="18"/>
                <w:szCs w:val="18"/>
              </w:rPr>
              <w:t>50%</w:t>
            </w:r>
          </w:p>
        </w:tc>
        <w:tc>
          <w:tcPr>
            <w:tcW w:w="1260" w:type="dxa"/>
          </w:tcPr>
          <w:p w14:paraId="3370095F" w14:textId="77777777" w:rsidR="007E31E3" w:rsidRPr="00524435" w:rsidRDefault="007E31E3" w:rsidP="00820229">
            <w:pPr>
              <w:jc w:val="center"/>
              <w:rPr>
                <w:rFonts w:ascii="Cambria" w:hAnsi="Cambria" w:cstheme="minorHAnsi"/>
                <w:sz w:val="18"/>
                <w:szCs w:val="18"/>
              </w:rPr>
            </w:pPr>
            <w:r w:rsidRPr="00524435">
              <w:rPr>
                <w:rFonts w:ascii="Cambria" w:hAnsi="Cambria" w:cs="Arial"/>
                <w:sz w:val="18"/>
                <w:szCs w:val="18"/>
              </w:rPr>
              <w:t>Active</w:t>
            </w:r>
          </w:p>
        </w:tc>
      </w:tr>
      <w:tr w:rsidR="007E31E3" w:rsidRPr="00524435" w14:paraId="21EF13CD" w14:textId="77777777" w:rsidTr="00820229">
        <w:trPr>
          <w:cnfStyle w:val="000000100000" w:firstRow="0" w:lastRow="0" w:firstColumn="0" w:lastColumn="0" w:oddVBand="0" w:evenVBand="0" w:oddHBand="1" w:evenHBand="0" w:firstRowFirstColumn="0" w:firstRowLastColumn="0" w:lastRowFirstColumn="0" w:lastRowLastColumn="0"/>
          <w:trHeight w:val="495"/>
          <w:jc w:val="center"/>
        </w:trPr>
        <w:tc>
          <w:tcPr>
            <w:tcW w:w="2250" w:type="dxa"/>
          </w:tcPr>
          <w:p w14:paraId="469E223A" w14:textId="77777777" w:rsidR="007E31E3" w:rsidRPr="00E42B49" w:rsidRDefault="007E31E3" w:rsidP="0009324C">
            <w:pPr>
              <w:widowControl w:val="0"/>
              <w:numPr>
                <w:ilvl w:val="0"/>
                <w:numId w:val="18"/>
              </w:numPr>
              <w:tabs>
                <w:tab w:val="num" w:pos="522"/>
              </w:tabs>
              <w:ind w:firstLine="0"/>
              <w:jc w:val="both"/>
              <w:outlineLvl w:val="0"/>
              <w:rPr>
                <w:rFonts w:ascii="Cambria" w:hAnsi="Cambria" w:cstheme="minorHAnsi"/>
                <w:sz w:val="18"/>
                <w:szCs w:val="18"/>
                <w:lang w:val="es-US"/>
              </w:rPr>
            </w:pPr>
            <w:r w:rsidRPr="00E42B49">
              <w:rPr>
                <w:rFonts w:ascii="Cambria" w:hAnsi="Cambria" w:cstheme="minorHAnsi"/>
                <w:sz w:val="18"/>
                <w:szCs w:val="18"/>
                <w:lang w:val="es-US"/>
              </w:rPr>
              <w:t xml:space="preserve">Case 11.805,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124/12, Carlos Enrique Jaco (Honduras)</w:t>
            </w:r>
            <w:r w:rsidRPr="00524435">
              <w:rPr>
                <w:rFonts w:ascii="Cambria" w:hAnsi="Cambria" w:cstheme="minorHAnsi"/>
                <w:sz w:val="18"/>
                <w:szCs w:val="18"/>
                <w:vertAlign w:val="superscript"/>
              </w:rPr>
              <w:footnoteReference w:id="87"/>
            </w:r>
          </w:p>
        </w:tc>
        <w:tc>
          <w:tcPr>
            <w:tcW w:w="1170" w:type="dxa"/>
            <w:vMerge w:val="restart"/>
          </w:tcPr>
          <w:p w14:paraId="3B93D5C6" w14:textId="7C25C4D0" w:rsidR="007E31E3" w:rsidRPr="00524435" w:rsidRDefault="006B7403" w:rsidP="00820229">
            <w:pPr>
              <w:jc w:val="center"/>
              <w:rPr>
                <w:rFonts w:ascii="Cambria" w:hAnsi="Cambria" w:cstheme="minorHAnsi"/>
                <w:sz w:val="18"/>
                <w:szCs w:val="18"/>
              </w:rPr>
            </w:pPr>
            <w:hyperlink r:id="rId70" w:history="1">
              <w:r w:rsidR="007E31E3" w:rsidRPr="00524435">
                <w:rPr>
                  <w:rStyle w:val="Hyperlink"/>
                  <w:rFonts w:ascii="Cambria" w:hAnsi="Cambria" w:cstheme="minorHAnsi"/>
                  <w:sz w:val="18"/>
                  <w:szCs w:val="18"/>
                </w:rPr>
                <w:t>Link to monitoring sheets on matters related to reports of friendly settlement agreements (Honduras)</w:t>
              </w:r>
            </w:hyperlink>
          </w:p>
        </w:tc>
        <w:tc>
          <w:tcPr>
            <w:tcW w:w="1316" w:type="dxa"/>
          </w:tcPr>
          <w:p w14:paraId="317CEA71" w14:textId="77777777" w:rsidR="007E31E3" w:rsidRPr="00524435" w:rsidRDefault="007E31E3" w:rsidP="00820229">
            <w:pPr>
              <w:widowControl w:val="0"/>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203ABEE7" w14:textId="77777777" w:rsidR="007E31E3" w:rsidRPr="00524435" w:rsidRDefault="007E31E3" w:rsidP="00820229">
            <w:pPr>
              <w:widowControl w:val="0"/>
              <w:jc w:val="center"/>
              <w:rPr>
                <w:rFonts w:ascii="Cambria" w:hAnsi="Cambria" w:cstheme="minorHAnsi"/>
                <w:sz w:val="18"/>
                <w:szCs w:val="18"/>
              </w:rPr>
            </w:pPr>
          </w:p>
        </w:tc>
        <w:tc>
          <w:tcPr>
            <w:tcW w:w="1170" w:type="dxa"/>
          </w:tcPr>
          <w:p w14:paraId="08BA7332" w14:textId="77777777" w:rsidR="007E31E3" w:rsidRPr="00524435" w:rsidRDefault="007E31E3" w:rsidP="00820229">
            <w:pPr>
              <w:widowControl w:val="0"/>
              <w:jc w:val="center"/>
              <w:outlineLvl w:val="2"/>
              <w:rPr>
                <w:rFonts w:ascii="Cambria" w:hAnsi="Cambria" w:cstheme="minorHAnsi"/>
                <w:sz w:val="18"/>
                <w:szCs w:val="18"/>
              </w:rPr>
            </w:pPr>
          </w:p>
        </w:tc>
        <w:tc>
          <w:tcPr>
            <w:tcW w:w="1170" w:type="dxa"/>
          </w:tcPr>
          <w:p w14:paraId="73E1FF61"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400F319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512F3F4D" w14:textId="77777777" w:rsidTr="00820229">
        <w:trPr>
          <w:cnfStyle w:val="000000010000" w:firstRow="0" w:lastRow="0" w:firstColumn="0" w:lastColumn="0" w:oddVBand="0" w:evenVBand="0" w:oddHBand="0" w:evenHBand="1" w:firstRowFirstColumn="0" w:firstRowLastColumn="0" w:lastRowFirstColumn="0" w:lastRowLastColumn="0"/>
          <w:trHeight w:val="1035"/>
          <w:jc w:val="center"/>
        </w:trPr>
        <w:tc>
          <w:tcPr>
            <w:tcW w:w="2250" w:type="dxa"/>
          </w:tcPr>
          <w:p w14:paraId="6BD7690D" w14:textId="77777777" w:rsidR="007E31E3" w:rsidRPr="00E42B49" w:rsidRDefault="007E31E3" w:rsidP="0009324C">
            <w:pPr>
              <w:keepNext/>
              <w:numPr>
                <w:ilvl w:val="0"/>
                <w:numId w:val="18"/>
              </w:numPr>
              <w:tabs>
                <w:tab w:val="num" w:pos="522"/>
              </w:tabs>
              <w:ind w:firstLine="0"/>
              <w:jc w:val="both"/>
              <w:outlineLvl w:val="0"/>
              <w:rPr>
                <w:rFonts w:ascii="Cambria" w:hAnsi="Cambria" w:cstheme="minorHAnsi"/>
                <w:sz w:val="18"/>
                <w:szCs w:val="18"/>
                <w:lang w:val="es-US"/>
              </w:rPr>
            </w:pPr>
            <w:r w:rsidRPr="00E42B49">
              <w:rPr>
                <w:rFonts w:ascii="Cambria" w:hAnsi="Cambria" w:cstheme="minorHAnsi"/>
                <w:sz w:val="18"/>
                <w:szCs w:val="18"/>
                <w:lang w:val="es-US"/>
              </w:rPr>
              <w:t xml:space="preserve">Case 12.547,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62/13, Rigoberto Cacho Reyes (Honduras)</w:t>
            </w:r>
            <w:r w:rsidRPr="00524435">
              <w:rPr>
                <w:rFonts w:ascii="Cambria" w:hAnsi="Cambria" w:cstheme="minorHAnsi"/>
                <w:sz w:val="18"/>
                <w:szCs w:val="18"/>
                <w:vertAlign w:val="superscript"/>
              </w:rPr>
              <w:footnoteReference w:id="88"/>
            </w:r>
          </w:p>
        </w:tc>
        <w:tc>
          <w:tcPr>
            <w:tcW w:w="1170" w:type="dxa"/>
            <w:vMerge/>
          </w:tcPr>
          <w:p w14:paraId="41E5FFCC" w14:textId="77777777" w:rsidR="007E31E3" w:rsidRPr="00E42B49" w:rsidRDefault="007E31E3" w:rsidP="00820229">
            <w:pPr>
              <w:jc w:val="center"/>
              <w:rPr>
                <w:rFonts w:ascii="Cambria" w:hAnsi="Cambria" w:cstheme="minorHAnsi"/>
                <w:sz w:val="18"/>
                <w:szCs w:val="18"/>
                <w:lang w:val="es-US"/>
              </w:rPr>
            </w:pPr>
          </w:p>
        </w:tc>
        <w:tc>
          <w:tcPr>
            <w:tcW w:w="1316" w:type="dxa"/>
          </w:tcPr>
          <w:p w14:paraId="2F931A7D"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396BFE09" w14:textId="77777777" w:rsidR="007E31E3" w:rsidRPr="00524435" w:rsidRDefault="007E31E3" w:rsidP="00820229">
            <w:pPr>
              <w:jc w:val="center"/>
              <w:rPr>
                <w:rFonts w:ascii="Cambria" w:hAnsi="Cambria" w:cstheme="minorHAnsi"/>
                <w:sz w:val="18"/>
                <w:szCs w:val="18"/>
              </w:rPr>
            </w:pPr>
          </w:p>
        </w:tc>
        <w:tc>
          <w:tcPr>
            <w:tcW w:w="1170" w:type="dxa"/>
          </w:tcPr>
          <w:p w14:paraId="7EFD63D3"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59EB9D92"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3F08D70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611B36B1" w14:textId="77777777" w:rsidTr="00820229">
        <w:trPr>
          <w:cnfStyle w:val="000000100000" w:firstRow="0" w:lastRow="0" w:firstColumn="0" w:lastColumn="0" w:oddVBand="0" w:evenVBand="0" w:oddHBand="1" w:evenHBand="0" w:firstRowFirstColumn="0" w:firstRowLastColumn="0" w:lastRowFirstColumn="0" w:lastRowLastColumn="0"/>
          <w:trHeight w:val="1044"/>
          <w:jc w:val="center"/>
        </w:trPr>
        <w:tc>
          <w:tcPr>
            <w:tcW w:w="2250" w:type="dxa"/>
          </w:tcPr>
          <w:p w14:paraId="1C9C598C" w14:textId="77777777" w:rsidR="007E31E3" w:rsidRPr="00524435" w:rsidRDefault="007E31E3" w:rsidP="0009324C">
            <w:pPr>
              <w:keepNext/>
              <w:numPr>
                <w:ilvl w:val="0"/>
                <w:numId w:val="18"/>
              </w:numPr>
              <w:tabs>
                <w:tab w:val="num" w:pos="522"/>
              </w:tabs>
              <w:ind w:firstLine="0"/>
              <w:jc w:val="both"/>
              <w:outlineLvl w:val="0"/>
              <w:rPr>
                <w:rFonts w:ascii="Cambria" w:hAnsi="Cambria" w:cstheme="minorHAnsi"/>
                <w:sz w:val="18"/>
                <w:szCs w:val="18"/>
              </w:rPr>
            </w:pPr>
            <w:r w:rsidRPr="00524435">
              <w:rPr>
                <w:rFonts w:ascii="Cambria" w:hAnsi="Cambria" w:cstheme="minorHAnsi"/>
                <w:sz w:val="18"/>
                <w:szCs w:val="18"/>
              </w:rPr>
              <w:t xml:space="preserve">Case 12.961 C, Report No. 101/19, </w:t>
            </w:r>
            <w:proofErr w:type="spellStart"/>
            <w:r w:rsidRPr="00524435">
              <w:rPr>
                <w:rFonts w:ascii="Cambria" w:hAnsi="Cambria" w:cstheme="minorHAnsi"/>
                <w:sz w:val="18"/>
                <w:szCs w:val="18"/>
              </w:rPr>
              <w:t>Marcial</w:t>
            </w:r>
            <w:proofErr w:type="spellEnd"/>
            <w:r w:rsidRPr="00524435">
              <w:rPr>
                <w:rFonts w:ascii="Cambria" w:hAnsi="Cambria" w:cstheme="minorHAnsi"/>
                <w:sz w:val="18"/>
                <w:szCs w:val="18"/>
              </w:rPr>
              <w:t xml:space="preserve"> </w:t>
            </w:r>
            <w:proofErr w:type="spellStart"/>
            <w:r w:rsidRPr="00524435">
              <w:rPr>
                <w:rFonts w:ascii="Cambria" w:hAnsi="Cambria" w:cstheme="minorHAnsi"/>
                <w:sz w:val="18"/>
                <w:szCs w:val="18"/>
              </w:rPr>
              <w:t>Coello</w:t>
            </w:r>
            <w:proofErr w:type="spellEnd"/>
            <w:r w:rsidRPr="00524435">
              <w:rPr>
                <w:rFonts w:ascii="Cambria" w:hAnsi="Cambria" w:cstheme="minorHAnsi"/>
                <w:sz w:val="18"/>
                <w:szCs w:val="18"/>
              </w:rPr>
              <w:t xml:space="preserve"> </w:t>
            </w:r>
            <w:proofErr w:type="gramStart"/>
            <w:r w:rsidRPr="00524435">
              <w:rPr>
                <w:rFonts w:ascii="Cambria" w:hAnsi="Cambria" w:cstheme="minorHAnsi"/>
                <w:sz w:val="18"/>
                <w:szCs w:val="18"/>
              </w:rPr>
              <w:t>Medina</w:t>
            </w:r>
            <w:proofErr w:type="gramEnd"/>
            <w:r w:rsidRPr="00524435">
              <w:rPr>
                <w:rFonts w:ascii="Cambria" w:hAnsi="Cambria" w:cstheme="minorHAnsi"/>
                <w:sz w:val="18"/>
                <w:szCs w:val="18"/>
              </w:rPr>
              <w:t xml:space="preserve"> and Others (Honduras)</w:t>
            </w:r>
            <w:r w:rsidRPr="00524435">
              <w:rPr>
                <w:rFonts w:ascii="Cambria" w:hAnsi="Cambria" w:cstheme="minorHAnsi"/>
                <w:sz w:val="18"/>
                <w:szCs w:val="18"/>
                <w:vertAlign w:val="superscript"/>
              </w:rPr>
              <w:t xml:space="preserve"> </w:t>
            </w:r>
            <w:r w:rsidRPr="00524435">
              <w:rPr>
                <w:rFonts w:ascii="Cambria" w:hAnsi="Cambria" w:cstheme="minorHAnsi"/>
                <w:sz w:val="18"/>
                <w:szCs w:val="18"/>
                <w:vertAlign w:val="superscript"/>
              </w:rPr>
              <w:footnoteReference w:id="89"/>
            </w:r>
          </w:p>
        </w:tc>
        <w:tc>
          <w:tcPr>
            <w:tcW w:w="1170" w:type="dxa"/>
            <w:vMerge/>
          </w:tcPr>
          <w:p w14:paraId="35240AE7" w14:textId="77777777" w:rsidR="007E31E3" w:rsidRPr="00524435" w:rsidRDefault="007E31E3" w:rsidP="00820229">
            <w:pPr>
              <w:jc w:val="center"/>
              <w:rPr>
                <w:rFonts w:ascii="Cambria" w:hAnsi="Cambria" w:cstheme="minorHAnsi"/>
                <w:sz w:val="18"/>
                <w:szCs w:val="18"/>
              </w:rPr>
            </w:pPr>
          </w:p>
        </w:tc>
        <w:tc>
          <w:tcPr>
            <w:tcW w:w="1316" w:type="dxa"/>
          </w:tcPr>
          <w:p w14:paraId="42C31EDA"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5283705A" w14:textId="77777777" w:rsidR="007E31E3" w:rsidRPr="00524435" w:rsidRDefault="007E31E3" w:rsidP="00820229">
            <w:pPr>
              <w:jc w:val="center"/>
              <w:rPr>
                <w:rFonts w:ascii="Cambria" w:hAnsi="Cambria" w:cstheme="minorHAnsi"/>
                <w:sz w:val="18"/>
                <w:szCs w:val="18"/>
              </w:rPr>
            </w:pPr>
          </w:p>
        </w:tc>
        <w:tc>
          <w:tcPr>
            <w:tcW w:w="1170" w:type="dxa"/>
          </w:tcPr>
          <w:p w14:paraId="177A20C3"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43479A2D"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2CF2992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p w14:paraId="71EB0B3E" w14:textId="77777777" w:rsidR="007E31E3" w:rsidRPr="00524435" w:rsidRDefault="007E31E3" w:rsidP="00820229">
            <w:pPr>
              <w:jc w:val="center"/>
              <w:rPr>
                <w:rFonts w:ascii="Cambria" w:hAnsi="Cambria" w:cstheme="minorHAnsi"/>
                <w:sz w:val="18"/>
                <w:szCs w:val="18"/>
              </w:rPr>
            </w:pPr>
          </w:p>
        </w:tc>
      </w:tr>
      <w:tr w:rsidR="007E31E3" w:rsidRPr="00524435" w14:paraId="79640C71" w14:textId="77777777" w:rsidTr="00820229">
        <w:trPr>
          <w:cnfStyle w:val="000000010000" w:firstRow="0" w:lastRow="0" w:firstColumn="0" w:lastColumn="0" w:oddVBand="0" w:evenVBand="0" w:oddHBand="0" w:evenHBand="1" w:firstRowFirstColumn="0" w:firstRowLastColumn="0" w:lastRowFirstColumn="0" w:lastRowLastColumn="0"/>
          <w:trHeight w:val="1233"/>
          <w:jc w:val="center"/>
        </w:trPr>
        <w:tc>
          <w:tcPr>
            <w:tcW w:w="2250" w:type="dxa"/>
          </w:tcPr>
          <w:p w14:paraId="6C0E172A" w14:textId="77777777" w:rsidR="007E31E3" w:rsidRPr="00524435" w:rsidRDefault="007E31E3" w:rsidP="0009324C">
            <w:pPr>
              <w:keepNext/>
              <w:numPr>
                <w:ilvl w:val="0"/>
                <w:numId w:val="18"/>
              </w:numPr>
              <w:tabs>
                <w:tab w:val="num" w:pos="522"/>
              </w:tabs>
              <w:ind w:firstLine="0"/>
              <w:jc w:val="both"/>
              <w:outlineLvl w:val="0"/>
              <w:rPr>
                <w:rFonts w:ascii="Cambria" w:hAnsi="Cambria" w:cstheme="minorHAnsi"/>
                <w:sz w:val="18"/>
                <w:szCs w:val="18"/>
              </w:rPr>
            </w:pPr>
            <w:r w:rsidRPr="00524435">
              <w:rPr>
                <w:rFonts w:ascii="Cambria" w:hAnsi="Cambria" w:cstheme="minorHAnsi"/>
                <w:sz w:val="18"/>
                <w:szCs w:val="18"/>
              </w:rPr>
              <w:t xml:space="preserve">Case 12.961 D, Report No. 104/19, Jorge Enrique Valladares </w:t>
            </w:r>
            <w:proofErr w:type="spellStart"/>
            <w:r w:rsidRPr="00524435">
              <w:rPr>
                <w:rFonts w:ascii="Cambria" w:hAnsi="Cambria" w:cstheme="minorHAnsi"/>
                <w:sz w:val="18"/>
                <w:szCs w:val="18"/>
              </w:rPr>
              <w:t>Argueñal</w:t>
            </w:r>
            <w:proofErr w:type="spellEnd"/>
            <w:r w:rsidRPr="00524435">
              <w:rPr>
                <w:rFonts w:ascii="Cambria" w:hAnsi="Cambria" w:cstheme="minorHAnsi"/>
                <w:sz w:val="18"/>
                <w:szCs w:val="18"/>
              </w:rPr>
              <w:t xml:space="preserve"> and Others (Honduras)</w:t>
            </w:r>
            <w:r w:rsidRPr="00524435">
              <w:rPr>
                <w:rFonts w:ascii="Cambria" w:hAnsi="Cambria" w:cstheme="minorHAnsi"/>
                <w:sz w:val="18"/>
                <w:szCs w:val="18"/>
                <w:vertAlign w:val="superscript"/>
              </w:rPr>
              <w:t xml:space="preserve"> </w:t>
            </w:r>
            <w:r w:rsidRPr="00524435">
              <w:rPr>
                <w:rFonts w:ascii="Cambria" w:hAnsi="Cambria" w:cstheme="minorHAnsi"/>
                <w:sz w:val="18"/>
                <w:szCs w:val="18"/>
                <w:vertAlign w:val="superscript"/>
              </w:rPr>
              <w:footnoteReference w:id="90"/>
            </w:r>
          </w:p>
        </w:tc>
        <w:tc>
          <w:tcPr>
            <w:tcW w:w="1170" w:type="dxa"/>
            <w:vMerge/>
          </w:tcPr>
          <w:p w14:paraId="739B918D" w14:textId="77777777" w:rsidR="007E31E3" w:rsidRPr="00524435" w:rsidRDefault="007E31E3" w:rsidP="00820229">
            <w:pPr>
              <w:jc w:val="center"/>
              <w:rPr>
                <w:rFonts w:ascii="Cambria" w:hAnsi="Cambria" w:cstheme="minorHAnsi"/>
                <w:sz w:val="18"/>
                <w:szCs w:val="18"/>
              </w:rPr>
            </w:pPr>
          </w:p>
        </w:tc>
        <w:tc>
          <w:tcPr>
            <w:tcW w:w="1316" w:type="dxa"/>
          </w:tcPr>
          <w:p w14:paraId="322BD29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563BF61A" w14:textId="77777777" w:rsidR="007E31E3" w:rsidRPr="00524435" w:rsidRDefault="007E31E3" w:rsidP="00820229">
            <w:pPr>
              <w:jc w:val="center"/>
              <w:rPr>
                <w:rFonts w:ascii="Cambria" w:hAnsi="Cambria" w:cstheme="minorHAnsi"/>
                <w:sz w:val="18"/>
                <w:szCs w:val="18"/>
              </w:rPr>
            </w:pPr>
          </w:p>
        </w:tc>
        <w:tc>
          <w:tcPr>
            <w:tcW w:w="1170" w:type="dxa"/>
          </w:tcPr>
          <w:p w14:paraId="555D2334"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711C60F9"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68C11D8D"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p w14:paraId="5397960B" w14:textId="77777777" w:rsidR="007E31E3" w:rsidRPr="00524435" w:rsidRDefault="007E31E3" w:rsidP="00820229">
            <w:pPr>
              <w:jc w:val="center"/>
              <w:rPr>
                <w:rFonts w:ascii="Cambria" w:hAnsi="Cambria" w:cstheme="minorHAnsi"/>
                <w:sz w:val="18"/>
                <w:szCs w:val="18"/>
              </w:rPr>
            </w:pPr>
          </w:p>
        </w:tc>
      </w:tr>
      <w:tr w:rsidR="007E31E3" w:rsidRPr="00524435" w14:paraId="5CD6C3CB" w14:textId="77777777" w:rsidTr="00820229">
        <w:trPr>
          <w:cnfStyle w:val="000000100000" w:firstRow="0" w:lastRow="0" w:firstColumn="0" w:lastColumn="0" w:oddVBand="0" w:evenVBand="0" w:oddHBand="1" w:evenHBand="0" w:firstRowFirstColumn="0" w:firstRowLastColumn="0" w:lastRowFirstColumn="0" w:lastRowLastColumn="0"/>
          <w:trHeight w:val="1188"/>
          <w:jc w:val="center"/>
        </w:trPr>
        <w:tc>
          <w:tcPr>
            <w:tcW w:w="2250" w:type="dxa"/>
          </w:tcPr>
          <w:p w14:paraId="0E3E5333" w14:textId="77777777" w:rsidR="007E31E3" w:rsidRPr="00524435" w:rsidRDefault="007E31E3" w:rsidP="0009324C">
            <w:pPr>
              <w:keepNext/>
              <w:numPr>
                <w:ilvl w:val="0"/>
                <w:numId w:val="18"/>
              </w:numPr>
              <w:tabs>
                <w:tab w:val="num" w:pos="522"/>
              </w:tabs>
              <w:ind w:firstLine="0"/>
              <w:jc w:val="both"/>
              <w:outlineLvl w:val="0"/>
              <w:rPr>
                <w:rFonts w:ascii="Cambria" w:hAnsi="Cambria" w:cstheme="minorHAnsi"/>
                <w:sz w:val="18"/>
                <w:szCs w:val="18"/>
              </w:rPr>
            </w:pPr>
            <w:r w:rsidRPr="00524435">
              <w:rPr>
                <w:rFonts w:ascii="Cambria" w:hAnsi="Cambria" w:cstheme="minorHAnsi"/>
                <w:sz w:val="18"/>
                <w:szCs w:val="18"/>
              </w:rPr>
              <w:t xml:space="preserve">Case 12.961 A, Report No. 105/19, Bolívar Salgado </w:t>
            </w:r>
            <w:proofErr w:type="spellStart"/>
            <w:r w:rsidRPr="00524435">
              <w:rPr>
                <w:rFonts w:ascii="Cambria" w:hAnsi="Cambria" w:cstheme="minorHAnsi"/>
                <w:sz w:val="18"/>
                <w:szCs w:val="18"/>
              </w:rPr>
              <w:t>Welban</w:t>
            </w:r>
            <w:proofErr w:type="spellEnd"/>
            <w:r w:rsidRPr="00524435">
              <w:rPr>
                <w:rFonts w:ascii="Cambria" w:hAnsi="Cambria" w:cstheme="minorHAnsi"/>
                <w:sz w:val="18"/>
                <w:szCs w:val="18"/>
              </w:rPr>
              <w:t xml:space="preserve"> and Others (Honduras)</w:t>
            </w:r>
            <w:r w:rsidRPr="00524435">
              <w:rPr>
                <w:rFonts w:ascii="Cambria" w:hAnsi="Cambria" w:cstheme="minorHAnsi"/>
                <w:sz w:val="18"/>
                <w:szCs w:val="18"/>
                <w:vertAlign w:val="superscript"/>
              </w:rPr>
              <w:t xml:space="preserve"> </w:t>
            </w:r>
            <w:r w:rsidRPr="00524435">
              <w:rPr>
                <w:rFonts w:ascii="Cambria" w:hAnsi="Cambria" w:cstheme="minorHAnsi"/>
                <w:sz w:val="18"/>
                <w:szCs w:val="18"/>
                <w:vertAlign w:val="superscript"/>
              </w:rPr>
              <w:footnoteReference w:id="91"/>
            </w:r>
          </w:p>
        </w:tc>
        <w:tc>
          <w:tcPr>
            <w:tcW w:w="1170" w:type="dxa"/>
            <w:vMerge/>
          </w:tcPr>
          <w:p w14:paraId="080A80A8" w14:textId="77777777" w:rsidR="007E31E3" w:rsidRPr="00524435" w:rsidRDefault="007E31E3" w:rsidP="00820229">
            <w:pPr>
              <w:jc w:val="center"/>
              <w:rPr>
                <w:rFonts w:ascii="Cambria" w:hAnsi="Cambria" w:cstheme="minorHAnsi"/>
                <w:sz w:val="18"/>
                <w:szCs w:val="18"/>
              </w:rPr>
            </w:pPr>
          </w:p>
        </w:tc>
        <w:tc>
          <w:tcPr>
            <w:tcW w:w="1316" w:type="dxa"/>
          </w:tcPr>
          <w:p w14:paraId="15F65831"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26A21B41" w14:textId="77777777" w:rsidR="007E31E3" w:rsidRPr="00524435" w:rsidRDefault="007E31E3" w:rsidP="00820229">
            <w:pPr>
              <w:jc w:val="center"/>
              <w:rPr>
                <w:rFonts w:ascii="Cambria" w:hAnsi="Cambria" w:cstheme="minorHAnsi"/>
                <w:sz w:val="18"/>
                <w:szCs w:val="18"/>
              </w:rPr>
            </w:pPr>
          </w:p>
        </w:tc>
        <w:tc>
          <w:tcPr>
            <w:tcW w:w="1170" w:type="dxa"/>
          </w:tcPr>
          <w:p w14:paraId="33FC6315"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7471E7A1"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50D004D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p w14:paraId="5757C2BD" w14:textId="77777777" w:rsidR="007E31E3" w:rsidRPr="00524435" w:rsidRDefault="007E31E3" w:rsidP="00820229">
            <w:pPr>
              <w:jc w:val="center"/>
              <w:rPr>
                <w:rFonts w:ascii="Cambria" w:hAnsi="Cambria" w:cstheme="minorHAnsi"/>
                <w:sz w:val="18"/>
                <w:szCs w:val="18"/>
              </w:rPr>
            </w:pPr>
          </w:p>
        </w:tc>
      </w:tr>
      <w:tr w:rsidR="007E31E3" w:rsidRPr="00524435" w14:paraId="742EDFC3" w14:textId="77777777" w:rsidTr="00820229">
        <w:trPr>
          <w:cnfStyle w:val="000000010000" w:firstRow="0" w:lastRow="0" w:firstColumn="0" w:lastColumn="0" w:oddVBand="0" w:evenVBand="0" w:oddHBand="0" w:evenHBand="1" w:firstRowFirstColumn="0" w:firstRowLastColumn="0" w:lastRowFirstColumn="0" w:lastRowLastColumn="0"/>
          <w:trHeight w:val="1161"/>
          <w:jc w:val="center"/>
        </w:trPr>
        <w:tc>
          <w:tcPr>
            <w:tcW w:w="2250" w:type="dxa"/>
          </w:tcPr>
          <w:p w14:paraId="36223B9B" w14:textId="77777777" w:rsidR="007E31E3" w:rsidRPr="00524435" w:rsidRDefault="007E31E3" w:rsidP="0009324C">
            <w:pPr>
              <w:keepNext/>
              <w:numPr>
                <w:ilvl w:val="0"/>
                <w:numId w:val="18"/>
              </w:numPr>
              <w:tabs>
                <w:tab w:val="num" w:pos="522"/>
              </w:tabs>
              <w:ind w:firstLine="0"/>
              <w:jc w:val="both"/>
              <w:outlineLvl w:val="0"/>
              <w:rPr>
                <w:rFonts w:ascii="Cambria" w:hAnsi="Cambria" w:cstheme="minorHAnsi"/>
                <w:sz w:val="18"/>
                <w:szCs w:val="18"/>
              </w:rPr>
            </w:pPr>
            <w:r w:rsidRPr="00524435">
              <w:rPr>
                <w:rFonts w:ascii="Cambria" w:hAnsi="Cambria" w:cstheme="minorHAnsi"/>
                <w:sz w:val="18"/>
                <w:szCs w:val="18"/>
              </w:rPr>
              <w:t xml:space="preserve">Case 12.961 F, Report 20/20, Miguel Angel Chinchilla </w:t>
            </w:r>
            <w:proofErr w:type="spellStart"/>
            <w:proofErr w:type="gramStart"/>
            <w:r w:rsidRPr="00524435">
              <w:rPr>
                <w:rFonts w:ascii="Cambria" w:hAnsi="Cambria" w:cstheme="minorHAnsi"/>
                <w:sz w:val="18"/>
                <w:szCs w:val="18"/>
              </w:rPr>
              <w:t>Erazo</w:t>
            </w:r>
            <w:proofErr w:type="spellEnd"/>
            <w:proofErr w:type="gramEnd"/>
            <w:r w:rsidRPr="00524435">
              <w:rPr>
                <w:rFonts w:ascii="Cambria" w:hAnsi="Cambria" w:cstheme="minorHAnsi"/>
                <w:sz w:val="18"/>
                <w:szCs w:val="18"/>
              </w:rPr>
              <w:t xml:space="preserve"> and others (Honduras)</w:t>
            </w:r>
            <w:r w:rsidRPr="00524435">
              <w:rPr>
                <w:rStyle w:val="FootnoteReference"/>
                <w:rFonts w:ascii="Cambria" w:hAnsi="Cambria" w:cstheme="minorHAnsi"/>
                <w:sz w:val="18"/>
                <w:szCs w:val="18"/>
              </w:rPr>
              <w:footnoteReference w:id="92"/>
            </w:r>
          </w:p>
        </w:tc>
        <w:tc>
          <w:tcPr>
            <w:tcW w:w="1170" w:type="dxa"/>
            <w:vMerge/>
          </w:tcPr>
          <w:p w14:paraId="5A55829F" w14:textId="77777777" w:rsidR="007E31E3" w:rsidRPr="00524435" w:rsidRDefault="007E31E3" w:rsidP="00820229">
            <w:pPr>
              <w:jc w:val="center"/>
              <w:rPr>
                <w:rFonts w:ascii="Cambria" w:hAnsi="Cambria" w:cstheme="minorHAnsi"/>
                <w:sz w:val="18"/>
                <w:szCs w:val="18"/>
              </w:rPr>
            </w:pPr>
          </w:p>
        </w:tc>
        <w:tc>
          <w:tcPr>
            <w:tcW w:w="1316" w:type="dxa"/>
          </w:tcPr>
          <w:p w14:paraId="1D80FB62"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7838AE79" w14:textId="77777777" w:rsidR="007E31E3" w:rsidRPr="00524435" w:rsidRDefault="007E31E3" w:rsidP="00820229">
            <w:pPr>
              <w:jc w:val="center"/>
              <w:rPr>
                <w:rFonts w:ascii="Cambria" w:hAnsi="Cambria" w:cstheme="minorHAnsi"/>
                <w:sz w:val="18"/>
                <w:szCs w:val="18"/>
              </w:rPr>
            </w:pPr>
          </w:p>
        </w:tc>
        <w:tc>
          <w:tcPr>
            <w:tcW w:w="1170" w:type="dxa"/>
          </w:tcPr>
          <w:p w14:paraId="318A49ED"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2142C737"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19E152B6"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2830BA0D" w14:textId="77777777" w:rsidTr="00820229">
        <w:trPr>
          <w:cnfStyle w:val="000000100000" w:firstRow="0" w:lastRow="0" w:firstColumn="0" w:lastColumn="0" w:oddVBand="0" w:evenVBand="0" w:oddHBand="1" w:evenHBand="0" w:firstRowFirstColumn="0" w:firstRowLastColumn="0" w:lastRowFirstColumn="0" w:lastRowLastColumn="0"/>
          <w:trHeight w:val="918"/>
          <w:jc w:val="center"/>
        </w:trPr>
        <w:tc>
          <w:tcPr>
            <w:tcW w:w="2250" w:type="dxa"/>
          </w:tcPr>
          <w:p w14:paraId="454B3F44" w14:textId="77777777" w:rsidR="007E31E3" w:rsidRPr="00E42B49" w:rsidRDefault="007E31E3" w:rsidP="0009324C">
            <w:pPr>
              <w:keepNext/>
              <w:numPr>
                <w:ilvl w:val="0"/>
                <w:numId w:val="18"/>
              </w:numPr>
              <w:tabs>
                <w:tab w:val="num" w:pos="522"/>
              </w:tabs>
              <w:ind w:firstLine="0"/>
              <w:jc w:val="both"/>
              <w:outlineLvl w:val="0"/>
              <w:rPr>
                <w:rFonts w:ascii="Cambria" w:hAnsi="Cambria" w:cstheme="minorHAnsi"/>
                <w:sz w:val="18"/>
                <w:szCs w:val="18"/>
                <w:lang w:val="es-US"/>
              </w:rPr>
            </w:pPr>
            <w:r w:rsidRPr="00E42B49">
              <w:rPr>
                <w:rFonts w:ascii="Cambria" w:hAnsi="Cambria" w:cstheme="minorHAnsi"/>
                <w:sz w:val="18"/>
                <w:szCs w:val="18"/>
                <w:lang w:val="es-US"/>
              </w:rPr>
              <w:t xml:space="preserve">Case 12.891,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212/20, </w:t>
            </w:r>
            <w:proofErr w:type="spellStart"/>
            <w:r w:rsidRPr="00E42B49">
              <w:rPr>
                <w:rFonts w:ascii="Cambria" w:hAnsi="Cambria" w:cstheme="minorHAnsi"/>
                <w:sz w:val="18"/>
                <w:szCs w:val="18"/>
                <w:lang w:val="es-US"/>
              </w:rPr>
              <w:t>Adan</w:t>
            </w:r>
            <w:proofErr w:type="spellEnd"/>
            <w:r w:rsidRPr="00E42B49">
              <w:rPr>
                <w:rFonts w:ascii="Cambria" w:hAnsi="Cambria" w:cstheme="minorHAnsi"/>
                <w:sz w:val="18"/>
                <w:szCs w:val="18"/>
                <w:lang w:val="es-US"/>
              </w:rPr>
              <w:t xml:space="preserve"> Guillermo López </w:t>
            </w:r>
            <w:proofErr w:type="spellStart"/>
            <w:r w:rsidRPr="00E42B49">
              <w:rPr>
                <w:rFonts w:ascii="Cambria" w:hAnsi="Cambria" w:cstheme="minorHAnsi"/>
                <w:sz w:val="18"/>
                <w:szCs w:val="18"/>
                <w:lang w:val="es-US"/>
              </w:rPr>
              <w:t>Lone</w:t>
            </w:r>
            <w:proofErr w:type="spellEnd"/>
            <w:r w:rsidRPr="00E42B49">
              <w:rPr>
                <w:rFonts w:ascii="Cambria" w:hAnsi="Cambria" w:cstheme="minorHAnsi"/>
                <w:sz w:val="18"/>
                <w:szCs w:val="18"/>
                <w:lang w:val="es-US"/>
              </w:rPr>
              <w:t xml:space="preserve"> et al. (Honduras)</w:t>
            </w:r>
          </w:p>
        </w:tc>
        <w:tc>
          <w:tcPr>
            <w:tcW w:w="1170" w:type="dxa"/>
            <w:vMerge/>
          </w:tcPr>
          <w:p w14:paraId="72C6DE41" w14:textId="77777777" w:rsidR="007E31E3" w:rsidRPr="00E42B49" w:rsidRDefault="007E31E3" w:rsidP="00820229">
            <w:pPr>
              <w:jc w:val="center"/>
              <w:rPr>
                <w:rFonts w:ascii="Cambria" w:hAnsi="Cambria" w:cstheme="minorHAnsi"/>
                <w:sz w:val="18"/>
                <w:szCs w:val="18"/>
                <w:lang w:val="es-US"/>
              </w:rPr>
            </w:pPr>
          </w:p>
        </w:tc>
        <w:tc>
          <w:tcPr>
            <w:tcW w:w="1316" w:type="dxa"/>
          </w:tcPr>
          <w:p w14:paraId="5249598D" w14:textId="77777777" w:rsidR="007E31E3" w:rsidRPr="00E42B49" w:rsidRDefault="007E31E3" w:rsidP="00820229">
            <w:pPr>
              <w:jc w:val="center"/>
              <w:rPr>
                <w:rFonts w:ascii="Cambria" w:hAnsi="Cambria" w:cstheme="minorHAnsi"/>
                <w:sz w:val="18"/>
                <w:szCs w:val="18"/>
                <w:lang w:val="es-US"/>
              </w:rPr>
            </w:pPr>
          </w:p>
        </w:tc>
        <w:tc>
          <w:tcPr>
            <w:tcW w:w="1170" w:type="dxa"/>
          </w:tcPr>
          <w:p w14:paraId="62FD4C77"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2A6B4DB2"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71905EA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68%</w:t>
            </w:r>
          </w:p>
        </w:tc>
        <w:tc>
          <w:tcPr>
            <w:tcW w:w="1260" w:type="dxa"/>
          </w:tcPr>
          <w:p w14:paraId="4A8D422E"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42B3DB7B" w14:textId="77777777" w:rsidTr="00820229">
        <w:trPr>
          <w:cnfStyle w:val="000000010000" w:firstRow="0" w:lastRow="0" w:firstColumn="0" w:lastColumn="0" w:oddVBand="0" w:evenVBand="0" w:oddHBand="0" w:evenHBand="1" w:firstRowFirstColumn="0" w:firstRowLastColumn="0" w:lastRowFirstColumn="0" w:lastRowLastColumn="0"/>
          <w:trHeight w:val="1188"/>
          <w:jc w:val="center"/>
        </w:trPr>
        <w:tc>
          <w:tcPr>
            <w:tcW w:w="2250" w:type="dxa"/>
          </w:tcPr>
          <w:p w14:paraId="705E484E" w14:textId="77777777" w:rsidR="007E31E3" w:rsidRPr="00E42B49" w:rsidRDefault="007E31E3" w:rsidP="0009324C">
            <w:pPr>
              <w:numPr>
                <w:ilvl w:val="0"/>
                <w:numId w:val="18"/>
              </w:numPr>
              <w:tabs>
                <w:tab w:val="num" w:pos="522"/>
              </w:tabs>
              <w:ind w:firstLine="0"/>
              <w:jc w:val="both"/>
              <w:rPr>
                <w:rFonts w:ascii="Cambria" w:hAnsi="Cambria" w:cstheme="minorHAnsi"/>
                <w:sz w:val="18"/>
                <w:szCs w:val="18"/>
                <w:lang w:val="es-US"/>
              </w:rPr>
            </w:pPr>
            <w:r w:rsidRPr="00E42B49">
              <w:rPr>
                <w:rFonts w:ascii="Cambria" w:hAnsi="Cambria" w:cstheme="minorHAnsi"/>
                <w:sz w:val="18"/>
                <w:szCs w:val="18"/>
                <w:lang w:val="es-US"/>
              </w:rPr>
              <w:t xml:space="preserve">Case 12.972,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334/20, </w:t>
            </w:r>
            <w:r w:rsidRPr="00E42B49">
              <w:rPr>
                <w:rFonts w:ascii="Cambria" w:hAnsi="Cambria" w:cstheme="minorHAnsi"/>
                <w:sz w:val="18"/>
                <w:szCs w:val="18"/>
                <w:lang w:val="es-US"/>
              </w:rPr>
              <w:lastRenderedPageBreak/>
              <w:t>Marcelo Ramón Aguilera Aguilar (Honduras)</w:t>
            </w:r>
            <w:r w:rsidRPr="00E42B49">
              <w:rPr>
                <w:rStyle w:val="FootnoteReference"/>
                <w:rFonts w:ascii="Cambria" w:hAnsi="Cambria" w:cstheme="minorHAnsi"/>
                <w:sz w:val="18"/>
                <w:szCs w:val="18"/>
                <w:lang w:val="es-US"/>
              </w:rPr>
              <w:t xml:space="preserve"> </w:t>
            </w:r>
            <w:r w:rsidRPr="00524435">
              <w:rPr>
                <w:rStyle w:val="FootnoteReference"/>
                <w:rFonts w:ascii="Cambria" w:hAnsi="Cambria" w:cstheme="minorHAnsi"/>
                <w:sz w:val="18"/>
                <w:szCs w:val="18"/>
              </w:rPr>
              <w:footnoteReference w:id="93"/>
            </w:r>
          </w:p>
        </w:tc>
        <w:tc>
          <w:tcPr>
            <w:tcW w:w="1170" w:type="dxa"/>
            <w:vMerge/>
          </w:tcPr>
          <w:p w14:paraId="6C08D264" w14:textId="77777777" w:rsidR="007E31E3" w:rsidRPr="00E42B49" w:rsidRDefault="007E31E3" w:rsidP="00820229">
            <w:pPr>
              <w:jc w:val="center"/>
              <w:rPr>
                <w:rFonts w:ascii="Cambria" w:hAnsi="Cambria" w:cstheme="minorHAnsi"/>
                <w:sz w:val="18"/>
                <w:szCs w:val="18"/>
                <w:lang w:val="es-US"/>
              </w:rPr>
            </w:pPr>
          </w:p>
        </w:tc>
        <w:tc>
          <w:tcPr>
            <w:tcW w:w="1316" w:type="dxa"/>
          </w:tcPr>
          <w:p w14:paraId="297C427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1F0F6824" w14:textId="77777777" w:rsidR="007E31E3" w:rsidRPr="00524435" w:rsidRDefault="007E31E3" w:rsidP="00820229">
            <w:pPr>
              <w:jc w:val="center"/>
              <w:rPr>
                <w:rFonts w:ascii="Cambria" w:hAnsi="Cambria" w:cstheme="minorHAnsi"/>
                <w:sz w:val="18"/>
                <w:szCs w:val="18"/>
              </w:rPr>
            </w:pPr>
          </w:p>
        </w:tc>
        <w:tc>
          <w:tcPr>
            <w:tcW w:w="1170" w:type="dxa"/>
          </w:tcPr>
          <w:p w14:paraId="2D1ADF6E"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7AFA5B32"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71897E01"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1688E6B6" w14:textId="77777777" w:rsidTr="00820229">
        <w:trPr>
          <w:cnfStyle w:val="000000100000" w:firstRow="0" w:lastRow="0" w:firstColumn="0" w:lastColumn="0" w:oddVBand="0" w:evenVBand="0" w:oddHBand="1" w:evenHBand="0" w:firstRowFirstColumn="0" w:firstRowLastColumn="0" w:lastRowFirstColumn="0" w:lastRowLastColumn="0"/>
          <w:trHeight w:val="963"/>
          <w:jc w:val="center"/>
        </w:trPr>
        <w:tc>
          <w:tcPr>
            <w:tcW w:w="2250" w:type="dxa"/>
          </w:tcPr>
          <w:p w14:paraId="08F7E5EA" w14:textId="77777777" w:rsidR="007E31E3" w:rsidRPr="00E42B49" w:rsidRDefault="007E31E3" w:rsidP="0009324C">
            <w:pPr>
              <w:numPr>
                <w:ilvl w:val="0"/>
                <w:numId w:val="18"/>
              </w:numPr>
              <w:tabs>
                <w:tab w:val="num" w:pos="522"/>
              </w:tabs>
              <w:ind w:firstLine="0"/>
              <w:jc w:val="both"/>
              <w:rPr>
                <w:rFonts w:ascii="Cambria" w:hAnsi="Cambria" w:cstheme="minorHAnsi"/>
                <w:sz w:val="18"/>
                <w:szCs w:val="18"/>
                <w:lang w:val="es-US"/>
              </w:rPr>
            </w:pPr>
            <w:r w:rsidRPr="00E42B49">
              <w:rPr>
                <w:rFonts w:ascii="Cambria" w:hAnsi="Cambria" w:cs="Arial"/>
                <w:sz w:val="18"/>
                <w:szCs w:val="18"/>
                <w:lang w:val="es-US" w:eastAsia="es-ES_tradnl"/>
              </w:rPr>
              <w:t xml:space="preserve">Case 11.562, </w:t>
            </w:r>
            <w:proofErr w:type="spellStart"/>
            <w:r w:rsidRPr="00E42B49">
              <w:rPr>
                <w:rFonts w:ascii="Cambria" w:hAnsi="Cambria" w:cs="Arial"/>
                <w:sz w:val="18"/>
                <w:szCs w:val="18"/>
                <w:lang w:val="es-US" w:eastAsia="es-ES_tradnl"/>
              </w:rPr>
              <w:t>Report</w:t>
            </w:r>
            <w:proofErr w:type="spellEnd"/>
            <w:r w:rsidRPr="00E42B49">
              <w:rPr>
                <w:rFonts w:ascii="Cambria" w:hAnsi="Cambria" w:cs="Arial"/>
                <w:sz w:val="18"/>
                <w:szCs w:val="18"/>
                <w:lang w:val="es-US" w:eastAsia="es-ES_tradnl"/>
              </w:rPr>
              <w:t xml:space="preserve"> No. 40/21, Dixie Miguel Urbina Rosales (Honduras)</w:t>
            </w:r>
          </w:p>
        </w:tc>
        <w:tc>
          <w:tcPr>
            <w:tcW w:w="1170" w:type="dxa"/>
            <w:vMerge/>
          </w:tcPr>
          <w:p w14:paraId="293BE886" w14:textId="77777777" w:rsidR="007E31E3" w:rsidRPr="00E42B49" w:rsidRDefault="007E31E3" w:rsidP="00820229">
            <w:pPr>
              <w:jc w:val="center"/>
              <w:rPr>
                <w:rFonts w:ascii="Cambria" w:hAnsi="Cambria" w:cstheme="minorHAnsi"/>
                <w:sz w:val="18"/>
                <w:szCs w:val="18"/>
                <w:lang w:val="es-US"/>
              </w:rPr>
            </w:pPr>
          </w:p>
        </w:tc>
        <w:tc>
          <w:tcPr>
            <w:tcW w:w="1316" w:type="dxa"/>
          </w:tcPr>
          <w:p w14:paraId="7A541E17" w14:textId="77777777" w:rsidR="007E31E3" w:rsidRPr="00E42B49" w:rsidRDefault="007E31E3" w:rsidP="00820229">
            <w:pPr>
              <w:jc w:val="center"/>
              <w:rPr>
                <w:rFonts w:ascii="Cambria" w:hAnsi="Cambria" w:cstheme="minorHAnsi"/>
                <w:sz w:val="18"/>
                <w:szCs w:val="18"/>
                <w:lang w:val="es-US"/>
              </w:rPr>
            </w:pPr>
          </w:p>
        </w:tc>
        <w:tc>
          <w:tcPr>
            <w:tcW w:w="1170" w:type="dxa"/>
          </w:tcPr>
          <w:p w14:paraId="08134827" w14:textId="77777777" w:rsidR="007E31E3" w:rsidRPr="00524435" w:rsidRDefault="007E31E3" w:rsidP="00820229">
            <w:pPr>
              <w:jc w:val="center"/>
              <w:rPr>
                <w:rFonts w:ascii="Cambria" w:hAnsi="Cambria" w:cstheme="minorHAnsi"/>
                <w:sz w:val="18"/>
                <w:szCs w:val="18"/>
              </w:rPr>
            </w:pPr>
            <w:r w:rsidRPr="00524435">
              <w:rPr>
                <w:rFonts w:ascii="Cambria" w:hAnsi="Cambria" w:cs="Arial"/>
                <w:sz w:val="18"/>
                <w:szCs w:val="18"/>
                <w:lang w:eastAsia="es-ES_tradnl"/>
              </w:rPr>
              <w:t>X</w:t>
            </w:r>
          </w:p>
        </w:tc>
        <w:tc>
          <w:tcPr>
            <w:tcW w:w="1170" w:type="dxa"/>
          </w:tcPr>
          <w:p w14:paraId="66C3B3F1"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7CDB1218" w14:textId="77777777" w:rsidR="007E31E3" w:rsidRPr="00524435" w:rsidRDefault="007E31E3" w:rsidP="00820229">
            <w:pPr>
              <w:jc w:val="center"/>
              <w:rPr>
                <w:rFonts w:ascii="Cambria" w:hAnsi="Cambria" w:cstheme="minorHAnsi"/>
                <w:sz w:val="18"/>
                <w:szCs w:val="18"/>
              </w:rPr>
            </w:pPr>
            <w:r w:rsidRPr="00524435">
              <w:rPr>
                <w:rFonts w:ascii="Cambria" w:hAnsi="Cambria" w:cs="Arial"/>
                <w:sz w:val="18"/>
                <w:szCs w:val="18"/>
              </w:rPr>
              <w:t>50%</w:t>
            </w:r>
          </w:p>
        </w:tc>
        <w:tc>
          <w:tcPr>
            <w:tcW w:w="1260" w:type="dxa"/>
          </w:tcPr>
          <w:p w14:paraId="7B5211FC" w14:textId="77777777" w:rsidR="007E31E3" w:rsidRPr="00524435" w:rsidRDefault="007E31E3" w:rsidP="00820229">
            <w:pPr>
              <w:jc w:val="center"/>
              <w:rPr>
                <w:rFonts w:ascii="Cambria" w:hAnsi="Cambria" w:cstheme="minorHAnsi"/>
                <w:sz w:val="18"/>
                <w:szCs w:val="18"/>
              </w:rPr>
            </w:pPr>
            <w:r w:rsidRPr="00524435">
              <w:rPr>
                <w:rFonts w:ascii="Cambria" w:hAnsi="Cambria" w:cs="Arial"/>
                <w:sz w:val="18"/>
                <w:szCs w:val="18"/>
              </w:rPr>
              <w:t>Active</w:t>
            </w:r>
          </w:p>
        </w:tc>
      </w:tr>
      <w:tr w:rsidR="007E31E3" w:rsidRPr="00524435" w14:paraId="227B9131" w14:textId="77777777" w:rsidTr="00820229">
        <w:trPr>
          <w:cnfStyle w:val="000000010000" w:firstRow="0" w:lastRow="0" w:firstColumn="0" w:lastColumn="0" w:oddVBand="0" w:evenVBand="0" w:oddHBand="0" w:evenHBand="1" w:firstRowFirstColumn="0" w:firstRowLastColumn="0" w:lastRowFirstColumn="0" w:lastRowLastColumn="0"/>
          <w:jc w:val="center"/>
        </w:trPr>
        <w:tc>
          <w:tcPr>
            <w:tcW w:w="2250" w:type="dxa"/>
          </w:tcPr>
          <w:p w14:paraId="1D0798D4" w14:textId="77777777" w:rsidR="007E31E3" w:rsidRPr="00E42B49" w:rsidRDefault="007E31E3" w:rsidP="0009324C">
            <w:pPr>
              <w:numPr>
                <w:ilvl w:val="0"/>
                <w:numId w:val="18"/>
              </w:numPr>
              <w:tabs>
                <w:tab w:val="num" w:pos="522"/>
              </w:tabs>
              <w:ind w:firstLine="0"/>
              <w:jc w:val="both"/>
              <w:rPr>
                <w:rFonts w:ascii="Cambria" w:hAnsi="Cambria" w:cs="Arial"/>
                <w:sz w:val="18"/>
                <w:szCs w:val="18"/>
                <w:lang w:val="es-US" w:eastAsia="es-ES_tradnl"/>
              </w:rPr>
            </w:pPr>
            <w:r w:rsidRPr="00E42B49">
              <w:rPr>
                <w:rFonts w:ascii="Cambria" w:hAnsi="Cambria" w:cs="Arial"/>
                <w:sz w:val="18"/>
                <w:szCs w:val="18"/>
                <w:lang w:val="es-US" w:eastAsia="es-ES_tradnl"/>
              </w:rPr>
              <w:t xml:space="preserve">Case 12.961E, </w:t>
            </w:r>
            <w:proofErr w:type="spellStart"/>
            <w:r w:rsidRPr="00E42B49">
              <w:rPr>
                <w:rFonts w:ascii="Cambria" w:hAnsi="Cambria" w:cs="Arial"/>
                <w:sz w:val="18"/>
                <w:szCs w:val="18"/>
                <w:lang w:val="es-US" w:eastAsia="es-ES_tradnl"/>
              </w:rPr>
              <w:t>Report</w:t>
            </w:r>
            <w:proofErr w:type="spellEnd"/>
            <w:r w:rsidRPr="00E42B49">
              <w:rPr>
                <w:rFonts w:ascii="Cambria" w:hAnsi="Cambria" w:cs="Arial"/>
                <w:sz w:val="18"/>
                <w:szCs w:val="18"/>
                <w:lang w:val="es-US" w:eastAsia="es-ES_tradnl"/>
              </w:rPr>
              <w:t xml:space="preserve"> No. 42/21, </w:t>
            </w:r>
            <w:proofErr w:type="spellStart"/>
            <w:r w:rsidRPr="00E42B49">
              <w:rPr>
                <w:rFonts w:ascii="Cambria" w:hAnsi="Cambria" w:cs="Arial"/>
                <w:sz w:val="18"/>
                <w:szCs w:val="18"/>
                <w:lang w:val="es-US" w:eastAsia="es-ES_tradnl"/>
              </w:rPr>
              <w:t>Ecar</w:t>
            </w:r>
            <w:proofErr w:type="spellEnd"/>
            <w:r w:rsidRPr="00E42B49">
              <w:rPr>
                <w:rFonts w:ascii="Cambria" w:hAnsi="Cambria" w:cs="Arial"/>
                <w:sz w:val="18"/>
                <w:szCs w:val="18"/>
                <w:lang w:val="es-US" w:eastAsia="es-ES_tradnl"/>
              </w:rPr>
              <w:t xml:space="preserve"> Fernando Zavala Valladares and </w:t>
            </w:r>
            <w:proofErr w:type="spellStart"/>
            <w:r w:rsidRPr="00E42B49">
              <w:rPr>
                <w:rFonts w:ascii="Cambria" w:hAnsi="Cambria" w:cs="Arial"/>
                <w:sz w:val="18"/>
                <w:szCs w:val="18"/>
                <w:lang w:val="es-US" w:eastAsia="es-ES_tradnl"/>
              </w:rPr>
              <w:t>Others</w:t>
            </w:r>
            <w:proofErr w:type="spellEnd"/>
            <w:r w:rsidRPr="00E42B49">
              <w:rPr>
                <w:rFonts w:ascii="Cambria" w:hAnsi="Cambria" w:cs="Arial"/>
                <w:sz w:val="18"/>
                <w:szCs w:val="18"/>
                <w:lang w:val="es-US" w:eastAsia="es-ES_tradnl"/>
              </w:rPr>
              <w:t xml:space="preserve"> (Honduras)</w:t>
            </w:r>
            <w:r w:rsidRPr="00524435">
              <w:rPr>
                <w:rStyle w:val="FootnoteReference"/>
                <w:rFonts w:ascii="Cambria" w:hAnsi="Cambria" w:cs="Arial"/>
                <w:sz w:val="18"/>
                <w:szCs w:val="18"/>
                <w:lang w:eastAsia="es-ES_tradnl"/>
              </w:rPr>
              <w:footnoteReference w:id="94"/>
            </w:r>
          </w:p>
        </w:tc>
        <w:tc>
          <w:tcPr>
            <w:tcW w:w="1170" w:type="dxa"/>
            <w:vMerge/>
          </w:tcPr>
          <w:p w14:paraId="477EC625" w14:textId="77777777" w:rsidR="007E31E3" w:rsidRPr="00E42B49" w:rsidRDefault="007E31E3" w:rsidP="00820229">
            <w:pPr>
              <w:jc w:val="center"/>
              <w:rPr>
                <w:rFonts w:ascii="Cambria" w:hAnsi="Cambria" w:cstheme="minorHAnsi"/>
                <w:sz w:val="18"/>
                <w:szCs w:val="18"/>
                <w:lang w:val="es-US"/>
              </w:rPr>
            </w:pPr>
          </w:p>
        </w:tc>
        <w:tc>
          <w:tcPr>
            <w:tcW w:w="1316" w:type="dxa"/>
          </w:tcPr>
          <w:p w14:paraId="65845E11" w14:textId="77777777" w:rsidR="007E31E3" w:rsidRPr="00524435" w:rsidRDefault="007E31E3" w:rsidP="00820229">
            <w:pPr>
              <w:jc w:val="center"/>
              <w:rPr>
                <w:rFonts w:ascii="Cambria" w:hAnsi="Cambria" w:cstheme="minorHAnsi"/>
                <w:sz w:val="18"/>
                <w:szCs w:val="18"/>
              </w:rPr>
            </w:pPr>
            <w:r w:rsidRPr="00524435">
              <w:rPr>
                <w:rFonts w:ascii="Cambria" w:hAnsi="Cambria" w:cs="Arial"/>
                <w:sz w:val="18"/>
                <w:szCs w:val="18"/>
                <w:lang w:eastAsia="es-ES_tradnl"/>
              </w:rPr>
              <w:t>X</w:t>
            </w:r>
          </w:p>
        </w:tc>
        <w:tc>
          <w:tcPr>
            <w:tcW w:w="1170" w:type="dxa"/>
          </w:tcPr>
          <w:p w14:paraId="2219B035" w14:textId="77777777" w:rsidR="007E31E3" w:rsidRPr="00524435" w:rsidRDefault="007E31E3" w:rsidP="00820229">
            <w:pPr>
              <w:jc w:val="center"/>
              <w:rPr>
                <w:rFonts w:ascii="Cambria" w:hAnsi="Cambria" w:cs="Arial"/>
                <w:sz w:val="18"/>
                <w:szCs w:val="18"/>
                <w:lang w:eastAsia="es-ES_tradnl"/>
              </w:rPr>
            </w:pPr>
          </w:p>
        </w:tc>
        <w:tc>
          <w:tcPr>
            <w:tcW w:w="1170" w:type="dxa"/>
          </w:tcPr>
          <w:p w14:paraId="4E89A8A9"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12183935" w14:textId="77777777" w:rsidR="007E31E3" w:rsidRPr="00524435" w:rsidRDefault="007E31E3" w:rsidP="00820229">
            <w:pPr>
              <w:jc w:val="center"/>
              <w:rPr>
                <w:rFonts w:ascii="Cambria" w:hAnsi="Cambria" w:cs="Arial"/>
                <w:sz w:val="18"/>
                <w:szCs w:val="18"/>
              </w:rPr>
            </w:pPr>
            <w:r w:rsidRPr="00524435">
              <w:rPr>
                <w:rFonts w:ascii="Cambria" w:hAnsi="Cambria" w:cs="Arial"/>
                <w:sz w:val="18"/>
                <w:szCs w:val="18"/>
              </w:rPr>
              <w:t>100%</w:t>
            </w:r>
          </w:p>
        </w:tc>
        <w:tc>
          <w:tcPr>
            <w:tcW w:w="1260" w:type="dxa"/>
          </w:tcPr>
          <w:p w14:paraId="4657699D" w14:textId="77777777" w:rsidR="007E31E3" w:rsidRPr="00524435" w:rsidRDefault="007E31E3" w:rsidP="00820229">
            <w:pPr>
              <w:jc w:val="center"/>
              <w:rPr>
                <w:rFonts w:ascii="Cambria" w:hAnsi="Cambria" w:cs="Arial"/>
                <w:sz w:val="18"/>
                <w:szCs w:val="18"/>
              </w:rPr>
            </w:pPr>
            <w:r w:rsidRPr="00524435">
              <w:rPr>
                <w:rFonts w:ascii="Cambria" w:hAnsi="Cambria" w:cs="Arial"/>
                <w:sz w:val="18"/>
                <w:szCs w:val="18"/>
              </w:rPr>
              <w:t>Closed 2021</w:t>
            </w:r>
          </w:p>
        </w:tc>
      </w:tr>
      <w:tr w:rsidR="007E31E3" w:rsidRPr="00524435" w14:paraId="605A81C5" w14:textId="77777777" w:rsidTr="00820229">
        <w:trPr>
          <w:cnfStyle w:val="000000100000" w:firstRow="0" w:lastRow="0" w:firstColumn="0" w:lastColumn="0" w:oddVBand="0" w:evenVBand="0" w:oddHBand="1" w:evenHBand="0" w:firstRowFirstColumn="0" w:firstRowLastColumn="0" w:lastRowFirstColumn="0" w:lastRowLastColumn="0"/>
          <w:trHeight w:val="999"/>
          <w:jc w:val="center"/>
        </w:trPr>
        <w:tc>
          <w:tcPr>
            <w:tcW w:w="2250" w:type="dxa"/>
          </w:tcPr>
          <w:p w14:paraId="797DC084" w14:textId="77777777" w:rsidR="007E31E3" w:rsidRPr="00524435" w:rsidRDefault="007E31E3" w:rsidP="0009324C">
            <w:pPr>
              <w:numPr>
                <w:ilvl w:val="0"/>
                <w:numId w:val="18"/>
              </w:numPr>
              <w:tabs>
                <w:tab w:val="num" w:pos="522"/>
              </w:tabs>
              <w:ind w:firstLine="0"/>
              <w:jc w:val="both"/>
              <w:rPr>
                <w:rFonts w:ascii="Cambria" w:hAnsi="Cambria" w:cs="Arial"/>
                <w:sz w:val="18"/>
                <w:szCs w:val="18"/>
                <w:lang w:eastAsia="es-ES_tradnl"/>
              </w:rPr>
            </w:pPr>
            <w:r w:rsidRPr="00524435">
              <w:rPr>
                <w:rFonts w:ascii="Cambria" w:hAnsi="Cambria" w:cs="Arial"/>
                <w:sz w:val="18"/>
                <w:szCs w:val="18"/>
                <w:lang w:eastAsia="es-ES_tradnl"/>
              </w:rPr>
              <w:t xml:space="preserve">Case 11.545, Report No. 204/21, Martha María </w:t>
            </w:r>
            <w:proofErr w:type="spellStart"/>
            <w:r w:rsidRPr="00524435">
              <w:rPr>
                <w:rFonts w:ascii="Cambria" w:hAnsi="Cambria" w:cs="Arial"/>
                <w:sz w:val="18"/>
                <w:szCs w:val="18"/>
                <w:lang w:eastAsia="es-ES_tradnl"/>
              </w:rPr>
              <w:t>Saire</w:t>
            </w:r>
            <w:proofErr w:type="spellEnd"/>
            <w:r w:rsidRPr="00524435">
              <w:rPr>
                <w:rFonts w:ascii="Cambria" w:hAnsi="Cambria" w:cs="Arial"/>
                <w:sz w:val="18"/>
                <w:szCs w:val="18"/>
                <w:lang w:eastAsia="es-ES_tradnl"/>
              </w:rPr>
              <w:t xml:space="preserve"> (Honduras)</w:t>
            </w:r>
          </w:p>
        </w:tc>
        <w:tc>
          <w:tcPr>
            <w:tcW w:w="1170" w:type="dxa"/>
            <w:vMerge/>
          </w:tcPr>
          <w:p w14:paraId="684F7F3D" w14:textId="77777777" w:rsidR="007E31E3" w:rsidRPr="00524435" w:rsidRDefault="007E31E3" w:rsidP="00820229">
            <w:pPr>
              <w:jc w:val="center"/>
              <w:rPr>
                <w:rFonts w:ascii="Cambria" w:hAnsi="Cambria" w:cstheme="minorHAnsi"/>
                <w:sz w:val="18"/>
                <w:szCs w:val="18"/>
              </w:rPr>
            </w:pPr>
          </w:p>
        </w:tc>
        <w:tc>
          <w:tcPr>
            <w:tcW w:w="1316" w:type="dxa"/>
          </w:tcPr>
          <w:p w14:paraId="4CD12798" w14:textId="77777777" w:rsidR="007E31E3" w:rsidRPr="00524435" w:rsidRDefault="007E31E3" w:rsidP="00820229">
            <w:pPr>
              <w:jc w:val="center"/>
              <w:rPr>
                <w:rFonts w:ascii="Cambria" w:hAnsi="Cambria" w:cstheme="minorHAnsi"/>
                <w:sz w:val="18"/>
                <w:szCs w:val="18"/>
              </w:rPr>
            </w:pPr>
          </w:p>
        </w:tc>
        <w:tc>
          <w:tcPr>
            <w:tcW w:w="1170" w:type="dxa"/>
          </w:tcPr>
          <w:p w14:paraId="0EE8C34B" w14:textId="77777777" w:rsidR="007E31E3" w:rsidRPr="00524435" w:rsidRDefault="007E31E3" w:rsidP="00820229">
            <w:pPr>
              <w:jc w:val="center"/>
              <w:rPr>
                <w:rFonts w:ascii="Cambria" w:hAnsi="Cambria" w:cs="Arial"/>
                <w:sz w:val="18"/>
                <w:szCs w:val="18"/>
                <w:lang w:eastAsia="es-ES_tradnl"/>
              </w:rPr>
            </w:pPr>
            <w:r w:rsidRPr="00524435">
              <w:rPr>
                <w:rFonts w:ascii="Cambria" w:hAnsi="Cambria" w:cs="Arial"/>
                <w:sz w:val="18"/>
                <w:szCs w:val="18"/>
                <w:lang w:eastAsia="es-ES_tradnl"/>
              </w:rPr>
              <w:t>X</w:t>
            </w:r>
          </w:p>
        </w:tc>
        <w:tc>
          <w:tcPr>
            <w:tcW w:w="1170" w:type="dxa"/>
          </w:tcPr>
          <w:p w14:paraId="1298DC41"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0D467272" w14:textId="77777777" w:rsidR="007E31E3" w:rsidRPr="00524435" w:rsidRDefault="007E31E3" w:rsidP="00820229">
            <w:pPr>
              <w:jc w:val="center"/>
              <w:rPr>
                <w:rFonts w:ascii="Cambria" w:hAnsi="Cambria" w:cs="Arial"/>
                <w:sz w:val="18"/>
                <w:szCs w:val="18"/>
              </w:rPr>
            </w:pPr>
            <w:r w:rsidRPr="00524435">
              <w:rPr>
                <w:rFonts w:ascii="Cambria" w:hAnsi="Cambria" w:cs="Arial"/>
                <w:sz w:val="18"/>
                <w:szCs w:val="18"/>
              </w:rPr>
              <w:t>40%</w:t>
            </w:r>
          </w:p>
        </w:tc>
        <w:tc>
          <w:tcPr>
            <w:tcW w:w="1260" w:type="dxa"/>
          </w:tcPr>
          <w:p w14:paraId="62A1482B" w14:textId="77777777" w:rsidR="007E31E3" w:rsidRPr="00524435" w:rsidRDefault="007E31E3" w:rsidP="00820229">
            <w:pPr>
              <w:jc w:val="center"/>
              <w:rPr>
                <w:rFonts w:ascii="Cambria" w:hAnsi="Cambria" w:cs="Arial"/>
                <w:sz w:val="18"/>
                <w:szCs w:val="18"/>
              </w:rPr>
            </w:pPr>
            <w:r w:rsidRPr="00524435">
              <w:rPr>
                <w:rFonts w:ascii="Cambria" w:hAnsi="Cambria" w:cs="Arial"/>
                <w:sz w:val="18"/>
                <w:szCs w:val="18"/>
              </w:rPr>
              <w:t>Active</w:t>
            </w:r>
          </w:p>
        </w:tc>
      </w:tr>
      <w:tr w:rsidR="007E31E3" w:rsidRPr="00524435" w14:paraId="7A521C42" w14:textId="77777777" w:rsidTr="00820229">
        <w:trPr>
          <w:cnfStyle w:val="000000010000" w:firstRow="0" w:lastRow="0" w:firstColumn="0" w:lastColumn="0" w:oddVBand="0" w:evenVBand="0" w:oddHBand="0" w:evenHBand="1" w:firstRowFirstColumn="0" w:firstRowLastColumn="0" w:lastRowFirstColumn="0" w:lastRowLastColumn="0"/>
          <w:trHeight w:val="990"/>
          <w:jc w:val="center"/>
        </w:trPr>
        <w:tc>
          <w:tcPr>
            <w:tcW w:w="2250" w:type="dxa"/>
          </w:tcPr>
          <w:p w14:paraId="0B314ED7" w14:textId="77777777" w:rsidR="007E31E3" w:rsidRPr="00524435" w:rsidRDefault="007E31E3" w:rsidP="0009324C">
            <w:pPr>
              <w:numPr>
                <w:ilvl w:val="0"/>
                <w:numId w:val="18"/>
              </w:numPr>
              <w:tabs>
                <w:tab w:val="num" w:pos="522"/>
              </w:tabs>
              <w:ind w:firstLine="0"/>
              <w:jc w:val="both"/>
              <w:rPr>
                <w:rFonts w:ascii="Cambria" w:hAnsi="Cambria" w:cs="Arial"/>
                <w:sz w:val="18"/>
                <w:szCs w:val="18"/>
                <w:lang w:eastAsia="es-ES_tradnl"/>
              </w:rPr>
            </w:pPr>
            <w:r w:rsidRPr="00524435">
              <w:rPr>
                <w:rFonts w:ascii="Cambria" w:hAnsi="Cambria" w:cs="Arial"/>
                <w:sz w:val="18"/>
                <w:szCs w:val="18"/>
                <w:lang w:eastAsia="es-ES_tradnl"/>
              </w:rPr>
              <w:t>Case 12.961J, Report No. 205/21, Faustino Garcia Cárdenas and Other (Honduras)</w:t>
            </w:r>
            <w:r w:rsidRPr="00524435">
              <w:rPr>
                <w:rStyle w:val="FootnoteReference"/>
                <w:rFonts w:ascii="Cambria" w:hAnsi="Cambria" w:cs="Arial"/>
                <w:sz w:val="18"/>
                <w:szCs w:val="18"/>
                <w:lang w:eastAsia="es-ES_tradnl"/>
              </w:rPr>
              <w:footnoteReference w:id="95"/>
            </w:r>
          </w:p>
        </w:tc>
        <w:tc>
          <w:tcPr>
            <w:tcW w:w="1170" w:type="dxa"/>
            <w:vMerge/>
          </w:tcPr>
          <w:p w14:paraId="7DAA53A3" w14:textId="77777777" w:rsidR="007E31E3" w:rsidRPr="00524435" w:rsidRDefault="007E31E3" w:rsidP="00820229">
            <w:pPr>
              <w:jc w:val="center"/>
              <w:rPr>
                <w:rFonts w:ascii="Cambria" w:hAnsi="Cambria" w:cstheme="minorHAnsi"/>
                <w:sz w:val="18"/>
                <w:szCs w:val="18"/>
              </w:rPr>
            </w:pPr>
          </w:p>
        </w:tc>
        <w:tc>
          <w:tcPr>
            <w:tcW w:w="1316" w:type="dxa"/>
          </w:tcPr>
          <w:p w14:paraId="0A5783A3" w14:textId="77777777" w:rsidR="007E31E3" w:rsidRPr="00524435" w:rsidRDefault="007E31E3" w:rsidP="00820229">
            <w:pPr>
              <w:jc w:val="center"/>
              <w:rPr>
                <w:rFonts w:ascii="Cambria" w:hAnsi="Cambria" w:cstheme="minorHAnsi"/>
                <w:sz w:val="18"/>
                <w:szCs w:val="18"/>
              </w:rPr>
            </w:pPr>
            <w:r w:rsidRPr="00524435">
              <w:rPr>
                <w:rFonts w:ascii="Cambria" w:hAnsi="Cambria" w:cs="Arial"/>
                <w:sz w:val="18"/>
                <w:szCs w:val="18"/>
                <w:lang w:eastAsia="es-ES_tradnl"/>
              </w:rPr>
              <w:t>X</w:t>
            </w:r>
          </w:p>
        </w:tc>
        <w:tc>
          <w:tcPr>
            <w:tcW w:w="1170" w:type="dxa"/>
          </w:tcPr>
          <w:p w14:paraId="5A61BB96" w14:textId="77777777" w:rsidR="007E31E3" w:rsidRPr="00524435" w:rsidRDefault="007E31E3" w:rsidP="00820229">
            <w:pPr>
              <w:jc w:val="center"/>
              <w:rPr>
                <w:rFonts w:ascii="Cambria" w:hAnsi="Cambria" w:cs="Arial"/>
                <w:sz w:val="18"/>
                <w:szCs w:val="18"/>
                <w:lang w:eastAsia="es-ES_tradnl"/>
              </w:rPr>
            </w:pPr>
          </w:p>
        </w:tc>
        <w:tc>
          <w:tcPr>
            <w:tcW w:w="1170" w:type="dxa"/>
          </w:tcPr>
          <w:p w14:paraId="72664C3F"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5987F629" w14:textId="77777777" w:rsidR="007E31E3" w:rsidRPr="00524435" w:rsidRDefault="007E31E3" w:rsidP="00820229">
            <w:pPr>
              <w:jc w:val="center"/>
              <w:rPr>
                <w:rFonts w:ascii="Cambria" w:hAnsi="Cambria" w:cs="Arial"/>
                <w:sz w:val="18"/>
                <w:szCs w:val="18"/>
              </w:rPr>
            </w:pPr>
            <w:r w:rsidRPr="00524435">
              <w:rPr>
                <w:rFonts w:ascii="Cambria" w:hAnsi="Cambria" w:cs="Arial"/>
                <w:sz w:val="18"/>
                <w:szCs w:val="18"/>
              </w:rPr>
              <w:t>100%</w:t>
            </w:r>
          </w:p>
        </w:tc>
        <w:tc>
          <w:tcPr>
            <w:tcW w:w="1260" w:type="dxa"/>
          </w:tcPr>
          <w:p w14:paraId="4FFB64AD" w14:textId="77777777" w:rsidR="007E31E3" w:rsidRPr="00524435" w:rsidRDefault="007E31E3" w:rsidP="00820229">
            <w:pPr>
              <w:jc w:val="center"/>
              <w:rPr>
                <w:rFonts w:ascii="Cambria" w:hAnsi="Cambria" w:cs="Arial"/>
                <w:sz w:val="18"/>
                <w:szCs w:val="18"/>
              </w:rPr>
            </w:pPr>
            <w:r w:rsidRPr="00524435">
              <w:rPr>
                <w:rFonts w:ascii="Cambria" w:hAnsi="Cambria" w:cs="Arial"/>
                <w:sz w:val="18"/>
                <w:szCs w:val="18"/>
              </w:rPr>
              <w:t>Closed 2021</w:t>
            </w:r>
          </w:p>
        </w:tc>
      </w:tr>
      <w:tr w:rsidR="007E31E3" w:rsidRPr="00524435" w14:paraId="3415A706" w14:textId="77777777" w:rsidTr="00820229">
        <w:trPr>
          <w:cnfStyle w:val="000000100000" w:firstRow="0" w:lastRow="0" w:firstColumn="0" w:lastColumn="0" w:oddVBand="0" w:evenVBand="0" w:oddHBand="1" w:evenHBand="0" w:firstRowFirstColumn="0" w:firstRowLastColumn="0" w:lastRowFirstColumn="0" w:lastRowLastColumn="0"/>
          <w:trHeight w:val="954"/>
          <w:jc w:val="center"/>
        </w:trPr>
        <w:tc>
          <w:tcPr>
            <w:tcW w:w="2250" w:type="dxa"/>
          </w:tcPr>
          <w:p w14:paraId="3B1300E5" w14:textId="77777777" w:rsidR="007E31E3" w:rsidRPr="00524435" w:rsidRDefault="007E31E3" w:rsidP="0009324C">
            <w:pPr>
              <w:numPr>
                <w:ilvl w:val="0"/>
                <w:numId w:val="18"/>
              </w:numPr>
              <w:tabs>
                <w:tab w:val="num" w:pos="522"/>
              </w:tabs>
              <w:ind w:firstLine="0"/>
              <w:jc w:val="both"/>
              <w:rPr>
                <w:rFonts w:ascii="Cambria" w:hAnsi="Cambria" w:cs="Arial"/>
                <w:sz w:val="18"/>
                <w:szCs w:val="18"/>
                <w:lang w:eastAsia="es-ES_tradnl"/>
              </w:rPr>
            </w:pPr>
            <w:r w:rsidRPr="00524435">
              <w:rPr>
                <w:rFonts w:ascii="Cambria" w:hAnsi="Cambria" w:cs="Arial"/>
                <w:sz w:val="18"/>
                <w:szCs w:val="18"/>
                <w:lang w:eastAsia="es-ES_tradnl"/>
              </w:rPr>
              <w:t>Case 12.960, Report No. 269/21, Ronald Jared Martínez (Honduras)</w:t>
            </w:r>
            <w:r w:rsidRPr="00524435">
              <w:rPr>
                <w:rStyle w:val="FootnoteReference"/>
                <w:rFonts w:ascii="Cambria" w:hAnsi="Cambria" w:cs="Arial"/>
                <w:sz w:val="18"/>
                <w:szCs w:val="18"/>
                <w:lang w:eastAsia="es-ES_tradnl"/>
              </w:rPr>
              <w:footnoteReference w:id="96"/>
            </w:r>
          </w:p>
        </w:tc>
        <w:tc>
          <w:tcPr>
            <w:tcW w:w="1170" w:type="dxa"/>
            <w:vMerge/>
          </w:tcPr>
          <w:p w14:paraId="631620D7" w14:textId="77777777" w:rsidR="007E31E3" w:rsidRPr="00524435" w:rsidRDefault="007E31E3" w:rsidP="00820229">
            <w:pPr>
              <w:jc w:val="center"/>
              <w:rPr>
                <w:rFonts w:ascii="Cambria" w:hAnsi="Cambria" w:cstheme="minorHAnsi"/>
                <w:sz w:val="18"/>
                <w:szCs w:val="18"/>
              </w:rPr>
            </w:pPr>
          </w:p>
        </w:tc>
        <w:tc>
          <w:tcPr>
            <w:tcW w:w="1316" w:type="dxa"/>
          </w:tcPr>
          <w:p w14:paraId="62F6B52A" w14:textId="77777777" w:rsidR="007E31E3" w:rsidRPr="00524435" w:rsidRDefault="007E31E3" w:rsidP="00820229">
            <w:pPr>
              <w:jc w:val="center"/>
              <w:rPr>
                <w:rFonts w:ascii="Cambria" w:hAnsi="Cambria" w:cstheme="minorHAnsi"/>
                <w:sz w:val="18"/>
                <w:szCs w:val="18"/>
              </w:rPr>
            </w:pPr>
            <w:r w:rsidRPr="00524435">
              <w:rPr>
                <w:rFonts w:ascii="Cambria" w:hAnsi="Cambria" w:cs="Arial"/>
                <w:sz w:val="18"/>
                <w:szCs w:val="18"/>
                <w:lang w:eastAsia="es-ES_tradnl"/>
              </w:rPr>
              <w:t>X</w:t>
            </w:r>
          </w:p>
        </w:tc>
        <w:tc>
          <w:tcPr>
            <w:tcW w:w="1170" w:type="dxa"/>
          </w:tcPr>
          <w:p w14:paraId="2D90FD07" w14:textId="77777777" w:rsidR="007E31E3" w:rsidRPr="00524435" w:rsidRDefault="007E31E3" w:rsidP="00820229">
            <w:pPr>
              <w:jc w:val="center"/>
              <w:rPr>
                <w:rFonts w:ascii="Cambria" w:hAnsi="Cambria" w:cs="Arial"/>
                <w:sz w:val="18"/>
                <w:szCs w:val="18"/>
                <w:lang w:eastAsia="es-ES_tradnl"/>
              </w:rPr>
            </w:pPr>
          </w:p>
        </w:tc>
        <w:tc>
          <w:tcPr>
            <w:tcW w:w="1170" w:type="dxa"/>
          </w:tcPr>
          <w:p w14:paraId="2E47B72E"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104B3E0D" w14:textId="77777777" w:rsidR="007E31E3" w:rsidRPr="00524435" w:rsidRDefault="007E31E3" w:rsidP="00820229">
            <w:pPr>
              <w:jc w:val="center"/>
              <w:rPr>
                <w:rFonts w:ascii="Cambria" w:hAnsi="Cambria" w:cs="Arial"/>
                <w:sz w:val="18"/>
                <w:szCs w:val="18"/>
              </w:rPr>
            </w:pPr>
            <w:r w:rsidRPr="00524435">
              <w:rPr>
                <w:rFonts w:ascii="Cambria" w:hAnsi="Cambria" w:cs="Arial"/>
                <w:sz w:val="18"/>
                <w:szCs w:val="18"/>
              </w:rPr>
              <w:t>100%</w:t>
            </w:r>
          </w:p>
        </w:tc>
        <w:tc>
          <w:tcPr>
            <w:tcW w:w="1260" w:type="dxa"/>
          </w:tcPr>
          <w:p w14:paraId="31982023" w14:textId="77777777" w:rsidR="007E31E3" w:rsidRPr="00524435" w:rsidRDefault="007E31E3" w:rsidP="00820229">
            <w:pPr>
              <w:jc w:val="center"/>
              <w:rPr>
                <w:rFonts w:ascii="Cambria" w:hAnsi="Cambria" w:cs="Arial"/>
                <w:sz w:val="18"/>
                <w:szCs w:val="18"/>
              </w:rPr>
            </w:pPr>
            <w:r w:rsidRPr="00524435">
              <w:rPr>
                <w:rFonts w:ascii="Cambria" w:hAnsi="Cambria" w:cs="Arial"/>
                <w:sz w:val="18"/>
                <w:szCs w:val="18"/>
              </w:rPr>
              <w:t>Closed 2021</w:t>
            </w:r>
          </w:p>
        </w:tc>
      </w:tr>
      <w:tr w:rsidR="007E31E3" w:rsidRPr="00524435" w14:paraId="03AE1B8F" w14:textId="77777777" w:rsidTr="00820229">
        <w:trPr>
          <w:cnfStyle w:val="000000010000" w:firstRow="0" w:lastRow="0" w:firstColumn="0" w:lastColumn="0" w:oddVBand="0" w:evenVBand="0" w:oddHBand="0" w:evenHBand="1" w:firstRowFirstColumn="0" w:firstRowLastColumn="0" w:lastRowFirstColumn="0" w:lastRowLastColumn="0"/>
          <w:trHeight w:val="963"/>
          <w:jc w:val="center"/>
        </w:trPr>
        <w:tc>
          <w:tcPr>
            <w:tcW w:w="2250" w:type="dxa"/>
          </w:tcPr>
          <w:p w14:paraId="3DB54F85" w14:textId="77777777" w:rsidR="007E31E3" w:rsidRPr="00E42B49" w:rsidRDefault="007E31E3" w:rsidP="0009324C">
            <w:pPr>
              <w:numPr>
                <w:ilvl w:val="0"/>
                <w:numId w:val="18"/>
              </w:numPr>
              <w:tabs>
                <w:tab w:val="num" w:pos="522"/>
              </w:tabs>
              <w:ind w:firstLine="0"/>
              <w:jc w:val="both"/>
              <w:rPr>
                <w:rFonts w:ascii="Cambria" w:hAnsi="Cambria" w:cstheme="minorHAnsi"/>
                <w:sz w:val="18"/>
                <w:szCs w:val="18"/>
                <w:lang w:val="es-US"/>
              </w:rPr>
            </w:pPr>
            <w:r w:rsidRPr="00E42B49">
              <w:rPr>
                <w:rFonts w:ascii="Cambria" w:hAnsi="Cambria" w:cstheme="minorHAnsi"/>
                <w:sz w:val="18"/>
                <w:szCs w:val="18"/>
                <w:lang w:val="es-US"/>
              </w:rPr>
              <w:t xml:space="preserve">Case 11.807, </w:t>
            </w:r>
            <w:proofErr w:type="spellStart"/>
            <w:r w:rsidRPr="00E42B49">
              <w:rPr>
                <w:rFonts w:ascii="Cambria" w:hAnsi="Cambria" w:cstheme="minorHAnsi"/>
                <w:sz w:val="18"/>
                <w:szCs w:val="18"/>
                <w:lang w:val="es-US"/>
              </w:rPr>
              <w:t>Report</w:t>
            </w:r>
            <w:proofErr w:type="spellEnd"/>
            <w:r w:rsidRPr="00E42B49">
              <w:rPr>
                <w:rFonts w:ascii="Cambria" w:hAnsi="Cambria" w:cstheme="minorHAnsi"/>
                <w:sz w:val="18"/>
                <w:szCs w:val="18"/>
                <w:lang w:val="es-US"/>
              </w:rPr>
              <w:t xml:space="preserve"> No. 69/03, José Guadarrama (</w:t>
            </w:r>
            <w:proofErr w:type="spellStart"/>
            <w:r w:rsidRPr="00E42B49">
              <w:rPr>
                <w:rFonts w:ascii="Cambria" w:hAnsi="Cambria" w:cstheme="minorHAnsi"/>
                <w:sz w:val="18"/>
                <w:szCs w:val="18"/>
                <w:lang w:val="es-US"/>
              </w:rPr>
              <w:t>Mexico</w:t>
            </w:r>
            <w:proofErr w:type="spellEnd"/>
            <w:r w:rsidRPr="00E42B49">
              <w:rPr>
                <w:rFonts w:ascii="Cambria" w:hAnsi="Cambria" w:cstheme="minorHAnsi"/>
                <w:sz w:val="18"/>
                <w:szCs w:val="18"/>
                <w:lang w:val="es-US"/>
              </w:rPr>
              <w:t>)</w:t>
            </w:r>
            <w:r w:rsidRPr="00524435">
              <w:rPr>
                <w:rFonts w:ascii="Cambria" w:hAnsi="Cambria" w:cstheme="minorHAnsi"/>
                <w:sz w:val="18"/>
                <w:szCs w:val="18"/>
                <w:vertAlign w:val="superscript"/>
              </w:rPr>
              <w:footnoteReference w:id="97"/>
            </w:r>
          </w:p>
        </w:tc>
        <w:tc>
          <w:tcPr>
            <w:tcW w:w="1170" w:type="dxa"/>
            <w:vMerge w:val="restart"/>
          </w:tcPr>
          <w:p w14:paraId="6FB87FF3" w14:textId="1C693C9D" w:rsidR="007E31E3" w:rsidRPr="00524435" w:rsidRDefault="006B7403" w:rsidP="00820229">
            <w:pPr>
              <w:jc w:val="center"/>
              <w:rPr>
                <w:rFonts w:ascii="Cambria" w:hAnsi="Cambria" w:cstheme="minorHAnsi"/>
                <w:sz w:val="18"/>
                <w:szCs w:val="18"/>
              </w:rPr>
            </w:pPr>
            <w:hyperlink r:id="rId71" w:history="1">
              <w:r w:rsidR="007E31E3" w:rsidRPr="00524435">
                <w:rPr>
                  <w:rStyle w:val="Hyperlink"/>
                  <w:rFonts w:ascii="Cambria" w:hAnsi="Cambria" w:cstheme="minorHAnsi"/>
                  <w:sz w:val="18"/>
                  <w:szCs w:val="18"/>
                </w:rPr>
                <w:t>Link to monitoring sheets on matters related to reports of friendly settlement agreements of Mexico that are subject to monitoring</w:t>
              </w:r>
            </w:hyperlink>
            <w:r w:rsidR="007E31E3" w:rsidRPr="00524435">
              <w:rPr>
                <w:rFonts w:ascii="Cambria" w:hAnsi="Cambria" w:cstheme="minorHAnsi"/>
                <w:sz w:val="18"/>
                <w:szCs w:val="18"/>
              </w:rPr>
              <w:t xml:space="preserve"> </w:t>
            </w:r>
          </w:p>
        </w:tc>
        <w:tc>
          <w:tcPr>
            <w:tcW w:w="1316" w:type="dxa"/>
          </w:tcPr>
          <w:p w14:paraId="141176EE"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7D0C406E" w14:textId="77777777" w:rsidR="007E31E3" w:rsidRPr="00524435" w:rsidRDefault="007E31E3" w:rsidP="00820229">
            <w:pPr>
              <w:jc w:val="center"/>
              <w:rPr>
                <w:rFonts w:ascii="Cambria" w:hAnsi="Cambria" w:cstheme="minorHAnsi"/>
                <w:sz w:val="18"/>
                <w:szCs w:val="18"/>
              </w:rPr>
            </w:pPr>
          </w:p>
        </w:tc>
        <w:tc>
          <w:tcPr>
            <w:tcW w:w="1170" w:type="dxa"/>
          </w:tcPr>
          <w:p w14:paraId="5A10B019"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4D409DE7"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42F67332"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1FF26B52" w14:textId="77777777" w:rsidTr="00820229">
        <w:trPr>
          <w:cnfStyle w:val="000000100000" w:firstRow="0" w:lastRow="0" w:firstColumn="0" w:lastColumn="0" w:oddVBand="0" w:evenVBand="0" w:oddHBand="1" w:evenHBand="0" w:firstRowFirstColumn="0" w:firstRowLastColumn="0" w:lastRowFirstColumn="0" w:lastRowLastColumn="0"/>
          <w:trHeight w:val="936"/>
          <w:jc w:val="center"/>
        </w:trPr>
        <w:tc>
          <w:tcPr>
            <w:tcW w:w="2250" w:type="dxa"/>
          </w:tcPr>
          <w:p w14:paraId="496400FC" w14:textId="77777777" w:rsidR="007E31E3" w:rsidRPr="007A5442" w:rsidRDefault="007E31E3" w:rsidP="0009324C">
            <w:pPr>
              <w:numPr>
                <w:ilvl w:val="0"/>
                <w:numId w:val="18"/>
              </w:numPr>
              <w:tabs>
                <w:tab w:val="num" w:pos="522"/>
              </w:tabs>
              <w:ind w:firstLine="0"/>
              <w:jc w:val="both"/>
              <w:rPr>
                <w:rFonts w:ascii="Cambria" w:hAnsi="Cambria" w:cstheme="minorHAnsi"/>
                <w:sz w:val="18"/>
                <w:szCs w:val="18"/>
                <w:lang w:val="es-ES"/>
              </w:rPr>
            </w:pPr>
            <w:proofErr w:type="spellStart"/>
            <w:r w:rsidRPr="007A5442">
              <w:rPr>
                <w:rFonts w:ascii="Cambria" w:hAnsi="Cambria" w:cstheme="minorHAnsi"/>
                <w:sz w:val="18"/>
                <w:szCs w:val="18"/>
                <w:lang w:val="es-ES"/>
              </w:rPr>
              <w:t>Petition</w:t>
            </w:r>
            <w:proofErr w:type="spellEnd"/>
            <w:r w:rsidRPr="007A5442">
              <w:rPr>
                <w:rFonts w:ascii="Cambria" w:hAnsi="Cambria" w:cstheme="minorHAnsi"/>
                <w:sz w:val="18"/>
                <w:szCs w:val="18"/>
                <w:lang w:val="es-ES"/>
              </w:rPr>
              <w:t xml:space="preserve"> 388-01, </w:t>
            </w:r>
            <w:proofErr w:type="spellStart"/>
            <w:r w:rsidRPr="007A5442">
              <w:rPr>
                <w:rFonts w:ascii="Cambria" w:hAnsi="Cambria" w:cstheme="minorHAnsi"/>
                <w:sz w:val="18"/>
                <w:szCs w:val="18"/>
                <w:lang w:val="es-ES"/>
              </w:rPr>
              <w:t>Report</w:t>
            </w:r>
            <w:proofErr w:type="spellEnd"/>
            <w:r w:rsidRPr="007A5442">
              <w:rPr>
                <w:rFonts w:ascii="Cambria" w:hAnsi="Cambria" w:cstheme="minorHAnsi"/>
                <w:sz w:val="18"/>
                <w:szCs w:val="18"/>
                <w:lang w:val="es-ES"/>
              </w:rPr>
              <w:t xml:space="preserve"> 101/05 Alejandro Ortiz Ramírez (</w:t>
            </w:r>
            <w:proofErr w:type="spellStart"/>
            <w:r w:rsidRPr="007A5442">
              <w:rPr>
                <w:rFonts w:ascii="Cambria" w:hAnsi="Cambria" w:cstheme="minorHAnsi"/>
                <w:sz w:val="18"/>
                <w:szCs w:val="18"/>
                <w:lang w:val="es-ES"/>
              </w:rPr>
              <w:t>Mexico</w:t>
            </w:r>
            <w:proofErr w:type="spellEnd"/>
            <w:r w:rsidRPr="007A5442">
              <w:rPr>
                <w:rFonts w:ascii="Cambria" w:hAnsi="Cambria" w:cstheme="minorHAnsi"/>
                <w:sz w:val="18"/>
                <w:szCs w:val="18"/>
                <w:lang w:val="es-ES"/>
              </w:rPr>
              <w:t>)</w:t>
            </w:r>
            <w:r w:rsidRPr="00524435">
              <w:rPr>
                <w:rFonts w:ascii="Cambria" w:hAnsi="Cambria" w:cstheme="minorHAnsi"/>
                <w:sz w:val="18"/>
                <w:szCs w:val="18"/>
                <w:vertAlign w:val="superscript"/>
              </w:rPr>
              <w:footnoteReference w:id="98"/>
            </w:r>
          </w:p>
        </w:tc>
        <w:tc>
          <w:tcPr>
            <w:tcW w:w="1170" w:type="dxa"/>
            <w:vMerge/>
          </w:tcPr>
          <w:p w14:paraId="1C869AB1" w14:textId="77777777" w:rsidR="007E31E3" w:rsidRPr="007A5442" w:rsidRDefault="007E31E3" w:rsidP="00820229">
            <w:pPr>
              <w:jc w:val="center"/>
              <w:rPr>
                <w:rFonts w:ascii="Cambria" w:hAnsi="Cambria" w:cstheme="minorHAnsi"/>
                <w:sz w:val="18"/>
                <w:szCs w:val="18"/>
                <w:lang w:val="es-ES"/>
              </w:rPr>
            </w:pPr>
          </w:p>
        </w:tc>
        <w:tc>
          <w:tcPr>
            <w:tcW w:w="1316" w:type="dxa"/>
          </w:tcPr>
          <w:p w14:paraId="72E9354A"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77AE528A" w14:textId="77777777" w:rsidR="007E31E3" w:rsidRPr="00524435" w:rsidRDefault="007E31E3" w:rsidP="00820229">
            <w:pPr>
              <w:jc w:val="center"/>
              <w:rPr>
                <w:rFonts w:ascii="Cambria" w:hAnsi="Cambria" w:cstheme="minorHAnsi"/>
                <w:sz w:val="18"/>
                <w:szCs w:val="18"/>
              </w:rPr>
            </w:pPr>
          </w:p>
        </w:tc>
        <w:tc>
          <w:tcPr>
            <w:tcW w:w="1170" w:type="dxa"/>
          </w:tcPr>
          <w:p w14:paraId="75A15F4E"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4AD2382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7DC23ED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7601C74B" w14:textId="77777777" w:rsidTr="00820229">
        <w:trPr>
          <w:cnfStyle w:val="000000010000" w:firstRow="0" w:lastRow="0" w:firstColumn="0" w:lastColumn="0" w:oddVBand="0" w:evenVBand="0" w:oddHBand="0" w:evenHBand="1" w:firstRowFirstColumn="0" w:firstRowLastColumn="0" w:lastRowFirstColumn="0" w:lastRowLastColumn="0"/>
          <w:trHeight w:val="1134"/>
          <w:jc w:val="center"/>
        </w:trPr>
        <w:tc>
          <w:tcPr>
            <w:tcW w:w="2250" w:type="dxa"/>
          </w:tcPr>
          <w:p w14:paraId="320BE3C2" w14:textId="77777777" w:rsidR="007E31E3" w:rsidRPr="007A5442" w:rsidRDefault="007E31E3" w:rsidP="0009324C">
            <w:pPr>
              <w:numPr>
                <w:ilvl w:val="0"/>
                <w:numId w:val="18"/>
              </w:numPr>
              <w:tabs>
                <w:tab w:val="num" w:pos="522"/>
              </w:tabs>
              <w:ind w:firstLine="0"/>
              <w:jc w:val="both"/>
              <w:rPr>
                <w:rFonts w:ascii="Cambria" w:hAnsi="Cambria" w:cstheme="minorHAnsi"/>
                <w:sz w:val="18"/>
                <w:szCs w:val="18"/>
                <w:lang w:val="es-ES"/>
              </w:rPr>
            </w:pPr>
            <w:proofErr w:type="spellStart"/>
            <w:r w:rsidRPr="007A5442">
              <w:rPr>
                <w:rFonts w:ascii="Cambria" w:hAnsi="Cambria" w:cstheme="minorHAnsi"/>
                <w:sz w:val="18"/>
                <w:szCs w:val="18"/>
                <w:lang w:val="es-ES"/>
              </w:rPr>
              <w:t>Petition</w:t>
            </w:r>
            <w:proofErr w:type="spellEnd"/>
            <w:r w:rsidRPr="007A5442">
              <w:rPr>
                <w:rFonts w:ascii="Cambria" w:hAnsi="Cambria" w:cstheme="minorHAnsi"/>
                <w:sz w:val="18"/>
                <w:szCs w:val="18"/>
                <w:lang w:val="es-ES"/>
              </w:rPr>
              <w:t xml:space="preserve"> 161-02, </w:t>
            </w:r>
            <w:proofErr w:type="spellStart"/>
            <w:r w:rsidRPr="007A5442">
              <w:rPr>
                <w:rFonts w:ascii="Cambria" w:hAnsi="Cambria" w:cstheme="minorHAnsi"/>
                <w:sz w:val="18"/>
                <w:szCs w:val="18"/>
                <w:lang w:val="es-ES"/>
              </w:rPr>
              <w:t>Report</w:t>
            </w:r>
            <w:proofErr w:type="spellEnd"/>
            <w:r w:rsidRPr="007A5442">
              <w:rPr>
                <w:rFonts w:ascii="Cambria" w:hAnsi="Cambria" w:cstheme="minorHAnsi"/>
                <w:sz w:val="18"/>
                <w:szCs w:val="18"/>
                <w:lang w:val="es-ES"/>
              </w:rPr>
              <w:t xml:space="preserve"> No. 21/07, Paulina del Carmen Ramírez Jacinto (</w:t>
            </w:r>
            <w:proofErr w:type="spellStart"/>
            <w:r w:rsidRPr="007A5442">
              <w:rPr>
                <w:rFonts w:ascii="Cambria" w:hAnsi="Cambria" w:cstheme="minorHAnsi"/>
                <w:sz w:val="18"/>
                <w:szCs w:val="18"/>
                <w:lang w:val="es-ES"/>
              </w:rPr>
              <w:t>Mexico</w:t>
            </w:r>
            <w:proofErr w:type="spellEnd"/>
            <w:r w:rsidRPr="007A5442">
              <w:rPr>
                <w:rFonts w:ascii="Cambria" w:hAnsi="Cambria" w:cstheme="minorHAnsi"/>
                <w:sz w:val="18"/>
                <w:szCs w:val="18"/>
                <w:lang w:val="es-ES"/>
              </w:rPr>
              <w:t>)</w:t>
            </w:r>
            <w:r w:rsidRPr="00524435">
              <w:rPr>
                <w:rFonts w:ascii="Cambria" w:hAnsi="Cambria" w:cstheme="minorHAnsi"/>
                <w:sz w:val="18"/>
                <w:szCs w:val="18"/>
                <w:vertAlign w:val="superscript"/>
              </w:rPr>
              <w:footnoteReference w:id="99"/>
            </w:r>
          </w:p>
        </w:tc>
        <w:tc>
          <w:tcPr>
            <w:tcW w:w="1170" w:type="dxa"/>
            <w:vMerge/>
          </w:tcPr>
          <w:p w14:paraId="0D2D6172" w14:textId="77777777" w:rsidR="007E31E3" w:rsidRPr="007A5442" w:rsidRDefault="007E31E3" w:rsidP="00820229">
            <w:pPr>
              <w:jc w:val="center"/>
              <w:rPr>
                <w:rFonts w:ascii="Cambria" w:hAnsi="Cambria" w:cstheme="minorHAnsi"/>
                <w:sz w:val="18"/>
                <w:szCs w:val="18"/>
                <w:lang w:val="es-ES"/>
              </w:rPr>
            </w:pPr>
          </w:p>
        </w:tc>
        <w:tc>
          <w:tcPr>
            <w:tcW w:w="1316" w:type="dxa"/>
          </w:tcPr>
          <w:p w14:paraId="21000F55"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1A58FD35" w14:textId="77777777" w:rsidR="007E31E3" w:rsidRPr="00524435" w:rsidRDefault="007E31E3" w:rsidP="00820229">
            <w:pPr>
              <w:jc w:val="center"/>
              <w:rPr>
                <w:rFonts w:ascii="Cambria" w:hAnsi="Cambria" w:cstheme="minorHAnsi"/>
                <w:sz w:val="18"/>
                <w:szCs w:val="18"/>
              </w:rPr>
            </w:pPr>
          </w:p>
        </w:tc>
        <w:tc>
          <w:tcPr>
            <w:tcW w:w="1170" w:type="dxa"/>
          </w:tcPr>
          <w:p w14:paraId="62F69F1C"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2A42F29A"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6561DA5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6FEEA0E0" w14:textId="77777777" w:rsidTr="00820229">
        <w:trPr>
          <w:cnfStyle w:val="000000100000" w:firstRow="0" w:lastRow="0" w:firstColumn="0" w:lastColumn="0" w:oddVBand="0" w:evenVBand="0" w:oddHBand="1" w:evenHBand="0" w:firstRowFirstColumn="0" w:firstRowLastColumn="0" w:lastRowFirstColumn="0" w:lastRowLastColumn="0"/>
          <w:trHeight w:val="1125"/>
          <w:jc w:val="center"/>
        </w:trPr>
        <w:tc>
          <w:tcPr>
            <w:tcW w:w="2250" w:type="dxa"/>
          </w:tcPr>
          <w:p w14:paraId="3D476EF9"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7A5442">
              <w:rPr>
                <w:rFonts w:ascii="Cambria" w:hAnsi="Cambria" w:cstheme="minorHAnsi"/>
                <w:sz w:val="18"/>
                <w:szCs w:val="18"/>
                <w:lang w:val="es-ES"/>
              </w:rPr>
              <w:lastRenderedPageBreak/>
              <w:t xml:space="preserve">Case 11.822, </w:t>
            </w:r>
            <w:proofErr w:type="spellStart"/>
            <w:r w:rsidRPr="007A5442">
              <w:rPr>
                <w:rFonts w:ascii="Cambria" w:hAnsi="Cambria" w:cstheme="minorHAnsi"/>
                <w:sz w:val="18"/>
                <w:szCs w:val="18"/>
                <w:lang w:val="es-ES"/>
              </w:rPr>
              <w:t>Report</w:t>
            </w:r>
            <w:proofErr w:type="spellEnd"/>
            <w:r w:rsidRPr="007A5442">
              <w:rPr>
                <w:rFonts w:ascii="Cambria" w:hAnsi="Cambria" w:cstheme="minorHAnsi"/>
                <w:sz w:val="18"/>
                <w:szCs w:val="18"/>
                <w:lang w:val="es-ES"/>
              </w:rPr>
              <w:t xml:space="preserve"> No. 24/09, Reyes Penagos Martínez et al. </w:t>
            </w:r>
            <w:r w:rsidRPr="00524435">
              <w:rPr>
                <w:rFonts w:ascii="Cambria" w:hAnsi="Cambria" w:cstheme="minorHAnsi"/>
                <w:sz w:val="18"/>
                <w:szCs w:val="18"/>
              </w:rPr>
              <w:t>(Mexico)</w:t>
            </w:r>
          </w:p>
        </w:tc>
        <w:tc>
          <w:tcPr>
            <w:tcW w:w="1170" w:type="dxa"/>
            <w:vMerge/>
          </w:tcPr>
          <w:p w14:paraId="7879217E" w14:textId="77777777" w:rsidR="007E31E3" w:rsidRPr="00524435" w:rsidRDefault="007E31E3" w:rsidP="00820229">
            <w:pPr>
              <w:jc w:val="center"/>
              <w:rPr>
                <w:rFonts w:ascii="Cambria" w:hAnsi="Cambria" w:cstheme="minorHAnsi"/>
                <w:sz w:val="18"/>
                <w:szCs w:val="18"/>
              </w:rPr>
            </w:pPr>
          </w:p>
        </w:tc>
        <w:tc>
          <w:tcPr>
            <w:tcW w:w="1316" w:type="dxa"/>
          </w:tcPr>
          <w:p w14:paraId="5A06D336" w14:textId="77777777" w:rsidR="007E31E3" w:rsidRPr="00524435" w:rsidRDefault="007E31E3" w:rsidP="00820229">
            <w:pPr>
              <w:jc w:val="center"/>
              <w:rPr>
                <w:rFonts w:ascii="Cambria" w:hAnsi="Cambria" w:cstheme="minorHAnsi"/>
                <w:sz w:val="18"/>
                <w:szCs w:val="18"/>
              </w:rPr>
            </w:pPr>
          </w:p>
        </w:tc>
        <w:tc>
          <w:tcPr>
            <w:tcW w:w="1170" w:type="dxa"/>
          </w:tcPr>
          <w:p w14:paraId="52E1A2F2"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35350012"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4D508A6E"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83%</w:t>
            </w:r>
          </w:p>
        </w:tc>
        <w:tc>
          <w:tcPr>
            <w:tcW w:w="1260" w:type="dxa"/>
          </w:tcPr>
          <w:p w14:paraId="25DB7A46"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06D4D7F9" w14:textId="77777777" w:rsidTr="00820229">
        <w:trPr>
          <w:cnfStyle w:val="000000010000" w:firstRow="0" w:lastRow="0" w:firstColumn="0" w:lastColumn="0" w:oddVBand="0" w:evenVBand="0" w:oddHBand="0" w:evenHBand="1" w:firstRowFirstColumn="0" w:firstRowLastColumn="0" w:lastRowFirstColumn="0" w:lastRowLastColumn="0"/>
          <w:trHeight w:val="945"/>
          <w:jc w:val="center"/>
        </w:trPr>
        <w:tc>
          <w:tcPr>
            <w:tcW w:w="2250" w:type="dxa"/>
          </w:tcPr>
          <w:p w14:paraId="309E9C39"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t xml:space="preserve">Case 12.642, Report No. 90/10, José Iván Correa </w:t>
            </w:r>
            <w:proofErr w:type="spellStart"/>
            <w:r w:rsidRPr="00524435">
              <w:rPr>
                <w:rFonts w:ascii="Cambria" w:hAnsi="Cambria" w:cstheme="minorHAnsi"/>
                <w:sz w:val="18"/>
                <w:szCs w:val="18"/>
              </w:rPr>
              <w:t>Arévalo</w:t>
            </w:r>
            <w:proofErr w:type="spellEnd"/>
            <w:r w:rsidRPr="00524435">
              <w:rPr>
                <w:rFonts w:ascii="Cambria" w:hAnsi="Cambria" w:cstheme="minorHAnsi"/>
                <w:sz w:val="18"/>
                <w:szCs w:val="18"/>
              </w:rPr>
              <w:t xml:space="preserve"> (Mexico)</w:t>
            </w:r>
            <w:r w:rsidRPr="00524435">
              <w:rPr>
                <w:rStyle w:val="FootnoteReference"/>
                <w:rFonts w:ascii="Cambria" w:hAnsi="Cambria" w:cstheme="minorHAnsi"/>
                <w:sz w:val="18"/>
                <w:szCs w:val="18"/>
              </w:rPr>
              <w:footnoteReference w:id="100"/>
            </w:r>
          </w:p>
        </w:tc>
        <w:tc>
          <w:tcPr>
            <w:tcW w:w="1170" w:type="dxa"/>
            <w:vMerge/>
          </w:tcPr>
          <w:p w14:paraId="4FDC1172" w14:textId="77777777" w:rsidR="007E31E3" w:rsidRPr="00524435" w:rsidRDefault="007E31E3" w:rsidP="00820229">
            <w:pPr>
              <w:jc w:val="center"/>
              <w:rPr>
                <w:rFonts w:ascii="Cambria" w:hAnsi="Cambria" w:cstheme="minorHAnsi"/>
                <w:sz w:val="18"/>
                <w:szCs w:val="18"/>
              </w:rPr>
            </w:pPr>
          </w:p>
        </w:tc>
        <w:tc>
          <w:tcPr>
            <w:tcW w:w="1316" w:type="dxa"/>
          </w:tcPr>
          <w:p w14:paraId="48961AF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4195DD7C" w14:textId="77777777" w:rsidR="007E31E3" w:rsidRPr="00524435" w:rsidRDefault="007E31E3" w:rsidP="00820229">
            <w:pPr>
              <w:jc w:val="center"/>
              <w:rPr>
                <w:rFonts w:ascii="Cambria" w:hAnsi="Cambria" w:cstheme="minorHAnsi"/>
                <w:sz w:val="18"/>
                <w:szCs w:val="18"/>
              </w:rPr>
            </w:pPr>
          </w:p>
        </w:tc>
        <w:tc>
          <w:tcPr>
            <w:tcW w:w="1170" w:type="dxa"/>
          </w:tcPr>
          <w:p w14:paraId="2D5EB0C5"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24B03D6D"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1831397E"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p w14:paraId="337767C6" w14:textId="77777777" w:rsidR="007E31E3" w:rsidRPr="00524435" w:rsidRDefault="007E31E3" w:rsidP="00820229">
            <w:pPr>
              <w:jc w:val="center"/>
              <w:rPr>
                <w:rFonts w:ascii="Cambria" w:hAnsi="Cambria" w:cstheme="minorHAnsi"/>
                <w:sz w:val="18"/>
                <w:szCs w:val="18"/>
              </w:rPr>
            </w:pPr>
          </w:p>
        </w:tc>
      </w:tr>
      <w:tr w:rsidR="007E31E3" w:rsidRPr="00524435" w14:paraId="747C493C" w14:textId="77777777" w:rsidTr="00820229">
        <w:trPr>
          <w:cnfStyle w:val="000000100000" w:firstRow="0" w:lastRow="0" w:firstColumn="0" w:lastColumn="0" w:oddVBand="0" w:evenVBand="0" w:oddHBand="1" w:evenHBand="0" w:firstRowFirstColumn="0" w:firstRowLastColumn="0" w:lastRowFirstColumn="0" w:lastRowLastColumn="0"/>
          <w:trHeight w:val="936"/>
          <w:jc w:val="center"/>
        </w:trPr>
        <w:tc>
          <w:tcPr>
            <w:tcW w:w="2250" w:type="dxa"/>
          </w:tcPr>
          <w:p w14:paraId="2E6E120C" w14:textId="77777777" w:rsidR="007E31E3" w:rsidRPr="007A5442" w:rsidRDefault="007E31E3" w:rsidP="0009324C">
            <w:pPr>
              <w:numPr>
                <w:ilvl w:val="0"/>
                <w:numId w:val="18"/>
              </w:numPr>
              <w:tabs>
                <w:tab w:val="num" w:pos="522"/>
              </w:tabs>
              <w:ind w:firstLine="0"/>
              <w:jc w:val="both"/>
              <w:rPr>
                <w:rFonts w:ascii="Cambria" w:hAnsi="Cambria" w:cstheme="minorHAnsi"/>
                <w:sz w:val="18"/>
                <w:szCs w:val="18"/>
                <w:lang w:val="es-ES"/>
              </w:rPr>
            </w:pPr>
            <w:r w:rsidRPr="007A5442">
              <w:rPr>
                <w:rFonts w:ascii="Cambria" w:hAnsi="Cambria" w:cstheme="minorHAnsi"/>
                <w:sz w:val="18"/>
                <w:szCs w:val="18"/>
                <w:lang w:val="es-ES"/>
              </w:rPr>
              <w:t xml:space="preserve">Case 12.660, </w:t>
            </w:r>
            <w:proofErr w:type="spellStart"/>
            <w:r w:rsidRPr="007A5442">
              <w:rPr>
                <w:rFonts w:ascii="Cambria" w:hAnsi="Cambria" w:cstheme="minorHAnsi"/>
                <w:sz w:val="18"/>
                <w:szCs w:val="18"/>
                <w:lang w:val="es-ES"/>
              </w:rPr>
              <w:t>Report</w:t>
            </w:r>
            <w:proofErr w:type="spellEnd"/>
            <w:r w:rsidRPr="007A5442">
              <w:rPr>
                <w:rFonts w:ascii="Cambria" w:hAnsi="Cambria" w:cstheme="minorHAnsi"/>
                <w:sz w:val="18"/>
                <w:szCs w:val="18"/>
                <w:lang w:val="es-ES"/>
              </w:rPr>
              <w:t xml:space="preserve"> No. 91/10, Ricardo </w:t>
            </w:r>
            <w:proofErr w:type="spellStart"/>
            <w:r w:rsidRPr="007A5442">
              <w:rPr>
                <w:rFonts w:ascii="Cambria" w:hAnsi="Cambria" w:cstheme="minorHAnsi"/>
                <w:sz w:val="18"/>
                <w:szCs w:val="18"/>
                <w:lang w:val="es-ES"/>
              </w:rPr>
              <w:t>Ucán</w:t>
            </w:r>
            <w:proofErr w:type="spellEnd"/>
            <w:r w:rsidRPr="007A5442">
              <w:rPr>
                <w:rFonts w:ascii="Cambria" w:hAnsi="Cambria" w:cstheme="minorHAnsi"/>
                <w:sz w:val="18"/>
                <w:szCs w:val="18"/>
                <w:lang w:val="es-ES"/>
              </w:rPr>
              <w:t xml:space="preserve"> Seca (</w:t>
            </w:r>
            <w:proofErr w:type="spellStart"/>
            <w:r w:rsidRPr="007A5442">
              <w:rPr>
                <w:rFonts w:ascii="Cambria" w:hAnsi="Cambria" w:cstheme="minorHAnsi"/>
                <w:sz w:val="18"/>
                <w:szCs w:val="18"/>
                <w:lang w:val="es-ES"/>
              </w:rPr>
              <w:t>Mexico</w:t>
            </w:r>
            <w:proofErr w:type="spellEnd"/>
            <w:r w:rsidRPr="007A5442">
              <w:rPr>
                <w:rFonts w:ascii="Cambria" w:hAnsi="Cambria" w:cstheme="minorHAnsi"/>
                <w:sz w:val="18"/>
                <w:szCs w:val="18"/>
                <w:lang w:val="es-ES"/>
              </w:rPr>
              <w:t>)</w:t>
            </w:r>
            <w:r w:rsidRPr="00524435">
              <w:rPr>
                <w:rFonts w:ascii="Cambria" w:hAnsi="Cambria" w:cstheme="minorHAnsi"/>
                <w:sz w:val="18"/>
                <w:szCs w:val="18"/>
                <w:vertAlign w:val="superscript"/>
              </w:rPr>
              <w:footnoteReference w:id="101"/>
            </w:r>
          </w:p>
        </w:tc>
        <w:tc>
          <w:tcPr>
            <w:tcW w:w="1170" w:type="dxa"/>
            <w:vMerge/>
          </w:tcPr>
          <w:p w14:paraId="4FB71EBD" w14:textId="77777777" w:rsidR="007E31E3" w:rsidRPr="007A5442" w:rsidRDefault="007E31E3" w:rsidP="00820229">
            <w:pPr>
              <w:jc w:val="center"/>
              <w:rPr>
                <w:rFonts w:ascii="Cambria" w:hAnsi="Cambria" w:cstheme="minorHAnsi"/>
                <w:sz w:val="18"/>
                <w:szCs w:val="18"/>
                <w:lang w:val="es-ES"/>
              </w:rPr>
            </w:pPr>
          </w:p>
        </w:tc>
        <w:tc>
          <w:tcPr>
            <w:tcW w:w="1316" w:type="dxa"/>
          </w:tcPr>
          <w:p w14:paraId="3F232455"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4235AB64" w14:textId="77777777" w:rsidR="007E31E3" w:rsidRPr="00524435" w:rsidRDefault="007E31E3" w:rsidP="00820229">
            <w:pPr>
              <w:jc w:val="center"/>
              <w:rPr>
                <w:rFonts w:ascii="Cambria" w:hAnsi="Cambria" w:cstheme="minorHAnsi"/>
                <w:sz w:val="18"/>
                <w:szCs w:val="18"/>
              </w:rPr>
            </w:pPr>
          </w:p>
        </w:tc>
        <w:tc>
          <w:tcPr>
            <w:tcW w:w="1170" w:type="dxa"/>
          </w:tcPr>
          <w:p w14:paraId="1FFD055B"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48C3285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01F02306"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Closed</w:t>
            </w:r>
          </w:p>
        </w:tc>
      </w:tr>
      <w:tr w:rsidR="007E31E3" w:rsidRPr="00524435" w14:paraId="24A7AF63" w14:textId="77777777" w:rsidTr="00820229">
        <w:trPr>
          <w:cnfStyle w:val="000000010000" w:firstRow="0" w:lastRow="0" w:firstColumn="0" w:lastColumn="0" w:oddVBand="0" w:evenVBand="0" w:oddHBand="0" w:evenHBand="1" w:firstRowFirstColumn="0" w:firstRowLastColumn="0" w:lastRowFirstColumn="0" w:lastRowLastColumn="0"/>
          <w:trHeight w:val="954"/>
          <w:jc w:val="center"/>
        </w:trPr>
        <w:tc>
          <w:tcPr>
            <w:tcW w:w="2250" w:type="dxa"/>
          </w:tcPr>
          <w:p w14:paraId="5F127B82" w14:textId="77777777" w:rsidR="007E31E3" w:rsidRPr="007A5442" w:rsidRDefault="007E31E3" w:rsidP="0009324C">
            <w:pPr>
              <w:numPr>
                <w:ilvl w:val="0"/>
                <w:numId w:val="18"/>
              </w:numPr>
              <w:tabs>
                <w:tab w:val="num" w:pos="522"/>
              </w:tabs>
              <w:ind w:firstLine="0"/>
              <w:jc w:val="both"/>
              <w:rPr>
                <w:rFonts w:ascii="Cambria" w:hAnsi="Cambria" w:cstheme="minorHAnsi"/>
                <w:sz w:val="18"/>
                <w:szCs w:val="18"/>
                <w:lang w:val="es-ES"/>
              </w:rPr>
            </w:pPr>
            <w:r w:rsidRPr="007A5442">
              <w:rPr>
                <w:rFonts w:ascii="Cambria" w:hAnsi="Cambria" w:cstheme="minorHAnsi"/>
                <w:sz w:val="18"/>
                <w:szCs w:val="18"/>
                <w:lang w:val="es-ES"/>
              </w:rPr>
              <w:t xml:space="preserve">Case 12.623, </w:t>
            </w:r>
            <w:proofErr w:type="spellStart"/>
            <w:r w:rsidRPr="007A5442">
              <w:rPr>
                <w:rFonts w:ascii="Cambria" w:hAnsi="Cambria" w:cstheme="minorHAnsi"/>
                <w:sz w:val="18"/>
                <w:szCs w:val="18"/>
                <w:lang w:val="es-ES"/>
              </w:rPr>
              <w:t>Report</w:t>
            </w:r>
            <w:proofErr w:type="spellEnd"/>
            <w:r w:rsidRPr="007A5442">
              <w:rPr>
                <w:rFonts w:ascii="Cambria" w:hAnsi="Cambria" w:cstheme="minorHAnsi"/>
                <w:sz w:val="18"/>
                <w:szCs w:val="18"/>
                <w:lang w:val="es-ES"/>
              </w:rPr>
              <w:t xml:space="preserve"> No. 164/10, Luis Rey García (</w:t>
            </w:r>
            <w:proofErr w:type="spellStart"/>
            <w:r w:rsidRPr="007A5442">
              <w:rPr>
                <w:rFonts w:ascii="Cambria" w:hAnsi="Cambria" w:cstheme="minorHAnsi"/>
                <w:sz w:val="18"/>
                <w:szCs w:val="18"/>
                <w:lang w:val="es-ES"/>
              </w:rPr>
              <w:t>Mexico</w:t>
            </w:r>
            <w:proofErr w:type="spellEnd"/>
            <w:r w:rsidRPr="007A5442">
              <w:rPr>
                <w:rFonts w:ascii="Cambria" w:hAnsi="Cambria" w:cstheme="minorHAnsi"/>
                <w:sz w:val="18"/>
                <w:szCs w:val="18"/>
                <w:lang w:val="es-ES"/>
              </w:rPr>
              <w:t>)</w:t>
            </w:r>
            <w:r w:rsidRPr="00524435">
              <w:rPr>
                <w:rFonts w:ascii="Cambria" w:hAnsi="Cambria" w:cstheme="minorHAnsi"/>
                <w:sz w:val="18"/>
                <w:szCs w:val="18"/>
                <w:vertAlign w:val="superscript"/>
              </w:rPr>
              <w:footnoteReference w:id="102"/>
            </w:r>
          </w:p>
        </w:tc>
        <w:tc>
          <w:tcPr>
            <w:tcW w:w="1170" w:type="dxa"/>
            <w:vMerge/>
          </w:tcPr>
          <w:p w14:paraId="63190C9B" w14:textId="77777777" w:rsidR="007E31E3" w:rsidRPr="007A5442" w:rsidRDefault="007E31E3" w:rsidP="00820229">
            <w:pPr>
              <w:jc w:val="center"/>
              <w:rPr>
                <w:rFonts w:ascii="Cambria" w:hAnsi="Cambria" w:cstheme="minorHAnsi"/>
                <w:sz w:val="18"/>
                <w:szCs w:val="18"/>
                <w:lang w:val="es-ES"/>
              </w:rPr>
            </w:pPr>
          </w:p>
        </w:tc>
        <w:tc>
          <w:tcPr>
            <w:tcW w:w="1316" w:type="dxa"/>
          </w:tcPr>
          <w:p w14:paraId="5305831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158372C3" w14:textId="77777777" w:rsidR="007E31E3" w:rsidRPr="00524435" w:rsidRDefault="007E31E3" w:rsidP="00820229">
            <w:pPr>
              <w:jc w:val="center"/>
              <w:rPr>
                <w:rFonts w:ascii="Cambria" w:hAnsi="Cambria" w:cstheme="minorHAnsi"/>
                <w:sz w:val="18"/>
                <w:szCs w:val="18"/>
              </w:rPr>
            </w:pPr>
          </w:p>
        </w:tc>
        <w:tc>
          <w:tcPr>
            <w:tcW w:w="1170" w:type="dxa"/>
          </w:tcPr>
          <w:p w14:paraId="6ED64F0C"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2EA35FA5"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4C990027"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45B1FCC2" w14:textId="77777777" w:rsidTr="00820229">
        <w:trPr>
          <w:cnfStyle w:val="000000100000" w:firstRow="0" w:lastRow="0" w:firstColumn="0" w:lastColumn="0" w:oddVBand="0" w:evenVBand="0" w:oddHBand="1" w:evenHBand="0" w:firstRowFirstColumn="0" w:firstRowLastColumn="0" w:lastRowFirstColumn="0" w:lastRowLastColumn="0"/>
          <w:trHeight w:val="495"/>
          <w:jc w:val="center"/>
        </w:trPr>
        <w:tc>
          <w:tcPr>
            <w:tcW w:w="2250" w:type="dxa"/>
          </w:tcPr>
          <w:p w14:paraId="50002CED" w14:textId="77777777" w:rsidR="007E31E3" w:rsidRPr="007A5442" w:rsidRDefault="007E31E3" w:rsidP="0009324C">
            <w:pPr>
              <w:numPr>
                <w:ilvl w:val="0"/>
                <w:numId w:val="18"/>
              </w:numPr>
              <w:tabs>
                <w:tab w:val="num" w:pos="522"/>
              </w:tabs>
              <w:ind w:firstLine="0"/>
              <w:jc w:val="both"/>
              <w:rPr>
                <w:rFonts w:ascii="Cambria" w:hAnsi="Cambria" w:cstheme="minorHAnsi"/>
                <w:sz w:val="18"/>
                <w:szCs w:val="18"/>
                <w:lang w:val="es-ES"/>
              </w:rPr>
            </w:pPr>
            <w:proofErr w:type="spellStart"/>
            <w:r w:rsidRPr="007A5442">
              <w:rPr>
                <w:rFonts w:ascii="Cambria" w:hAnsi="Cambria" w:cstheme="minorHAnsi"/>
                <w:sz w:val="18"/>
                <w:szCs w:val="18"/>
                <w:lang w:val="es-ES"/>
              </w:rPr>
              <w:t>Petition</w:t>
            </w:r>
            <w:proofErr w:type="spellEnd"/>
            <w:r w:rsidRPr="007A5442">
              <w:rPr>
                <w:rFonts w:ascii="Cambria" w:hAnsi="Cambria" w:cstheme="minorHAnsi"/>
                <w:sz w:val="18"/>
                <w:szCs w:val="18"/>
                <w:lang w:val="es-ES"/>
              </w:rPr>
              <w:t xml:space="preserve"> 318-05, </w:t>
            </w:r>
            <w:proofErr w:type="spellStart"/>
            <w:r w:rsidRPr="007A5442">
              <w:rPr>
                <w:rFonts w:ascii="Cambria" w:hAnsi="Cambria" w:cstheme="minorHAnsi"/>
                <w:sz w:val="18"/>
                <w:szCs w:val="18"/>
                <w:lang w:val="es-ES"/>
              </w:rPr>
              <w:t>Report</w:t>
            </w:r>
            <w:proofErr w:type="spellEnd"/>
            <w:r w:rsidRPr="007A5442">
              <w:rPr>
                <w:rFonts w:ascii="Cambria" w:hAnsi="Cambria" w:cstheme="minorHAnsi"/>
                <w:sz w:val="18"/>
                <w:szCs w:val="18"/>
                <w:lang w:val="es-ES"/>
              </w:rPr>
              <w:t xml:space="preserve"> No. 68/12, Gerónimo Gómez López (</w:t>
            </w:r>
            <w:proofErr w:type="spellStart"/>
            <w:r w:rsidRPr="007A5442">
              <w:rPr>
                <w:rFonts w:ascii="Cambria" w:hAnsi="Cambria" w:cstheme="minorHAnsi"/>
                <w:sz w:val="18"/>
                <w:szCs w:val="18"/>
                <w:lang w:val="es-ES"/>
              </w:rPr>
              <w:t>Mexico</w:t>
            </w:r>
            <w:proofErr w:type="spellEnd"/>
            <w:r w:rsidRPr="007A5442">
              <w:rPr>
                <w:rFonts w:ascii="Cambria" w:hAnsi="Cambria" w:cstheme="minorHAnsi"/>
                <w:sz w:val="18"/>
                <w:szCs w:val="18"/>
                <w:lang w:val="es-ES"/>
              </w:rPr>
              <w:t>)</w:t>
            </w:r>
            <w:r w:rsidRPr="00524435">
              <w:rPr>
                <w:rFonts w:ascii="Cambria" w:hAnsi="Cambria" w:cstheme="minorHAnsi"/>
                <w:sz w:val="18"/>
                <w:szCs w:val="18"/>
                <w:vertAlign w:val="superscript"/>
              </w:rPr>
              <w:footnoteReference w:id="103"/>
            </w:r>
          </w:p>
        </w:tc>
        <w:tc>
          <w:tcPr>
            <w:tcW w:w="1170" w:type="dxa"/>
            <w:vMerge/>
          </w:tcPr>
          <w:p w14:paraId="31C85046" w14:textId="77777777" w:rsidR="007E31E3" w:rsidRPr="007A5442" w:rsidRDefault="007E31E3" w:rsidP="00820229">
            <w:pPr>
              <w:jc w:val="center"/>
              <w:rPr>
                <w:rFonts w:ascii="Cambria" w:hAnsi="Cambria" w:cstheme="minorHAnsi"/>
                <w:sz w:val="18"/>
                <w:szCs w:val="18"/>
                <w:lang w:val="es-ES"/>
              </w:rPr>
            </w:pPr>
          </w:p>
        </w:tc>
        <w:tc>
          <w:tcPr>
            <w:tcW w:w="1316" w:type="dxa"/>
          </w:tcPr>
          <w:p w14:paraId="6CBC4E8A"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0F1DFE6B" w14:textId="77777777" w:rsidR="007E31E3" w:rsidRPr="00524435" w:rsidRDefault="007E31E3" w:rsidP="00820229">
            <w:pPr>
              <w:jc w:val="center"/>
              <w:rPr>
                <w:rFonts w:ascii="Cambria" w:hAnsi="Cambria" w:cstheme="minorHAnsi"/>
                <w:sz w:val="18"/>
                <w:szCs w:val="18"/>
              </w:rPr>
            </w:pPr>
          </w:p>
        </w:tc>
        <w:tc>
          <w:tcPr>
            <w:tcW w:w="1170" w:type="dxa"/>
          </w:tcPr>
          <w:p w14:paraId="0CB61322"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4008C509"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2B7BC143"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51915C49" w14:textId="77777777" w:rsidTr="00820229">
        <w:trPr>
          <w:cnfStyle w:val="000000010000" w:firstRow="0" w:lastRow="0" w:firstColumn="0" w:lastColumn="0" w:oddVBand="0" w:evenVBand="0" w:oddHBand="0" w:evenHBand="1" w:firstRowFirstColumn="0" w:firstRowLastColumn="0" w:lastRowFirstColumn="0" w:lastRowLastColumn="0"/>
          <w:trHeight w:val="1125"/>
          <w:jc w:val="center"/>
        </w:trPr>
        <w:tc>
          <w:tcPr>
            <w:tcW w:w="2250" w:type="dxa"/>
          </w:tcPr>
          <w:p w14:paraId="583A7B03"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t xml:space="preserve">Case 12.769, Report No. 65/14, </w:t>
            </w:r>
            <w:proofErr w:type="spellStart"/>
            <w:r w:rsidRPr="00524435">
              <w:rPr>
                <w:rFonts w:ascii="Cambria" w:hAnsi="Cambria" w:cstheme="minorHAnsi"/>
                <w:sz w:val="18"/>
                <w:szCs w:val="18"/>
              </w:rPr>
              <w:t>Irineo</w:t>
            </w:r>
            <w:proofErr w:type="spellEnd"/>
            <w:r w:rsidRPr="00524435">
              <w:rPr>
                <w:rFonts w:ascii="Cambria" w:hAnsi="Cambria" w:cstheme="minorHAnsi"/>
                <w:sz w:val="18"/>
                <w:szCs w:val="18"/>
              </w:rPr>
              <w:t xml:space="preserve"> Martínez Torres and Other (Mexico)</w:t>
            </w:r>
            <w:r w:rsidRPr="00524435">
              <w:rPr>
                <w:rFonts w:ascii="Cambria" w:hAnsi="Cambria" w:cstheme="minorHAnsi"/>
                <w:sz w:val="18"/>
                <w:szCs w:val="18"/>
                <w:vertAlign w:val="superscript"/>
              </w:rPr>
              <w:t xml:space="preserve"> </w:t>
            </w:r>
            <w:r w:rsidRPr="00524435">
              <w:rPr>
                <w:rFonts w:ascii="Cambria" w:hAnsi="Cambria" w:cstheme="minorHAnsi"/>
                <w:sz w:val="18"/>
                <w:szCs w:val="18"/>
                <w:vertAlign w:val="superscript"/>
              </w:rPr>
              <w:footnoteReference w:id="104"/>
            </w:r>
          </w:p>
        </w:tc>
        <w:tc>
          <w:tcPr>
            <w:tcW w:w="1170" w:type="dxa"/>
            <w:vMerge/>
          </w:tcPr>
          <w:p w14:paraId="568E0871" w14:textId="77777777" w:rsidR="007E31E3" w:rsidRPr="00524435" w:rsidRDefault="007E31E3" w:rsidP="00820229">
            <w:pPr>
              <w:jc w:val="center"/>
              <w:rPr>
                <w:rFonts w:ascii="Cambria" w:hAnsi="Cambria" w:cstheme="minorHAnsi"/>
                <w:sz w:val="18"/>
                <w:szCs w:val="18"/>
              </w:rPr>
            </w:pPr>
          </w:p>
        </w:tc>
        <w:tc>
          <w:tcPr>
            <w:tcW w:w="1316" w:type="dxa"/>
          </w:tcPr>
          <w:p w14:paraId="21E6B58A"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2ACF247C" w14:textId="77777777" w:rsidR="007E31E3" w:rsidRPr="00524435" w:rsidRDefault="007E31E3" w:rsidP="00820229">
            <w:pPr>
              <w:jc w:val="center"/>
              <w:rPr>
                <w:rFonts w:ascii="Cambria" w:hAnsi="Cambria" w:cstheme="minorHAnsi"/>
                <w:sz w:val="18"/>
                <w:szCs w:val="18"/>
              </w:rPr>
            </w:pPr>
          </w:p>
        </w:tc>
        <w:tc>
          <w:tcPr>
            <w:tcW w:w="1170" w:type="dxa"/>
          </w:tcPr>
          <w:p w14:paraId="67B7691C"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02483CA1"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284A9DB8"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51708169" w14:textId="77777777" w:rsidTr="00820229">
        <w:trPr>
          <w:cnfStyle w:val="000000100000" w:firstRow="0" w:lastRow="0" w:firstColumn="0" w:lastColumn="0" w:oddVBand="0" w:evenVBand="0" w:oddHBand="1" w:evenHBand="0" w:firstRowFirstColumn="0" w:firstRowLastColumn="0" w:lastRowFirstColumn="0" w:lastRowLastColumn="0"/>
          <w:trHeight w:val="1170"/>
          <w:jc w:val="center"/>
        </w:trPr>
        <w:tc>
          <w:tcPr>
            <w:tcW w:w="2250" w:type="dxa"/>
          </w:tcPr>
          <w:p w14:paraId="508E2F17"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7A5442">
              <w:rPr>
                <w:rFonts w:ascii="Cambria" w:hAnsi="Cambria" w:cstheme="minorHAnsi"/>
                <w:sz w:val="18"/>
                <w:szCs w:val="18"/>
                <w:lang w:val="es-ES"/>
              </w:rPr>
              <w:t xml:space="preserve">Case 12.813, </w:t>
            </w:r>
            <w:proofErr w:type="spellStart"/>
            <w:r w:rsidRPr="007A5442">
              <w:rPr>
                <w:rFonts w:ascii="Cambria" w:hAnsi="Cambria" w:cstheme="minorHAnsi"/>
                <w:sz w:val="18"/>
                <w:szCs w:val="18"/>
                <w:lang w:val="es-ES"/>
              </w:rPr>
              <w:t>Report</w:t>
            </w:r>
            <w:proofErr w:type="spellEnd"/>
            <w:r w:rsidRPr="007A5442">
              <w:rPr>
                <w:rFonts w:ascii="Cambria" w:hAnsi="Cambria" w:cstheme="minorHAnsi"/>
                <w:sz w:val="18"/>
                <w:szCs w:val="18"/>
                <w:lang w:val="es-ES"/>
              </w:rPr>
              <w:t xml:space="preserve"> No. 81/15, Blanca Olivia Contreras Vital et al. </w:t>
            </w:r>
            <w:r w:rsidRPr="00524435">
              <w:rPr>
                <w:rFonts w:ascii="Cambria" w:hAnsi="Cambria" w:cstheme="minorHAnsi"/>
                <w:sz w:val="18"/>
                <w:szCs w:val="18"/>
              </w:rPr>
              <w:t>(Mexico)</w:t>
            </w:r>
            <w:r w:rsidRPr="00524435">
              <w:rPr>
                <w:rStyle w:val="FootnoteReference"/>
                <w:rFonts w:ascii="Cambria" w:hAnsi="Cambria" w:cstheme="minorHAnsi"/>
                <w:sz w:val="18"/>
                <w:szCs w:val="18"/>
              </w:rPr>
              <w:footnoteReference w:id="105"/>
            </w:r>
          </w:p>
        </w:tc>
        <w:tc>
          <w:tcPr>
            <w:tcW w:w="1170" w:type="dxa"/>
            <w:vMerge/>
          </w:tcPr>
          <w:p w14:paraId="79B165A3" w14:textId="77777777" w:rsidR="007E31E3" w:rsidRPr="00524435" w:rsidRDefault="007E31E3" w:rsidP="00820229">
            <w:pPr>
              <w:jc w:val="center"/>
              <w:rPr>
                <w:rFonts w:ascii="Cambria" w:hAnsi="Cambria" w:cstheme="minorHAnsi"/>
                <w:sz w:val="18"/>
                <w:szCs w:val="18"/>
              </w:rPr>
            </w:pPr>
          </w:p>
        </w:tc>
        <w:tc>
          <w:tcPr>
            <w:tcW w:w="1316" w:type="dxa"/>
          </w:tcPr>
          <w:p w14:paraId="259507B7"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6155C7BA" w14:textId="77777777" w:rsidR="007E31E3" w:rsidRPr="00524435" w:rsidRDefault="007E31E3" w:rsidP="00820229">
            <w:pPr>
              <w:jc w:val="center"/>
              <w:rPr>
                <w:rFonts w:ascii="Cambria" w:hAnsi="Cambria" w:cstheme="minorHAnsi"/>
                <w:sz w:val="18"/>
                <w:szCs w:val="18"/>
              </w:rPr>
            </w:pPr>
          </w:p>
        </w:tc>
        <w:tc>
          <w:tcPr>
            <w:tcW w:w="1170" w:type="dxa"/>
          </w:tcPr>
          <w:p w14:paraId="32DC1904"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40B87E41"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00D04840"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2C645AB9" w14:textId="77777777" w:rsidTr="00820229">
        <w:trPr>
          <w:cnfStyle w:val="000000010000" w:firstRow="0" w:lastRow="0" w:firstColumn="0" w:lastColumn="0" w:oddVBand="0" w:evenVBand="0" w:oddHBand="0" w:evenHBand="1" w:firstRowFirstColumn="0" w:firstRowLastColumn="0" w:lastRowFirstColumn="0" w:lastRowLastColumn="0"/>
          <w:trHeight w:val="954"/>
          <w:jc w:val="center"/>
        </w:trPr>
        <w:tc>
          <w:tcPr>
            <w:tcW w:w="2250" w:type="dxa"/>
          </w:tcPr>
          <w:p w14:paraId="642181E5"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t xml:space="preserve">Petition 1171-09, Report No. 15/16, Ananias </w:t>
            </w:r>
            <w:proofErr w:type="spellStart"/>
            <w:proofErr w:type="gramStart"/>
            <w:r w:rsidRPr="00524435">
              <w:rPr>
                <w:rFonts w:ascii="Cambria" w:hAnsi="Cambria" w:cstheme="minorHAnsi"/>
                <w:sz w:val="18"/>
                <w:szCs w:val="18"/>
              </w:rPr>
              <w:t>Laparra</w:t>
            </w:r>
            <w:proofErr w:type="spellEnd"/>
            <w:proofErr w:type="gramEnd"/>
            <w:r w:rsidRPr="00524435">
              <w:rPr>
                <w:rFonts w:ascii="Cambria" w:hAnsi="Cambria" w:cstheme="minorHAnsi"/>
                <w:sz w:val="18"/>
                <w:szCs w:val="18"/>
              </w:rPr>
              <w:t xml:space="preserve"> and relatives (Mexico)</w:t>
            </w:r>
          </w:p>
        </w:tc>
        <w:tc>
          <w:tcPr>
            <w:tcW w:w="1170" w:type="dxa"/>
            <w:vMerge/>
          </w:tcPr>
          <w:p w14:paraId="748110F2" w14:textId="77777777" w:rsidR="007E31E3" w:rsidRPr="00524435" w:rsidRDefault="007E31E3" w:rsidP="00820229">
            <w:pPr>
              <w:jc w:val="center"/>
              <w:rPr>
                <w:rFonts w:ascii="Cambria" w:hAnsi="Cambria" w:cstheme="minorHAnsi"/>
                <w:sz w:val="18"/>
                <w:szCs w:val="18"/>
              </w:rPr>
            </w:pPr>
          </w:p>
        </w:tc>
        <w:tc>
          <w:tcPr>
            <w:tcW w:w="1316" w:type="dxa"/>
          </w:tcPr>
          <w:p w14:paraId="1673FD31" w14:textId="77777777" w:rsidR="007E31E3" w:rsidRPr="00524435" w:rsidRDefault="007E31E3" w:rsidP="00820229">
            <w:pPr>
              <w:jc w:val="center"/>
              <w:rPr>
                <w:rFonts w:ascii="Cambria" w:hAnsi="Cambria" w:cstheme="minorHAnsi"/>
                <w:sz w:val="18"/>
                <w:szCs w:val="18"/>
              </w:rPr>
            </w:pPr>
          </w:p>
        </w:tc>
        <w:tc>
          <w:tcPr>
            <w:tcW w:w="1170" w:type="dxa"/>
          </w:tcPr>
          <w:p w14:paraId="7AC4FC37"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720CCBC1"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6FF19C07"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64%</w:t>
            </w:r>
          </w:p>
        </w:tc>
        <w:tc>
          <w:tcPr>
            <w:tcW w:w="1260" w:type="dxa"/>
          </w:tcPr>
          <w:p w14:paraId="22FBAE8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4AC63714" w14:textId="77777777" w:rsidTr="00820229">
        <w:trPr>
          <w:cnfStyle w:val="000000100000" w:firstRow="0" w:lastRow="0" w:firstColumn="0" w:lastColumn="0" w:oddVBand="0" w:evenVBand="0" w:oddHBand="1" w:evenHBand="0" w:firstRowFirstColumn="0" w:firstRowLastColumn="0" w:lastRowFirstColumn="0" w:lastRowLastColumn="0"/>
          <w:trHeight w:val="936"/>
          <w:jc w:val="center"/>
        </w:trPr>
        <w:tc>
          <w:tcPr>
            <w:tcW w:w="2250" w:type="dxa"/>
          </w:tcPr>
          <w:p w14:paraId="20F93C95"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t xml:space="preserve">Case 12.847, Report No. 16/16, Vicenta Sanchez </w:t>
            </w:r>
            <w:proofErr w:type="spellStart"/>
            <w:r w:rsidRPr="00524435">
              <w:rPr>
                <w:rFonts w:ascii="Cambria" w:hAnsi="Cambria" w:cstheme="minorHAnsi"/>
                <w:sz w:val="18"/>
                <w:szCs w:val="18"/>
              </w:rPr>
              <w:t>Valdivieso</w:t>
            </w:r>
            <w:proofErr w:type="spellEnd"/>
            <w:r w:rsidRPr="00524435">
              <w:rPr>
                <w:rFonts w:ascii="Cambria" w:hAnsi="Cambria" w:cstheme="minorHAnsi"/>
                <w:sz w:val="18"/>
                <w:szCs w:val="18"/>
              </w:rPr>
              <w:t xml:space="preserve"> (Mexico)</w:t>
            </w:r>
          </w:p>
        </w:tc>
        <w:tc>
          <w:tcPr>
            <w:tcW w:w="1170" w:type="dxa"/>
            <w:vMerge/>
          </w:tcPr>
          <w:p w14:paraId="1495DDA6" w14:textId="77777777" w:rsidR="007E31E3" w:rsidRPr="00524435" w:rsidRDefault="007E31E3" w:rsidP="00820229">
            <w:pPr>
              <w:jc w:val="center"/>
              <w:rPr>
                <w:rFonts w:ascii="Cambria" w:hAnsi="Cambria" w:cstheme="minorHAnsi"/>
                <w:sz w:val="18"/>
                <w:szCs w:val="18"/>
              </w:rPr>
            </w:pPr>
          </w:p>
        </w:tc>
        <w:tc>
          <w:tcPr>
            <w:tcW w:w="1316" w:type="dxa"/>
          </w:tcPr>
          <w:p w14:paraId="5464E1A6"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3D318DEC" w14:textId="77777777" w:rsidR="007E31E3" w:rsidRPr="00524435" w:rsidRDefault="007E31E3" w:rsidP="00820229">
            <w:pPr>
              <w:jc w:val="center"/>
              <w:rPr>
                <w:rFonts w:ascii="Cambria" w:hAnsi="Cambria" w:cstheme="minorHAnsi"/>
                <w:sz w:val="18"/>
                <w:szCs w:val="18"/>
              </w:rPr>
            </w:pPr>
          </w:p>
        </w:tc>
        <w:tc>
          <w:tcPr>
            <w:tcW w:w="1170" w:type="dxa"/>
          </w:tcPr>
          <w:p w14:paraId="311E70CD"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77DA28AF"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0757B4F8"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 2021</w:t>
            </w:r>
          </w:p>
        </w:tc>
      </w:tr>
      <w:tr w:rsidR="007E31E3" w:rsidRPr="00524435" w14:paraId="3F8E5955" w14:textId="77777777" w:rsidTr="00820229">
        <w:trPr>
          <w:cnfStyle w:val="000000010000" w:firstRow="0" w:lastRow="0" w:firstColumn="0" w:lastColumn="0" w:oddVBand="0" w:evenVBand="0" w:oddHBand="0" w:evenHBand="1" w:firstRowFirstColumn="0" w:firstRowLastColumn="0" w:lastRowFirstColumn="0" w:lastRowLastColumn="0"/>
          <w:trHeight w:val="945"/>
          <w:jc w:val="center"/>
        </w:trPr>
        <w:tc>
          <w:tcPr>
            <w:tcW w:w="2250" w:type="dxa"/>
          </w:tcPr>
          <w:p w14:paraId="313BE1D1"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lastRenderedPageBreak/>
              <w:t xml:space="preserve">Case 12.627, Report No. 92/17, Maria </w:t>
            </w:r>
            <w:proofErr w:type="spellStart"/>
            <w:r w:rsidRPr="00524435">
              <w:rPr>
                <w:rFonts w:ascii="Cambria" w:hAnsi="Cambria" w:cstheme="minorHAnsi"/>
                <w:sz w:val="18"/>
                <w:szCs w:val="18"/>
              </w:rPr>
              <w:t>Nicolasa</w:t>
            </w:r>
            <w:proofErr w:type="spellEnd"/>
            <w:r w:rsidRPr="00524435">
              <w:rPr>
                <w:rFonts w:ascii="Cambria" w:hAnsi="Cambria" w:cstheme="minorHAnsi"/>
                <w:sz w:val="18"/>
                <w:szCs w:val="18"/>
              </w:rPr>
              <w:t xml:space="preserve"> Garcia Reynoso (Mexico)</w:t>
            </w:r>
          </w:p>
        </w:tc>
        <w:tc>
          <w:tcPr>
            <w:tcW w:w="1170" w:type="dxa"/>
            <w:vMerge/>
          </w:tcPr>
          <w:p w14:paraId="6152E9D0" w14:textId="77777777" w:rsidR="007E31E3" w:rsidRPr="00524435" w:rsidRDefault="007E31E3" w:rsidP="00820229">
            <w:pPr>
              <w:jc w:val="center"/>
              <w:rPr>
                <w:rFonts w:ascii="Cambria" w:hAnsi="Cambria" w:cstheme="minorHAnsi"/>
                <w:sz w:val="18"/>
                <w:szCs w:val="18"/>
              </w:rPr>
            </w:pPr>
          </w:p>
        </w:tc>
        <w:tc>
          <w:tcPr>
            <w:tcW w:w="1316" w:type="dxa"/>
          </w:tcPr>
          <w:p w14:paraId="44E0B710"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7BDBCD3B" w14:textId="77777777" w:rsidR="007E31E3" w:rsidRPr="00524435" w:rsidRDefault="007E31E3" w:rsidP="00820229">
            <w:pPr>
              <w:jc w:val="center"/>
              <w:rPr>
                <w:rFonts w:ascii="Cambria" w:hAnsi="Cambria" w:cstheme="minorHAnsi"/>
                <w:sz w:val="18"/>
                <w:szCs w:val="18"/>
              </w:rPr>
            </w:pPr>
          </w:p>
        </w:tc>
        <w:tc>
          <w:tcPr>
            <w:tcW w:w="1170" w:type="dxa"/>
          </w:tcPr>
          <w:p w14:paraId="3A5D4A45"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27F6FA08"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48E2CAE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 2021</w:t>
            </w:r>
          </w:p>
        </w:tc>
      </w:tr>
      <w:tr w:rsidR="007E31E3" w:rsidRPr="00524435" w14:paraId="0314D5F5" w14:textId="77777777" w:rsidTr="00820229">
        <w:trPr>
          <w:cnfStyle w:val="000000100000" w:firstRow="0" w:lastRow="0" w:firstColumn="0" w:lastColumn="0" w:oddVBand="0" w:evenVBand="0" w:oddHBand="1" w:evenHBand="0" w:firstRowFirstColumn="0" w:firstRowLastColumn="0" w:lastRowFirstColumn="0" w:lastRowLastColumn="0"/>
          <w:trHeight w:val="945"/>
          <w:jc w:val="center"/>
        </w:trPr>
        <w:tc>
          <w:tcPr>
            <w:tcW w:w="2250" w:type="dxa"/>
          </w:tcPr>
          <w:p w14:paraId="5305D6D0" w14:textId="77777777" w:rsidR="007E31E3" w:rsidRPr="007A5442" w:rsidRDefault="007E31E3" w:rsidP="0009324C">
            <w:pPr>
              <w:numPr>
                <w:ilvl w:val="0"/>
                <w:numId w:val="18"/>
              </w:numPr>
              <w:tabs>
                <w:tab w:val="num" w:pos="522"/>
              </w:tabs>
              <w:ind w:firstLine="0"/>
              <w:jc w:val="both"/>
              <w:rPr>
                <w:rFonts w:ascii="Cambria" w:hAnsi="Cambria" w:cstheme="minorHAnsi"/>
                <w:sz w:val="18"/>
                <w:szCs w:val="18"/>
                <w:lang w:val="es-ES"/>
              </w:rPr>
            </w:pPr>
            <w:proofErr w:type="spellStart"/>
            <w:r w:rsidRPr="007A5442">
              <w:rPr>
                <w:rFonts w:ascii="Cambria" w:hAnsi="Cambria" w:cstheme="minorHAnsi"/>
                <w:sz w:val="18"/>
                <w:szCs w:val="18"/>
                <w:lang w:val="es-ES"/>
              </w:rPr>
              <w:t>Petition</w:t>
            </w:r>
            <w:proofErr w:type="spellEnd"/>
            <w:r w:rsidRPr="007A5442">
              <w:rPr>
                <w:rFonts w:ascii="Cambria" w:hAnsi="Cambria" w:cstheme="minorHAnsi"/>
                <w:sz w:val="18"/>
                <w:szCs w:val="18"/>
                <w:lang w:val="es-ES"/>
              </w:rPr>
              <w:t xml:space="preserve"> 1014-06, </w:t>
            </w:r>
            <w:proofErr w:type="spellStart"/>
            <w:r w:rsidRPr="007A5442">
              <w:rPr>
                <w:rFonts w:ascii="Cambria" w:hAnsi="Cambria" w:cstheme="minorHAnsi"/>
                <w:sz w:val="18"/>
                <w:szCs w:val="18"/>
                <w:lang w:val="es-ES"/>
              </w:rPr>
              <w:t>Report</w:t>
            </w:r>
            <w:proofErr w:type="spellEnd"/>
            <w:r w:rsidRPr="007A5442">
              <w:rPr>
                <w:rFonts w:ascii="Cambria" w:hAnsi="Cambria" w:cstheme="minorHAnsi"/>
                <w:sz w:val="18"/>
                <w:szCs w:val="18"/>
                <w:lang w:val="es-ES"/>
              </w:rPr>
              <w:t xml:space="preserve"> No. 35/19, Antonio Jacinto Lopez (</w:t>
            </w:r>
            <w:proofErr w:type="spellStart"/>
            <w:r w:rsidRPr="007A5442">
              <w:rPr>
                <w:rFonts w:ascii="Cambria" w:hAnsi="Cambria" w:cstheme="minorHAnsi"/>
                <w:sz w:val="18"/>
                <w:szCs w:val="18"/>
                <w:lang w:val="es-ES"/>
              </w:rPr>
              <w:t>Mexico</w:t>
            </w:r>
            <w:proofErr w:type="spellEnd"/>
            <w:r w:rsidRPr="007A5442">
              <w:rPr>
                <w:rFonts w:ascii="Cambria" w:hAnsi="Cambria" w:cstheme="minorHAnsi"/>
                <w:sz w:val="18"/>
                <w:szCs w:val="18"/>
                <w:lang w:val="es-ES"/>
              </w:rPr>
              <w:t>)</w:t>
            </w:r>
          </w:p>
        </w:tc>
        <w:tc>
          <w:tcPr>
            <w:tcW w:w="1170" w:type="dxa"/>
            <w:vMerge/>
          </w:tcPr>
          <w:p w14:paraId="220EC79A" w14:textId="77777777" w:rsidR="007E31E3" w:rsidRPr="007A5442" w:rsidRDefault="007E31E3" w:rsidP="00820229">
            <w:pPr>
              <w:jc w:val="center"/>
              <w:rPr>
                <w:rFonts w:ascii="Cambria" w:hAnsi="Cambria" w:cstheme="minorHAnsi"/>
                <w:sz w:val="18"/>
                <w:szCs w:val="18"/>
                <w:lang w:val="es-ES"/>
              </w:rPr>
            </w:pPr>
          </w:p>
        </w:tc>
        <w:tc>
          <w:tcPr>
            <w:tcW w:w="1316" w:type="dxa"/>
          </w:tcPr>
          <w:p w14:paraId="2C0C10D9" w14:textId="77777777" w:rsidR="007E31E3" w:rsidRPr="007A5442" w:rsidRDefault="007E31E3" w:rsidP="00820229">
            <w:pPr>
              <w:jc w:val="center"/>
              <w:rPr>
                <w:rFonts w:ascii="Cambria" w:hAnsi="Cambria" w:cstheme="minorHAnsi"/>
                <w:sz w:val="18"/>
                <w:szCs w:val="18"/>
                <w:lang w:val="es-ES"/>
              </w:rPr>
            </w:pPr>
          </w:p>
        </w:tc>
        <w:tc>
          <w:tcPr>
            <w:tcW w:w="1170" w:type="dxa"/>
          </w:tcPr>
          <w:p w14:paraId="65EF2D9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23B60FF8"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1A8F637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74%</w:t>
            </w:r>
          </w:p>
        </w:tc>
        <w:tc>
          <w:tcPr>
            <w:tcW w:w="1260" w:type="dxa"/>
          </w:tcPr>
          <w:p w14:paraId="09E72220"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68C3C68B" w14:textId="77777777" w:rsidTr="00820229">
        <w:trPr>
          <w:cnfStyle w:val="000000010000" w:firstRow="0" w:lastRow="0" w:firstColumn="0" w:lastColumn="0" w:oddVBand="0" w:evenVBand="0" w:oddHBand="0" w:evenHBand="1" w:firstRowFirstColumn="0" w:firstRowLastColumn="0" w:lastRowFirstColumn="0" w:lastRowLastColumn="0"/>
          <w:trHeight w:val="936"/>
          <w:jc w:val="center"/>
        </w:trPr>
        <w:tc>
          <w:tcPr>
            <w:tcW w:w="2250" w:type="dxa"/>
          </w:tcPr>
          <w:p w14:paraId="5160D18C"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t xml:space="preserve">Case 13.408, Report No. 43/19, Alberto </w:t>
            </w:r>
            <w:proofErr w:type="spellStart"/>
            <w:r w:rsidRPr="00524435">
              <w:rPr>
                <w:rFonts w:ascii="Cambria" w:hAnsi="Cambria" w:cstheme="minorHAnsi"/>
                <w:sz w:val="18"/>
                <w:szCs w:val="18"/>
              </w:rPr>
              <w:t>Patishtán</w:t>
            </w:r>
            <w:proofErr w:type="spellEnd"/>
            <w:r w:rsidRPr="00524435">
              <w:rPr>
                <w:rFonts w:ascii="Cambria" w:hAnsi="Cambria" w:cstheme="minorHAnsi"/>
                <w:sz w:val="18"/>
                <w:szCs w:val="18"/>
              </w:rPr>
              <w:t xml:space="preserve"> Gómez (Mexico)</w:t>
            </w:r>
            <w:r w:rsidRPr="00524435">
              <w:rPr>
                <w:rFonts w:ascii="Cambria" w:hAnsi="Cambria" w:cstheme="minorHAnsi"/>
                <w:sz w:val="18"/>
                <w:szCs w:val="18"/>
                <w:vertAlign w:val="superscript"/>
              </w:rPr>
              <w:footnoteReference w:id="106"/>
            </w:r>
          </w:p>
        </w:tc>
        <w:tc>
          <w:tcPr>
            <w:tcW w:w="1170" w:type="dxa"/>
            <w:vMerge/>
          </w:tcPr>
          <w:p w14:paraId="0A53D4E3" w14:textId="77777777" w:rsidR="007E31E3" w:rsidRPr="00524435" w:rsidRDefault="007E31E3" w:rsidP="00820229">
            <w:pPr>
              <w:jc w:val="center"/>
              <w:rPr>
                <w:rFonts w:ascii="Cambria" w:hAnsi="Cambria" w:cstheme="minorHAnsi"/>
                <w:sz w:val="18"/>
                <w:szCs w:val="18"/>
              </w:rPr>
            </w:pPr>
          </w:p>
        </w:tc>
        <w:tc>
          <w:tcPr>
            <w:tcW w:w="1316" w:type="dxa"/>
          </w:tcPr>
          <w:p w14:paraId="4D1AB798"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150225BA" w14:textId="77777777" w:rsidR="007E31E3" w:rsidRPr="00524435" w:rsidRDefault="007E31E3" w:rsidP="00820229">
            <w:pPr>
              <w:jc w:val="center"/>
              <w:rPr>
                <w:rFonts w:ascii="Cambria" w:hAnsi="Cambria" w:cstheme="minorHAnsi"/>
                <w:sz w:val="18"/>
                <w:szCs w:val="18"/>
              </w:rPr>
            </w:pPr>
          </w:p>
        </w:tc>
        <w:tc>
          <w:tcPr>
            <w:tcW w:w="1170" w:type="dxa"/>
          </w:tcPr>
          <w:p w14:paraId="0E6E0C71"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2EE0038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62F4EA0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22A24831" w14:textId="77777777" w:rsidTr="00820229">
        <w:trPr>
          <w:cnfStyle w:val="000000100000" w:firstRow="0" w:lastRow="0" w:firstColumn="0" w:lastColumn="0" w:oddVBand="0" w:evenVBand="0" w:oddHBand="1" w:evenHBand="0" w:firstRowFirstColumn="0" w:firstRowLastColumn="0" w:lastRowFirstColumn="0" w:lastRowLastColumn="0"/>
          <w:trHeight w:val="954"/>
          <w:jc w:val="center"/>
        </w:trPr>
        <w:tc>
          <w:tcPr>
            <w:tcW w:w="2250" w:type="dxa"/>
          </w:tcPr>
          <w:p w14:paraId="39A4A9D3" w14:textId="77777777" w:rsidR="007E31E3" w:rsidRPr="007A5442" w:rsidRDefault="007E31E3" w:rsidP="0009324C">
            <w:pPr>
              <w:numPr>
                <w:ilvl w:val="0"/>
                <w:numId w:val="18"/>
              </w:numPr>
              <w:tabs>
                <w:tab w:val="num" w:pos="522"/>
              </w:tabs>
              <w:ind w:firstLine="0"/>
              <w:jc w:val="both"/>
              <w:rPr>
                <w:rFonts w:ascii="Cambria" w:hAnsi="Cambria" w:cstheme="minorHAnsi"/>
                <w:sz w:val="18"/>
                <w:szCs w:val="18"/>
                <w:lang w:val="es-ES"/>
              </w:rPr>
            </w:pPr>
            <w:r w:rsidRPr="007A5442">
              <w:rPr>
                <w:rFonts w:ascii="Cambria" w:hAnsi="Cambria" w:cstheme="minorHAnsi"/>
                <w:sz w:val="18"/>
                <w:szCs w:val="18"/>
                <w:lang w:val="es-ES"/>
              </w:rPr>
              <w:t xml:space="preserve">Case 12.986, </w:t>
            </w:r>
            <w:proofErr w:type="spellStart"/>
            <w:r w:rsidRPr="007A5442">
              <w:rPr>
                <w:rFonts w:ascii="Cambria" w:hAnsi="Cambria" w:cstheme="minorHAnsi"/>
                <w:sz w:val="18"/>
                <w:szCs w:val="18"/>
                <w:lang w:val="es-ES"/>
              </w:rPr>
              <w:t>Report</w:t>
            </w:r>
            <w:proofErr w:type="spellEnd"/>
            <w:r w:rsidRPr="007A5442">
              <w:rPr>
                <w:rFonts w:ascii="Cambria" w:hAnsi="Cambria" w:cstheme="minorHAnsi"/>
                <w:sz w:val="18"/>
                <w:szCs w:val="18"/>
                <w:lang w:val="es-ES"/>
              </w:rPr>
              <w:t xml:space="preserve"> No. 106/19, José Antonio Bolaños Juárez (</w:t>
            </w:r>
            <w:proofErr w:type="spellStart"/>
            <w:r w:rsidRPr="007A5442">
              <w:rPr>
                <w:rFonts w:ascii="Cambria" w:hAnsi="Cambria" w:cstheme="minorHAnsi"/>
                <w:sz w:val="18"/>
                <w:szCs w:val="18"/>
                <w:lang w:val="es-ES"/>
              </w:rPr>
              <w:t>Mexico</w:t>
            </w:r>
            <w:proofErr w:type="spellEnd"/>
            <w:r w:rsidRPr="007A5442">
              <w:rPr>
                <w:rFonts w:ascii="Cambria" w:hAnsi="Cambria" w:cstheme="minorHAnsi"/>
                <w:sz w:val="18"/>
                <w:szCs w:val="18"/>
                <w:lang w:val="es-ES"/>
              </w:rPr>
              <w:t>)</w:t>
            </w:r>
            <w:r w:rsidRPr="00524435">
              <w:rPr>
                <w:rStyle w:val="FootnoteReference"/>
                <w:rFonts w:ascii="Cambria" w:hAnsi="Cambria" w:cstheme="minorHAnsi"/>
                <w:sz w:val="18"/>
                <w:szCs w:val="18"/>
              </w:rPr>
              <w:footnoteReference w:id="107"/>
            </w:r>
          </w:p>
        </w:tc>
        <w:tc>
          <w:tcPr>
            <w:tcW w:w="1170" w:type="dxa"/>
            <w:vMerge/>
          </w:tcPr>
          <w:p w14:paraId="7D13C9A2" w14:textId="77777777" w:rsidR="007E31E3" w:rsidRPr="007A5442" w:rsidRDefault="007E31E3" w:rsidP="00820229">
            <w:pPr>
              <w:jc w:val="center"/>
              <w:rPr>
                <w:rFonts w:ascii="Cambria" w:hAnsi="Cambria" w:cstheme="minorHAnsi"/>
                <w:sz w:val="18"/>
                <w:szCs w:val="18"/>
                <w:lang w:val="es-ES"/>
              </w:rPr>
            </w:pPr>
          </w:p>
        </w:tc>
        <w:tc>
          <w:tcPr>
            <w:tcW w:w="1316" w:type="dxa"/>
          </w:tcPr>
          <w:p w14:paraId="7B2B3EB7"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4511DDDA" w14:textId="77777777" w:rsidR="007E31E3" w:rsidRPr="00524435" w:rsidRDefault="007E31E3" w:rsidP="00820229">
            <w:pPr>
              <w:jc w:val="center"/>
              <w:rPr>
                <w:rFonts w:ascii="Cambria" w:hAnsi="Cambria" w:cstheme="minorHAnsi"/>
                <w:sz w:val="18"/>
                <w:szCs w:val="18"/>
              </w:rPr>
            </w:pPr>
          </w:p>
        </w:tc>
        <w:tc>
          <w:tcPr>
            <w:tcW w:w="1170" w:type="dxa"/>
          </w:tcPr>
          <w:p w14:paraId="5978D946"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0C342D8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48C4028A"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1A6FDB52" w14:textId="77777777" w:rsidTr="00820229">
        <w:trPr>
          <w:cnfStyle w:val="000000010000" w:firstRow="0" w:lastRow="0" w:firstColumn="0" w:lastColumn="0" w:oddVBand="0" w:evenVBand="0" w:oddHBand="0" w:evenHBand="1" w:firstRowFirstColumn="0" w:firstRowLastColumn="0" w:lastRowFirstColumn="0" w:lastRowLastColumn="0"/>
          <w:trHeight w:val="945"/>
          <w:jc w:val="center"/>
        </w:trPr>
        <w:tc>
          <w:tcPr>
            <w:tcW w:w="2250" w:type="dxa"/>
          </w:tcPr>
          <w:p w14:paraId="46B85465" w14:textId="77777777" w:rsidR="007E31E3" w:rsidRPr="00524435" w:rsidRDefault="007E31E3" w:rsidP="0009324C">
            <w:pPr>
              <w:numPr>
                <w:ilvl w:val="0"/>
                <w:numId w:val="18"/>
              </w:numPr>
              <w:ind w:firstLine="0"/>
              <w:jc w:val="both"/>
              <w:rPr>
                <w:rFonts w:ascii="Cambria" w:hAnsi="Cambria" w:cstheme="minorHAnsi"/>
                <w:sz w:val="18"/>
                <w:szCs w:val="18"/>
              </w:rPr>
            </w:pPr>
            <w:r w:rsidRPr="00524435">
              <w:rPr>
                <w:rFonts w:ascii="Cambria" w:hAnsi="Cambria" w:cstheme="minorHAnsi"/>
                <w:sz w:val="18"/>
                <w:szCs w:val="18"/>
              </w:rPr>
              <w:t>Case 12.915, Report No. 2/20, Angel Díaz Cruz et al. (Mexico)</w:t>
            </w:r>
          </w:p>
        </w:tc>
        <w:tc>
          <w:tcPr>
            <w:tcW w:w="1170" w:type="dxa"/>
            <w:vMerge/>
          </w:tcPr>
          <w:p w14:paraId="288A834E" w14:textId="77777777" w:rsidR="007E31E3" w:rsidRPr="00524435" w:rsidRDefault="007E31E3" w:rsidP="00820229">
            <w:pPr>
              <w:jc w:val="center"/>
              <w:rPr>
                <w:rFonts w:ascii="Cambria" w:hAnsi="Cambria" w:cstheme="minorHAnsi"/>
                <w:sz w:val="18"/>
                <w:szCs w:val="18"/>
              </w:rPr>
            </w:pPr>
          </w:p>
        </w:tc>
        <w:tc>
          <w:tcPr>
            <w:tcW w:w="1316" w:type="dxa"/>
          </w:tcPr>
          <w:p w14:paraId="64DC0E4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691D2D9C" w14:textId="77777777" w:rsidR="007E31E3" w:rsidRPr="00524435" w:rsidRDefault="007E31E3" w:rsidP="00820229">
            <w:pPr>
              <w:jc w:val="center"/>
              <w:rPr>
                <w:rFonts w:ascii="Cambria" w:hAnsi="Cambria" w:cstheme="minorHAnsi"/>
                <w:sz w:val="18"/>
                <w:szCs w:val="18"/>
              </w:rPr>
            </w:pPr>
          </w:p>
        </w:tc>
        <w:tc>
          <w:tcPr>
            <w:tcW w:w="1170" w:type="dxa"/>
          </w:tcPr>
          <w:p w14:paraId="1F6B95C3"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7D5D1661"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77307E72"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 2021</w:t>
            </w:r>
          </w:p>
        </w:tc>
      </w:tr>
      <w:tr w:rsidR="007E31E3" w:rsidRPr="00524435" w14:paraId="553B4886" w14:textId="77777777" w:rsidTr="00820229">
        <w:trPr>
          <w:cnfStyle w:val="000000100000" w:firstRow="0" w:lastRow="0" w:firstColumn="0" w:lastColumn="0" w:oddVBand="0" w:evenVBand="0" w:oddHBand="1" w:evenHBand="0" w:firstRowFirstColumn="0" w:firstRowLastColumn="0" w:lastRowFirstColumn="0" w:lastRowLastColumn="0"/>
          <w:trHeight w:val="945"/>
          <w:jc w:val="center"/>
        </w:trPr>
        <w:tc>
          <w:tcPr>
            <w:tcW w:w="2250" w:type="dxa"/>
          </w:tcPr>
          <w:p w14:paraId="503D8EA9" w14:textId="77777777" w:rsidR="007E31E3" w:rsidRPr="007A5442" w:rsidRDefault="007E31E3" w:rsidP="0009324C">
            <w:pPr>
              <w:numPr>
                <w:ilvl w:val="0"/>
                <w:numId w:val="18"/>
              </w:numPr>
              <w:ind w:firstLine="0"/>
              <w:jc w:val="both"/>
              <w:rPr>
                <w:rFonts w:ascii="Cambria" w:hAnsi="Cambria" w:cstheme="minorHAnsi"/>
                <w:sz w:val="18"/>
                <w:szCs w:val="18"/>
                <w:lang w:val="es-ES"/>
              </w:rPr>
            </w:pPr>
            <w:proofErr w:type="spellStart"/>
            <w:r w:rsidRPr="007A5442">
              <w:rPr>
                <w:rFonts w:ascii="Cambria" w:hAnsi="Cambria" w:cstheme="minorHAnsi"/>
                <w:sz w:val="18"/>
                <w:szCs w:val="18"/>
                <w:lang w:val="es-ES"/>
              </w:rPr>
              <w:t>Petition</w:t>
            </w:r>
            <w:proofErr w:type="spellEnd"/>
            <w:r w:rsidRPr="007A5442">
              <w:rPr>
                <w:rFonts w:ascii="Cambria" w:hAnsi="Cambria" w:cstheme="minorHAnsi"/>
                <w:sz w:val="18"/>
                <w:szCs w:val="18"/>
                <w:lang w:val="es-ES"/>
              </w:rPr>
              <w:t xml:space="preserve"> 735-07, </w:t>
            </w:r>
            <w:proofErr w:type="spellStart"/>
            <w:r w:rsidRPr="007A5442">
              <w:rPr>
                <w:rFonts w:ascii="Cambria" w:hAnsi="Cambria" w:cstheme="minorHAnsi"/>
                <w:sz w:val="18"/>
                <w:szCs w:val="18"/>
                <w:lang w:val="es-ES"/>
              </w:rPr>
              <w:t>Report</w:t>
            </w:r>
            <w:proofErr w:type="spellEnd"/>
            <w:r w:rsidRPr="007A5442">
              <w:rPr>
                <w:rFonts w:ascii="Cambria" w:hAnsi="Cambria" w:cstheme="minorHAnsi"/>
                <w:sz w:val="18"/>
                <w:szCs w:val="18"/>
                <w:lang w:val="es-ES"/>
              </w:rPr>
              <w:t xml:space="preserve"> No. 110/20, Ismael </w:t>
            </w:r>
            <w:proofErr w:type="spellStart"/>
            <w:r w:rsidRPr="007A5442">
              <w:rPr>
                <w:rFonts w:ascii="Cambria" w:hAnsi="Cambria" w:cstheme="minorHAnsi"/>
                <w:sz w:val="18"/>
                <w:szCs w:val="18"/>
                <w:lang w:val="es-ES"/>
              </w:rPr>
              <w:t>Mondragon</w:t>
            </w:r>
            <w:proofErr w:type="spellEnd"/>
            <w:r w:rsidRPr="007A5442">
              <w:rPr>
                <w:rFonts w:ascii="Cambria" w:hAnsi="Cambria" w:cstheme="minorHAnsi"/>
                <w:sz w:val="18"/>
                <w:szCs w:val="18"/>
                <w:lang w:val="es-ES"/>
              </w:rPr>
              <w:t xml:space="preserve"> Molina (</w:t>
            </w:r>
            <w:proofErr w:type="spellStart"/>
            <w:r w:rsidRPr="007A5442">
              <w:rPr>
                <w:rFonts w:ascii="Cambria" w:hAnsi="Cambria" w:cstheme="minorHAnsi"/>
                <w:sz w:val="18"/>
                <w:szCs w:val="18"/>
                <w:lang w:val="es-ES"/>
              </w:rPr>
              <w:t>Mexico</w:t>
            </w:r>
            <w:proofErr w:type="spellEnd"/>
            <w:r w:rsidRPr="007A5442">
              <w:rPr>
                <w:rFonts w:ascii="Cambria" w:hAnsi="Cambria" w:cstheme="minorHAnsi"/>
                <w:sz w:val="18"/>
                <w:szCs w:val="18"/>
                <w:lang w:val="es-ES"/>
              </w:rPr>
              <w:t>)</w:t>
            </w:r>
          </w:p>
        </w:tc>
        <w:tc>
          <w:tcPr>
            <w:tcW w:w="1170" w:type="dxa"/>
            <w:vMerge/>
          </w:tcPr>
          <w:p w14:paraId="6496DA3C" w14:textId="77777777" w:rsidR="007E31E3" w:rsidRPr="007A5442" w:rsidRDefault="007E31E3" w:rsidP="00820229">
            <w:pPr>
              <w:jc w:val="center"/>
              <w:rPr>
                <w:rFonts w:ascii="Cambria" w:hAnsi="Cambria" w:cstheme="minorHAnsi"/>
                <w:sz w:val="18"/>
                <w:szCs w:val="18"/>
                <w:lang w:val="es-ES"/>
              </w:rPr>
            </w:pPr>
          </w:p>
        </w:tc>
        <w:tc>
          <w:tcPr>
            <w:tcW w:w="1316" w:type="dxa"/>
          </w:tcPr>
          <w:p w14:paraId="0A3F1EC5" w14:textId="77777777" w:rsidR="007E31E3" w:rsidRPr="007A5442" w:rsidRDefault="007E31E3" w:rsidP="00820229">
            <w:pPr>
              <w:jc w:val="center"/>
              <w:rPr>
                <w:rFonts w:ascii="Cambria" w:hAnsi="Cambria" w:cstheme="minorHAnsi"/>
                <w:sz w:val="18"/>
                <w:szCs w:val="18"/>
                <w:lang w:val="es-ES"/>
              </w:rPr>
            </w:pPr>
          </w:p>
        </w:tc>
        <w:tc>
          <w:tcPr>
            <w:tcW w:w="1170" w:type="dxa"/>
          </w:tcPr>
          <w:p w14:paraId="328C1F6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449E1A05"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00591CF8"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73%</w:t>
            </w:r>
          </w:p>
        </w:tc>
        <w:tc>
          <w:tcPr>
            <w:tcW w:w="1260" w:type="dxa"/>
          </w:tcPr>
          <w:p w14:paraId="75B8FFD3"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36108C79" w14:textId="77777777" w:rsidTr="00820229">
        <w:trPr>
          <w:cnfStyle w:val="000000010000" w:firstRow="0" w:lastRow="0" w:firstColumn="0" w:lastColumn="0" w:oddVBand="0" w:evenVBand="0" w:oddHBand="0" w:evenHBand="1" w:firstRowFirstColumn="0" w:firstRowLastColumn="0" w:lastRowFirstColumn="0" w:lastRowLastColumn="0"/>
          <w:trHeight w:val="495"/>
          <w:jc w:val="center"/>
        </w:trPr>
        <w:tc>
          <w:tcPr>
            <w:tcW w:w="2250" w:type="dxa"/>
          </w:tcPr>
          <w:p w14:paraId="5E5A231B" w14:textId="77777777" w:rsidR="007E31E3" w:rsidRPr="003F238D" w:rsidRDefault="007E31E3" w:rsidP="0009324C">
            <w:pPr>
              <w:numPr>
                <w:ilvl w:val="0"/>
                <w:numId w:val="18"/>
              </w:numPr>
              <w:tabs>
                <w:tab w:val="num" w:pos="522"/>
              </w:tabs>
              <w:ind w:firstLine="0"/>
              <w:jc w:val="both"/>
              <w:rPr>
                <w:rFonts w:ascii="Cambria" w:hAnsi="Cambria" w:cstheme="minorHAnsi"/>
                <w:sz w:val="18"/>
                <w:szCs w:val="18"/>
                <w:lang w:val="es-US"/>
              </w:rPr>
            </w:pPr>
            <w:r w:rsidRPr="003F238D">
              <w:rPr>
                <w:rFonts w:ascii="Cambria" w:hAnsi="Cambria" w:cstheme="minorHAnsi"/>
                <w:sz w:val="18"/>
                <w:szCs w:val="18"/>
                <w:lang w:val="es-US"/>
              </w:rPr>
              <w:t xml:space="preserve">Case 11.824, </w:t>
            </w:r>
            <w:proofErr w:type="spellStart"/>
            <w:r w:rsidRPr="003F238D">
              <w:rPr>
                <w:rFonts w:ascii="Cambria" w:hAnsi="Cambria" w:cstheme="minorHAnsi"/>
                <w:sz w:val="18"/>
                <w:szCs w:val="18"/>
                <w:lang w:val="es-US"/>
              </w:rPr>
              <w:t>Report</w:t>
            </w:r>
            <w:proofErr w:type="spellEnd"/>
            <w:r w:rsidRPr="003F238D">
              <w:rPr>
                <w:rFonts w:ascii="Cambria" w:hAnsi="Cambria" w:cstheme="minorHAnsi"/>
                <w:sz w:val="18"/>
                <w:szCs w:val="18"/>
                <w:lang w:val="es-US"/>
              </w:rPr>
              <w:t xml:space="preserve"> No. 216/20, Sabino Diaz Osorio and Rodrigo Gomez Zamorano, (</w:t>
            </w:r>
            <w:proofErr w:type="spellStart"/>
            <w:r w:rsidRPr="003F238D">
              <w:rPr>
                <w:rFonts w:ascii="Cambria" w:hAnsi="Cambria" w:cstheme="minorHAnsi"/>
                <w:sz w:val="18"/>
                <w:szCs w:val="18"/>
                <w:lang w:val="es-US"/>
              </w:rPr>
              <w:t>Mexico</w:t>
            </w:r>
            <w:proofErr w:type="spellEnd"/>
            <w:r w:rsidRPr="003F238D">
              <w:rPr>
                <w:rFonts w:ascii="Cambria" w:hAnsi="Cambria" w:cstheme="minorHAnsi"/>
                <w:sz w:val="18"/>
                <w:szCs w:val="18"/>
                <w:lang w:val="es-US"/>
              </w:rPr>
              <w:t>)</w:t>
            </w:r>
            <w:r w:rsidRPr="00524435">
              <w:rPr>
                <w:rStyle w:val="FootnoteReference"/>
                <w:rFonts w:ascii="Cambria" w:hAnsi="Cambria" w:cstheme="minorHAnsi"/>
                <w:sz w:val="18"/>
                <w:szCs w:val="18"/>
              </w:rPr>
              <w:footnoteReference w:id="108"/>
            </w:r>
          </w:p>
        </w:tc>
        <w:tc>
          <w:tcPr>
            <w:tcW w:w="1170" w:type="dxa"/>
            <w:vMerge/>
          </w:tcPr>
          <w:p w14:paraId="4301A843" w14:textId="77777777" w:rsidR="007E31E3" w:rsidRPr="003F238D" w:rsidRDefault="007E31E3" w:rsidP="00820229">
            <w:pPr>
              <w:jc w:val="center"/>
              <w:rPr>
                <w:rFonts w:ascii="Cambria" w:hAnsi="Cambria" w:cstheme="minorHAnsi"/>
                <w:sz w:val="18"/>
                <w:szCs w:val="18"/>
                <w:lang w:val="es-US"/>
              </w:rPr>
            </w:pPr>
          </w:p>
        </w:tc>
        <w:tc>
          <w:tcPr>
            <w:tcW w:w="1316" w:type="dxa"/>
          </w:tcPr>
          <w:p w14:paraId="31A0E9E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053B3644" w14:textId="77777777" w:rsidR="007E31E3" w:rsidRPr="00524435" w:rsidRDefault="007E31E3" w:rsidP="00820229">
            <w:pPr>
              <w:jc w:val="center"/>
              <w:rPr>
                <w:rFonts w:ascii="Cambria" w:hAnsi="Cambria" w:cstheme="minorHAnsi"/>
                <w:sz w:val="18"/>
                <w:szCs w:val="18"/>
              </w:rPr>
            </w:pPr>
          </w:p>
        </w:tc>
        <w:tc>
          <w:tcPr>
            <w:tcW w:w="1170" w:type="dxa"/>
          </w:tcPr>
          <w:p w14:paraId="4B9D8A45"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75CE626A"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09A26530"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6397620F" w14:textId="77777777" w:rsidTr="00820229">
        <w:trPr>
          <w:cnfStyle w:val="000000100000" w:firstRow="0" w:lastRow="0" w:firstColumn="0" w:lastColumn="0" w:oddVBand="0" w:evenVBand="0" w:oddHBand="1" w:evenHBand="0" w:firstRowFirstColumn="0" w:firstRowLastColumn="0" w:lastRowFirstColumn="0" w:lastRowLastColumn="0"/>
          <w:trHeight w:val="963"/>
          <w:jc w:val="center"/>
        </w:trPr>
        <w:tc>
          <w:tcPr>
            <w:tcW w:w="2250" w:type="dxa"/>
          </w:tcPr>
          <w:p w14:paraId="33E9D3FA"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Arial"/>
                <w:sz w:val="18"/>
                <w:szCs w:val="18"/>
                <w:lang w:eastAsia="es-ES_tradnl"/>
              </w:rPr>
              <w:t>Case 12.610, Report No. 208/21, Faustino Jiménez Álvarez (México)</w:t>
            </w:r>
          </w:p>
        </w:tc>
        <w:tc>
          <w:tcPr>
            <w:tcW w:w="1170" w:type="dxa"/>
            <w:vMerge/>
          </w:tcPr>
          <w:p w14:paraId="2C75E561" w14:textId="77777777" w:rsidR="007E31E3" w:rsidRPr="00524435" w:rsidRDefault="007E31E3" w:rsidP="00820229">
            <w:pPr>
              <w:jc w:val="center"/>
              <w:rPr>
                <w:rFonts w:ascii="Cambria" w:hAnsi="Cambria" w:cstheme="minorHAnsi"/>
                <w:sz w:val="18"/>
                <w:szCs w:val="18"/>
              </w:rPr>
            </w:pPr>
          </w:p>
        </w:tc>
        <w:tc>
          <w:tcPr>
            <w:tcW w:w="1316" w:type="dxa"/>
          </w:tcPr>
          <w:p w14:paraId="41ED7F9F" w14:textId="77777777" w:rsidR="007E31E3" w:rsidRPr="00524435" w:rsidRDefault="007E31E3" w:rsidP="00820229">
            <w:pPr>
              <w:jc w:val="center"/>
              <w:rPr>
                <w:rFonts w:ascii="Cambria" w:hAnsi="Cambria" w:cstheme="minorHAnsi"/>
                <w:sz w:val="18"/>
                <w:szCs w:val="18"/>
              </w:rPr>
            </w:pPr>
          </w:p>
        </w:tc>
        <w:tc>
          <w:tcPr>
            <w:tcW w:w="1170" w:type="dxa"/>
          </w:tcPr>
          <w:p w14:paraId="4F45D83E" w14:textId="77777777" w:rsidR="007E31E3" w:rsidRPr="00524435" w:rsidRDefault="007E31E3" w:rsidP="00820229">
            <w:pPr>
              <w:jc w:val="center"/>
              <w:rPr>
                <w:rFonts w:ascii="Cambria" w:hAnsi="Cambria" w:cstheme="minorHAnsi"/>
                <w:sz w:val="18"/>
                <w:szCs w:val="18"/>
              </w:rPr>
            </w:pPr>
            <w:r w:rsidRPr="00524435">
              <w:rPr>
                <w:rFonts w:ascii="Cambria" w:hAnsi="Cambria" w:cs="Arial"/>
                <w:sz w:val="18"/>
                <w:szCs w:val="18"/>
                <w:lang w:eastAsia="es-ES_tradnl"/>
              </w:rPr>
              <w:t>X</w:t>
            </w:r>
          </w:p>
        </w:tc>
        <w:tc>
          <w:tcPr>
            <w:tcW w:w="1170" w:type="dxa"/>
          </w:tcPr>
          <w:p w14:paraId="4585A86D"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339B38A3"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Arial"/>
                <w:sz w:val="18"/>
                <w:szCs w:val="18"/>
              </w:rPr>
              <w:t>75%</w:t>
            </w:r>
          </w:p>
        </w:tc>
        <w:tc>
          <w:tcPr>
            <w:tcW w:w="1260" w:type="dxa"/>
          </w:tcPr>
          <w:p w14:paraId="64D8934A"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Arial"/>
                <w:sz w:val="18"/>
                <w:szCs w:val="18"/>
              </w:rPr>
              <w:t>Active</w:t>
            </w:r>
          </w:p>
        </w:tc>
      </w:tr>
      <w:tr w:rsidR="007E31E3" w:rsidRPr="00524435" w14:paraId="4AA1E7DF" w14:textId="77777777" w:rsidTr="00820229">
        <w:trPr>
          <w:cnfStyle w:val="000000010000" w:firstRow="0" w:lastRow="0" w:firstColumn="0" w:lastColumn="0" w:oddVBand="0" w:evenVBand="0" w:oddHBand="0" w:evenHBand="1" w:firstRowFirstColumn="0" w:firstRowLastColumn="0" w:lastRowFirstColumn="0" w:lastRowLastColumn="0"/>
          <w:trHeight w:val="810"/>
          <w:jc w:val="center"/>
        </w:trPr>
        <w:tc>
          <w:tcPr>
            <w:tcW w:w="2250" w:type="dxa"/>
          </w:tcPr>
          <w:p w14:paraId="4199D408"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t>Case 12.848, Report No. 42/16, Mrs. N, (Panama)</w:t>
            </w:r>
            <w:r w:rsidRPr="00524435">
              <w:rPr>
                <w:rFonts w:ascii="Cambria" w:hAnsi="Cambria" w:cstheme="minorHAnsi"/>
                <w:sz w:val="18"/>
                <w:szCs w:val="18"/>
                <w:vertAlign w:val="superscript"/>
              </w:rPr>
              <w:footnoteReference w:id="109"/>
            </w:r>
          </w:p>
        </w:tc>
        <w:tc>
          <w:tcPr>
            <w:tcW w:w="1170" w:type="dxa"/>
            <w:vMerge w:val="restart"/>
            <w:shd w:val="clear" w:color="auto" w:fill="F2F2F2" w:themeFill="background1" w:themeFillShade="F2"/>
          </w:tcPr>
          <w:p w14:paraId="4568170A" w14:textId="05B839EF" w:rsidR="007E31E3" w:rsidRPr="00524435" w:rsidRDefault="006B7403" w:rsidP="00820229">
            <w:pPr>
              <w:jc w:val="center"/>
              <w:rPr>
                <w:rFonts w:ascii="Cambria" w:hAnsi="Cambria" w:cstheme="minorHAnsi"/>
                <w:sz w:val="18"/>
                <w:szCs w:val="18"/>
              </w:rPr>
            </w:pPr>
            <w:hyperlink r:id="rId72" w:history="1">
              <w:r w:rsidR="007E31E3" w:rsidRPr="00524435">
                <w:rPr>
                  <w:rStyle w:val="Hyperlink"/>
                  <w:rFonts w:ascii="Cambria" w:hAnsi="Cambria" w:cstheme="minorHAnsi"/>
                  <w:sz w:val="18"/>
                  <w:szCs w:val="18"/>
                </w:rPr>
                <w:t>Link to monitoring sheets on</w:t>
              </w:r>
            </w:hyperlink>
            <w:r w:rsidR="007E31E3" w:rsidRPr="00524435">
              <w:rPr>
                <w:rFonts w:ascii="Cambria" w:hAnsi="Cambria" w:cstheme="minorHAnsi"/>
                <w:sz w:val="18"/>
                <w:szCs w:val="18"/>
              </w:rPr>
              <w:t xml:space="preserve"> </w:t>
            </w:r>
            <w:hyperlink r:id="rId73" w:history="1">
              <w:r w:rsidR="007E31E3" w:rsidRPr="00524435">
                <w:rPr>
                  <w:rStyle w:val="Hyperlink"/>
                  <w:rFonts w:ascii="Cambria" w:hAnsi="Cambria" w:cstheme="minorHAnsi"/>
                  <w:sz w:val="18"/>
                  <w:szCs w:val="18"/>
                </w:rPr>
                <w:t>matters related to reports of friendly settlement agreements (Panama)</w:t>
              </w:r>
            </w:hyperlink>
          </w:p>
        </w:tc>
        <w:tc>
          <w:tcPr>
            <w:tcW w:w="1316" w:type="dxa"/>
          </w:tcPr>
          <w:p w14:paraId="4548B632"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lastRenderedPageBreak/>
              <w:t>X</w:t>
            </w:r>
          </w:p>
        </w:tc>
        <w:tc>
          <w:tcPr>
            <w:tcW w:w="1170" w:type="dxa"/>
          </w:tcPr>
          <w:p w14:paraId="118274A8" w14:textId="77777777" w:rsidR="007E31E3" w:rsidRPr="00524435" w:rsidRDefault="007E31E3" w:rsidP="00820229">
            <w:pPr>
              <w:jc w:val="center"/>
              <w:rPr>
                <w:rFonts w:ascii="Cambria" w:hAnsi="Cambria" w:cstheme="minorHAnsi"/>
                <w:sz w:val="18"/>
                <w:szCs w:val="18"/>
              </w:rPr>
            </w:pPr>
          </w:p>
        </w:tc>
        <w:tc>
          <w:tcPr>
            <w:tcW w:w="1170" w:type="dxa"/>
          </w:tcPr>
          <w:p w14:paraId="54C2185D"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352D7EA1"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2D5FADF9"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Closed</w:t>
            </w:r>
          </w:p>
        </w:tc>
      </w:tr>
      <w:tr w:rsidR="007E31E3" w:rsidRPr="00524435" w14:paraId="06E8072F" w14:textId="77777777" w:rsidTr="00820229">
        <w:trPr>
          <w:cnfStyle w:val="000000100000" w:firstRow="0" w:lastRow="0" w:firstColumn="0" w:lastColumn="0" w:oddVBand="0" w:evenVBand="0" w:oddHBand="1" w:evenHBand="0" w:firstRowFirstColumn="0" w:firstRowLastColumn="0" w:lastRowFirstColumn="0" w:lastRowLastColumn="0"/>
          <w:trHeight w:val="1827"/>
          <w:jc w:val="center"/>
        </w:trPr>
        <w:tc>
          <w:tcPr>
            <w:tcW w:w="2250" w:type="dxa"/>
          </w:tcPr>
          <w:p w14:paraId="40493B9D"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lastRenderedPageBreak/>
              <w:t>Case 13.017 C, Report No. 91/19, Relatives of Victims of the Military Dictatorship in Panama, October 1968 to December 1989 (Panama)</w:t>
            </w:r>
          </w:p>
        </w:tc>
        <w:tc>
          <w:tcPr>
            <w:tcW w:w="1170" w:type="dxa"/>
            <w:vMerge/>
            <w:shd w:val="clear" w:color="auto" w:fill="F2F2F2" w:themeFill="background1" w:themeFillShade="F2"/>
          </w:tcPr>
          <w:p w14:paraId="5480DB90" w14:textId="77777777" w:rsidR="007E31E3" w:rsidRPr="00524435" w:rsidRDefault="007E31E3" w:rsidP="00820229">
            <w:pPr>
              <w:jc w:val="center"/>
              <w:rPr>
                <w:rFonts w:ascii="Cambria" w:hAnsi="Cambria" w:cstheme="minorHAnsi"/>
                <w:sz w:val="18"/>
                <w:szCs w:val="18"/>
              </w:rPr>
            </w:pPr>
          </w:p>
        </w:tc>
        <w:tc>
          <w:tcPr>
            <w:tcW w:w="1316" w:type="dxa"/>
          </w:tcPr>
          <w:p w14:paraId="6E7401DF" w14:textId="77777777" w:rsidR="007E31E3" w:rsidRPr="00524435" w:rsidRDefault="007E31E3" w:rsidP="00820229">
            <w:pPr>
              <w:jc w:val="center"/>
              <w:rPr>
                <w:rFonts w:ascii="Cambria" w:hAnsi="Cambria" w:cstheme="minorHAnsi"/>
                <w:sz w:val="18"/>
                <w:szCs w:val="18"/>
              </w:rPr>
            </w:pPr>
          </w:p>
        </w:tc>
        <w:tc>
          <w:tcPr>
            <w:tcW w:w="1170" w:type="dxa"/>
          </w:tcPr>
          <w:p w14:paraId="7378AAB1"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77392AAE"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6727421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0%</w:t>
            </w:r>
          </w:p>
        </w:tc>
        <w:tc>
          <w:tcPr>
            <w:tcW w:w="1260" w:type="dxa"/>
          </w:tcPr>
          <w:p w14:paraId="681EF69E"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20EAC9F3" w14:textId="77777777" w:rsidTr="00820229">
        <w:trPr>
          <w:cnfStyle w:val="000000010000" w:firstRow="0" w:lastRow="0" w:firstColumn="0" w:lastColumn="0" w:oddVBand="0" w:evenVBand="0" w:oddHBand="0" w:evenHBand="1" w:firstRowFirstColumn="0" w:firstRowLastColumn="0" w:lastRowFirstColumn="0" w:lastRowLastColumn="0"/>
          <w:trHeight w:val="1746"/>
          <w:jc w:val="center"/>
        </w:trPr>
        <w:tc>
          <w:tcPr>
            <w:tcW w:w="2250" w:type="dxa"/>
          </w:tcPr>
          <w:p w14:paraId="0E684C40"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t>Case 13.017 A, Report No. 102/19, Relatives of Victims of the Military Dictatorship in Panama, October 1968 to December 1989 (Panama)</w:t>
            </w:r>
          </w:p>
        </w:tc>
        <w:tc>
          <w:tcPr>
            <w:tcW w:w="1170" w:type="dxa"/>
            <w:vMerge/>
            <w:shd w:val="clear" w:color="auto" w:fill="F2F2F2" w:themeFill="background1" w:themeFillShade="F2"/>
          </w:tcPr>
          <w:p w14:paraId="5241F33D" w14:textId="77777777" w:rsidR="007E31E3" w:rsidRPr="00524435" w:rsidRDefault="007E31E3" w:rsidP="00820229">
            <w:pPr>
              <w:jc w:val="center"/>
              <w:rPr>
                <w:rFonts w:ascii="Cambria" w:hAnsi="Cambria" w:cstheme="minorHAnsi"/>
                <w:sz w:val="18"/>
                <w:szCs w:val="18"/>
              </w:rPr>
            </w:pPr>
          </w:p>
        </w:tc>
        <w:tc>
          <w:tcPr>
            <w:tcW w:w="1316" w:type="dxa"/>
          </w:tcPr>
          <w:p w14:paraId="471D49A5" w14:textId="77777777" w:rsidR="007E31E3" w:rsidRPr="00524435" w:rsidRDefault="007E31E3" w:rsidP="00820229">
            <w:pPr>
              <w:jc w:val="center"/>
              <w:rPr>
                <w:rFonts w:ascii="Cambria" w:hAnsi="Cambria" w:cstheme="minorHAnsi"/>
                <w:sz w:val="18"/>
                <w:szCs w:val="18"/>
              </w:rPr>
            </w:pPr>
          </w:p>
        </w:tc>
        <w:tc>
          <w:tcPr>
            <w:tcW w:w="1170" w:type="dxa"/>
          </w:tcPr>
          <w:p w14:paraId="499F1AA7"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77CE5F18" w14:textId="77777777" w:rsidR="007E31E3" w:rsidRPr="00524435" w:rsidRDefault="007E31E3" w:rsidP="00820229">
            <w:pPr>
              <w:jc w:val="center"/>
              <w:rPr>
                <w:rFonts w:ascii="Cambria" w:hAnsi="Cambria" w:cstheme="minorHAnsi"/>
                <w:sz w:val="18"/>
                <w:szCs w:val="18"/>
              </w:rPr>
            </w:pPr>
          </w:p>
        </w:tc>
        <w:tc>
          <w:tcPr>
            <w:tcW w:w="1170" w:type="dxa"/>
          </w:tcPr>
          <w:p w14:paraId="4323012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0%</w:t>
            </w:r>
          </w:p>
        </w:tc>
        <w:tc>
          <w:tcPr>
            <w:tcW w:w="1260" w:type="dxa"/>
          </w:tcPr>
          <w:p w14:paraId="30F0CCBA"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256813C3" w14:textId="77777777" w:rsidTr="00820229">
        <w:trPr>
          <w:cnfStyle w:val="000000100000" w:firstRow="0" w:lastRow="0" w:firstColumn="0" w:lastColumn="0" w:oddVBand="0" w:evenVBand="0" w:oddHBand="1" w:evenHBand="0" w:firstRowFirstColumn="0" w:firstRowLastColumn="0" w:lastRowFirstColumn="0" w:lastRowLastColumn="0"/>
          <w:trHeight w:val="1125"/>
          <w:jc w:val="center"/>
        </w:trPr>
        <w:tc>
          <w:tcPr>
            <w:tcW w:w="2250" w:type="dxa"/>
          </w:tcPr>
          <w:p w14:paraId="6A52229A" w14:textId="77777777" w:rsidR="007E31E3" w:rsidRPr="007A5442" w:rsidRDefault="007E31E3" w:rsidP="0009324C">
            <w:pPr>
              <w:numPr>
                <w:ilvl w:val="0"/>
                <w:numId w:val="18"/>
              </w:numPr>
              <w:tabs>
                <w:tab w:val="num" w:pos="522"/>
              </w:tabs>
              <w:ind w:firstLine="0"/>
              <w:jc w:val="both"/>
              <w:rPr>
                <w:rFonts w:ascii="Cambria" w:hAnsi="Cambria" w:cstheme="minorHAnsi"/>
                <w:sz w:val="18"/>
                <w:szCs w:val="18"/>
                <w:lang w:val="es-ES"/>
              </w:rPr>
            </w:pPr>
            <w:r w:rsidRPr="007A5442">
              <w:rPr>
                <w:rFonts w:ascii="Cambria" w:hAnsi="Cambria" w:cstheme="minorHAnsi"/>
                <w:sz w:val="18"/>
                <w:szCs w:val="18"/>
                <w:lang w:val="es-ES"/>
              </w:rPr>
              <w:t xml:space="preserve">Case 12.358, </w:t>
            </w:r>
            <w:proofErr w:type="spellStart"/>
            <w:r w:rsidRPr="007A5442">
              <w:rPr>
                <w:rFonts w:ascii="Cambria" w:hAnsi="Cambria" w:cstheme="minorHAnsi"/>
                <w:sz w:val="18"/>
                <w:szCs w:val="18"/>
                <w:lang w:val="es-ES"/>
              </w:rPr>
              <w:t>Report</w:t>
            </w:r>
            <w:proofErr w:type="spellEnd"/>
            <w:r w:rsidRPr="007A5442">
              <w:rPr>
                <w:rFonts w:ascii="Cambria" w:hAnsi="Cambria" w:cstheme="minorHAnsi"/>
                <w:sz w:val="18"/>
                <w:szCs w:val="18"/>
                <w:lang w:val="es-ES"/>
              </w:rPr>
              <w:t xml:space="preserve"> No. 24/13, Octavio Rubén González Acosta (Paraguay)</w:t>
            </w:r>
          </w:p>
        </w:tc>
        <w:tc>
          <w:tcPr>
            <w:tcW w:w="1170" w:type="dxa"/>
            <w:vMerge w:val="restart"/>
            <w:shd w:val="clear" w:color="auto" w:fill="BFBFBF" w:themeFill="background1" w:themeFillShade="BF"/>
          </w:tcPr>
          <w:p w14:paraId="6C06580B" w14:textId="34E7BDB5" w:rsidR="007E31E3" w:rsidRPr="00524435" w:rsidRDefault="006B7403" w:rsidP="00820229">
            <w:pPr>
              <w:jc w:val="center"/>
              <w:rPr>
                <w:rFonts w:ascii="Cambria" w:hAnsi="Cambria" w:cstheme="minorHAnsi"/>
                <w:sz w:val="18"/>
                <w:szCs w:val="18"/>
              </w:rPr>
            </w:pPr>
            <w:hyperlink r:id="rId74" w:history="1">
              <w:r w:rsidR="007E31E3" w:rsidRPr="00524435">
                <w:rPr>
                  <w:rStyle w:val="Hyperlink"/>
                  <w:rFonts w:ascii="Cambria" w:hAnsi="Cambria" w:cstheme="minorHAnsi"/>
                  <w:sz w:val="18"/>
                  <w:szCs w:val="18"/>
                </w:rPr>
                <w:t>Link to monitoring sheets onf matters related to reports of friendly settlement agreements of Paraguay  that are subject to monitoring</w:t>
              </w:r>
            </w:hyperlink>
            <w:r w:rsidR="007E31E3" w:rsidRPr="00524435">
              <w:rPr>
                <w:rFonts w:ascii="Cambria" w:hAnsi="Cambria" w:cstheme="minorHAnsi"/>
                <w:sz w:val="18"/>
                <w:szCs w:val="18"/>
              </w:rPr>
              <w:t xml:space="preserve"> </w:t>
            </w:r>
          </w:p>
        </w:tc>
        <w:tc>
          <w:tcPr>
            <w:tcW w:w="1316" w:type="dxa"/>
          </w:tcPr>
          <w:p w14:paraId="4A6C7FA1" w14:textId="77777777" w:rsidR="007E31E3" w:rsidRPr="00524435" w:rsidRDefault="007E31E3" w:rsidP="00820229">
            <w:pPr>
              <w:jc w:val="center"/>
              <w:rPr>
                <w:rFonts w:ascii="Cambria" w:hAnsi="Cambria" w:cstheme="minorHAnsi"/>
                <w:sz w:val="18"/>
                <w:szCs w:val="18"/>
              </w:rPr>
            </w:pPr>
          </w:p>
        </w:tc>
        <w:tc>
          <w:tcPr>
            <w:tcW w:w="1170" w:type="dxa"/>
          </w:tcPr>
          <w:p w14:paraId="3F69110A"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3CBF8666"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1A93C1C3"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86%</w:t>
            </w:r>
          </w:p>
        </w:tc>
        <w:tc>
          <w:tcPr>
            <w:tcW w:w="1260" w:type="dxa"/>
          </w:tcPr>
          <w:p w14:paraId="317D0CFD"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Active</w:t>
            </w:r>
          </w:p>
        </w:tc>
      </w:tr>
      <w:tr w:rsidR="007E31E3" w:rsidRPr="00524435" w14:paraId="5F011C85" w14:textId="77777777" w:rsidTr="00820229">
        <w:trPr>
          <w:cnfStyle w:val="000000010000" w:firstRow="0" w:lastRow="0" w:firstColumn="0" w:lastColumn="0" w:oddVBand="0" w:evenVBand="0" w:oddHBand="0" w:evenHBand="1" w:firstRowFirstColumn="0" w:firstRowLastColumn="0" w:lastRowFirstColumn="0" w:lastRowLastColumn="0"/>
          <w:trHeight w:val="1224"/>
          <w:jc w:val="center"/>
        </w:trPr>
        <w:tc>
          <w:tcPr>
            <w:tcW w:w="2250" w:type="dxa"/>
          </w:tcPr>
          <w:p w14:paraId="24CAEF1E" w14:textId="77777777" w:rsidR="007E31E3" w:rsidRPr="007A5442" w:rsidRDefault="007E31E3" w:rsidP="0009324C">
            <w:pPr>
              <w:numPr>
                <w:ilvl w:val="0"/>
                <w:numId w:val="18"/>
              </w:numPr>
              <w:tabs>
                <w:tab w:val="num" w:pos="522"/>
              </w:tabs>
              <w:ind w:firstLine="0"/>
              <w:jc w:val="both"/>
              <w:rPr>
                <w:rFonts w:ascii="Cambria" w:hAnsi="Cambria" w:cstheme="minorHAnsi"/>
                <w:sz w:val="18"/>
                <w:szCs w:val="18"/>
                <w:lang w:val="pt-PT"/>
              </w:rPr>
            </w:pPr>
            <w:r w:rsidRPr="007A5442">
              <w:rPr>
                <w:rFonts w:ascii="Cambria" w:hAnsi="Cambria" w:cstheme="minorHAnsi"/>
                <w:sz w:val="18"/>
                <w:szCs w:val="18"/>
                <w:lang w:val="pt-PT"/>
              </w:rPr>
              <w:t>Petition 1097-06, Report No. 25/13, Miriam Beatriz Riquelme Ramírez (Paraguay)</w:t>
            </w:r>
            <w:r w:rsidRPr="00524435">
              <w:rPr>
                <w:rFonts w:ascii="Cambria" w:hAnsi="Cambria" w:cstheme="minorHAnsi"/>
                <w:sz w:val="18"/>
                <w:szCs w:val="18"/>
                <w:vertAlign w:val="superscript"/>
              </w:rPr>
              <w:footnoteReference w:id="110"/>
            </w:r>
          </w:p>
        </w:tc>
        <w:tc>
          <w:tcPr>
            <w:tcW w:w="1170" w:type="dxa"/>
            <w:vMerge/>
            <w:shd w:val="clear" w:color="auto" w:fill="BFBFBF" w:themeFill="background1" w:themeFillShade="BF"/>
          </w:tcPr>
          <w:p w14:paraId="18440C1F" w14:textId="77777777" w:rsidR="007E31E3" w:rsidRPr="007A5442" w:rsidRDefault="007E31E3" w:rsidP="00820229">
            <w:pPr>
              <w:jc w:val="center"/>
              <w:rPr>
                <w:rFonts w:ascii="Cambria" w:hAnsi="Cambria" w:cstheme="minorHAnsi"/>
                <w:sz w:val="18"/>
                <w:szCs w:val="18"/>
                <w:lang w:val="pt-PT"/>
              </w:rPr>
            </w:pPr>
          </w:p>
        </w:tc>
        <w:tc>
          <w:tcPr>
            <w:tcW w:w="1316" w:type="dxa"/>
          </w:tcPr>
          <w:p w14:paraId="0591B9E9"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4295DF69" w14:textId="77777777" w:rsidR="007E31E3" w:rsidRPr="00524435" w:rsidRDefault="007E31E3" w:rsidP="00820229">
            <w:pPr>
              <w:jc w:val="center"/>
              <w:rPr>
                <w:rFonts w:ascii="Cambria" w:hAnsi="Cambria" w:cstheme="minorHAnsi"/>
                <w:sz w:val="18"/>
                <w:szCs w:val="18"/>
              </w:rPr>
            </w:pPr>
          </w:p>
        </w:tc>
        <w:tc>
          <w:tcPr>
            <w:tcW w:w="1170" w:type="dxa"/>
          </w:tcPr>
          <w:p w14:paraId="0AA888BA"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7E920947"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437AF476"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6F9B6993" w14:textId="77777777" w:rsidTr="00820229">
        <w:trPr>
          <w:cnfStyle w:val="000000100000" w:firstRow="0" w:lastRow="0" w:firstColumn="0" w:lastColumn="0" w:oddVBand="0" w:evenVBand="0" w:oddHBand="1" w:evenHBand="0" w:firstRowFirstColumn="0" w:firstRowLastColumn="0" w:lastRowFirstColumn="0" w:lastRowLastColumn="0"/>
          <w:trHeight w:val="945"/>
          <w:jc w:val="center"/>
        </w:trPr>
        <w:tc>
          <w:tcPr>
            <w:tcW w:w="2250" w:type="dxa"/>
          </w:tcPr>
          <w:p w14:paraId="48B0095C"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t>Case 12.957, Report No. 130/18, Pedro Antonio Centurion (Paraguay)</w:t>
            </w:r>
          </w:p>
        </w:tc>
        <w:tc>
          <w:tcPr>
            <w:tcW w:w="1170" w:type="dxa"/>
            <w:vMerge/>
            <w:shd w:val="clear" w:color="auto" w:fill="BFBFBF" w:themeFill="background1" w:themeFillShade="BF"/>
          </w:tcPr>
          <w:p w14:paraId="2463EF9B" w14:textId="77777777" w:rsidR="007E31E3" w:rsidRPr="00524435" w:rsidRDefault="007E31E3" w:rsidP="00820229">
            <w:pPr>
              <w:jc w:val="center"/>
              <w:rPr>
                <w:rFonts w:ascii="Cambria" w:hAnsi="Cambria" w:cstheme="minorHAnsi"/>
                <w:sz w:val="18"/>
                <w:szCs w:val="18"/>
              </w:rPr>
            </w:pPr>
          </w:p>
        </w:tc>
        <w:tc>
          <w:tcPr>
            <w:tcW w:w="1316" w:type="dxa"/>
          </w:tcPr>
          <w:p w14:paraId="28EBD757" w14:textId="77777777" w:rsidR="007E31E3" w:rsidRPr="00524435" w:rsidRDefault="007E31E3" w:rsidP="00820229">
            <w:pPr>
              <w:jc w:val="center"/>
              <w:rPr>
                <w:rFonts w:ascii="Cambria" w:hAnsi="Cambria" w:cstheme="minorHAnsi"/>
                <w:sz w:val="18"/>
                <w:szCs w:val="18"/>
              </w:rPr>
            </w:pPr>
          </w:p>
        </w:tc>
        <w:tc>
          <w:tcPr>
            <w:tcW w:w="1170" w:type="dxa"/>
          </w:tcPr>
          <w:p w14:paraId="7AB0E9C3"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7004D0C7"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03CA54B6"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80%</w:t>
            </w:r>
          </w:p>
        </w:tc>
        <w:tc>
          <w:tcPr>
            <w:tcW w:w="1260" w:type="dxa"/>
          </w:tcPr>
          <w:p w14:paraId="04208BA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3C94D16E" w14:textId="77777777" w:rsidTr="00820229">
        <w:trPr>
          <w:cnfStyle w:val="000000010000" w:firstRow="0" w:lastRow="0" w:firstColumn="0" w:lastColumn="0" w:oddVBand="0" w:evenVBand="0" w:oddHBand="0" w:evenHBand="1" w:firstRowFirstColumn="0" w:firstRowLastColumn="0" w:lastRowFirstColumn="0" w:lastRowLastColumn="0"/>
          <w:trHeight w:val="945"/>
          <w:jc w:val="center"/>
        </w:trPr>
        <w:tc>
          <w:tcPr>
            <w:tcW w:w="2250" w:type="dxa"/>
          </w:tcPr>
          <w:p w14:paraId="382E24AA" w14:textId="77777777" w:rsidR="007E31E3" w:rsidRPr="007A5442" w:rsidRDefault="007E31E3" w:rsidP="0009324C">
            <w:pPr>
              <w:numPr>
                <w:ilvl w:val="0"/>
                <w:numId w:val="18"/>
              </w:numPr>
              <w:ind w:firstLine="0"/>
              <w:rPr>
                <w:rFonts w:ascii="Cambria" w:hAnsi="Cambria" w:cstheme="minorHAnsi"/>
                <w:sz w:val="18"/>
                <w:szCs w:val="18"/>
                <w:lang w:val="pt-PT"/>
              </w:rPr>
            </w:pPr>
            <w:r w:rsidRPr="007A5442">
              <w:rPr>
                <w:rFonts w:ascii="Cambria" w:hAnsi="Cambria" w:cstheme="minorHAnsi"/>
                <w:sz w:val="18"/>
                <w:szCs w:val="18"/>
                <w:lang w:val="pt-PT"/>
              </w:rPr>
              <w:t>Case 12.374, Report No. 85/20, Jorge Enrique Patiño Palacios (Paraguay)</w:t>
            </w:r>
          </w:p>
        </w:tc>
        <w:tc>
          <w:tcPr>
            <w:tcW w:w="1170" w:type="dxa"/>
            <w:vMerge/>
            <w:shd w:val="clear" w:color="auto" w:fill="BFBFBF" w:themeFill="background1" w:themeFillShade="BF"/>
          </w:tcPr>
          <w:p w14:paraId="5D4155C3" w14:textId="77777777" w:rsidR="007E31E3" w:rsidRPr="007A5442" w:rsidRDefault="007E31E3" w:rsidP="00820229">
            <w:pPr>
              <w:jc w:val="center"/>
              <w:rPr>
                <w:rFonts w:ascii="Cambria" w:hAnsi="Cambria" w:cstheme="minorHAnsi"/>
                <w:sz w:val="18"/>
                <w:szCs w:val="18"/>
                <w:lang w:val="pt-PT"/>
              </w:rPr>
            </w:pPr>
          </w:p>
        </w:tc>
        <w:tc>
          <w:tcPr>
            <w:tcW w:w="1316" w:type="dxa"/>
          </w:tcPr>
          <w:p w14:paraId="2E840909"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1A5B6707" w14:textId="77777777" w:rsidR="007E31E3" w:rsidRPr="00524435" w:rsidRDefault="007E31E3" w:rsidP="00820229">
            <w:pPr>
              <w:jc w:val="center"/>
              <w:rPr>
                <w:rFonts w:ascii="Cambria" w:hAnsi="Cambria" w:cstheme="minorHAnsi"/>
                <w:sz w:val="18"/>
                <w:szCs w:val="18"/>
              </w:rPr>
            </w:pPr>
          </w:p>
        </w:tc>
        <w:tc>
          <w:tcPr>
            <w:tcW w:w="1170" w:type="dxa"/>
          </w:tcPr>
          <w:p w14:paraId="3F8C3955"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018037C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2EE905E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 2021</w:t>
            </w:r>
          </w:p>
        </w:tc>
      </w:tr>
      <w:tr w:rsidR="007E31E3" w:rsidRPr="00524435" w14:paraId="0863554B" w14:textId="77777777" w:rsidTr="00820229">
        <w:trPr>
          <w:cnfStyle w:val="000000100000" w:firstRow="0" w:lastRow="0" w:firstColumn="0" w:lastColumn="0" w:oddVBand="0" w:evenVBand="0" w:oddHBand="1" w:evenHBand="0" w:firstRowFirstColumn="0" w:firstRowLastColumn="0" w:lastRowFirstColumn="0" w:lastRowLastColumn="0"/>
          <w:trHeight w:val="585"/>
          <w:jc w:val="center"/>
        </w:trPr>
        <w:tc>
          <w:tcPr>
            <w:tcW w:w="2250" w:type="dxa"/>
          </w:tcPr>
          <w:p w14:paraId="34332BC3" w14:textId="77777777" w:rsidR="007E31E3" w:rsidRPr="00524435" w:rsidRDefault="007E31E3" w:rsidP="0009324C">
            <w:pPr>
              <w:numPr>
                <w:ilvl w:val="0"/>
                <w:numId w:val="18"/>
              </w:numPr>
              <w:ind w:firstLine="0"/>
              <w:rPr>
                <w:rFonts w:ascii="Cambria" w:hAnsi="Cambria" w:cstheme="minorHAnsi"/>
                <w:sz w:val="18"/>
                <w:szCs w:val="18"/>
              </w:rPr>
            </w:pPr>
            <w:r w:rsidRPr="00524435">
              <w:rPr>
                <w:rFonts w:ascii="Cambria" w:hAnsi="Cambria" w:cstheme="minorHAnsi"/>
                <w:sz w:val="18"/>
                <w:szCs w:val="18"/>
              </w:rPr>
              <w:t>Petition 747-05, Report No. 256/</w:t>
            </w:r>
            <w:proofErr w:type="gramStart"/>
            <w:r w:rsidRPr="00524435">
              <w:rPr>
                <w:rFonts w:ascii="Cambria" w:hAnsi="Cambria" w:cstheme="minorHAnsi"/>
                <w:sz w:val="18"/>
                <w:szCs w:val="18"/>
              </w:rPr>
              <w:t xml:space="preserve">20,  </w:t>
            </w:r>
            <w:proofErr w:type="spellStart"/>
            <w:r w:rsidRPr="00524435">
              <w:rPr>
                <w:rFonts w:ascii="Cambria" w:hAnsi="Cambria" w:cstheme="minorHAnsi"/>
                <w:sz w:val="18"/>
                <w:szCs w:val="18"/>
              </w:rPr>
              <w:t>Y</w:t>
            </w:r>
            <w:proofErr w:type="gramEnd"/>
            <w:r w:rsidRPr="00524435">
              <w:rPr>
                <w:rFonts w:ascii="Cambria" w:hAnsi="Cambria" w:cstheme="minorHAnsi"/>
                <w:sz w:val="18"/>
                <w:szCs w:val="18"/>
              </w:rPr>
              <w:t>´akâ</w:t>
            </w:r>
            <w:proofErr w:type="spellEnd"/>
            <w:r w:rsidRPr="00524435">
              <w:rPr>
                <w:rFonts w:ascii="Cambria" w:hAnsi="Cambria" w:cstheme="minorHAnsi"/>
                <w:sz w:val="18"/>
                <w:szCs w:val="18"/>
              </w:rPr>
              <w:t xml:space="preserve"> </w:t>
            </w:r>
            <w:proofErr w:type="spellStart"/>
            <w:r w:rsidRPr="00524435">
              <w:rPr>
                <w:rFonts w:ascii="Cambria" w:hAnsi="Cambria" w:cstheme="minorHAnsi"/>
                <w:sz w:val="18"/>
                <w:szCs w:val="18"/>
              </w:rPr>
              <w:t>Marangatú</w:t>
            </w:r>
            <w:proofErr w:type="spellEnd"/>
            <w:r w:rsidRPr="00524435">
              <w:rPr>
                <w:rFonts w:ascii="Cambria" w:hAnsi="Cambria" w:cstheme="minorHAnsi"/>
                <w:sz w:val="18"/>
                <w:szCs w:val="18"/>
              </w:rPr>
              <w:t xml:space="preserve"> indigenous community of the </w:t>
            </w:r>
            <w:proofErr w:type="spellStart"/>
            <w:r w:rsidRPr="00524435">
              <w:rPr>
                <w:rFonts w:ascii="Cambria" w:hAnsi="Cambria" w:cstheme="minorHAnsi"/>
                <w:sz w:val="18"/>
                <w:szCs w:val="18"/>
              </w:rPr>
              <w:t>Mbya</w:t>
            </w:r>
            <w:proofErr w:type="spellEnd"/>
            <w:r w:rsidRPr="00524435">
              <w:rPr>
                <w:rFonts w:ascii="Cambria" w:hAnsi="Cambria" w:cstheme="minorHAnsi"/>
                <w:sz w:val="18"/>
                <w:szCs w:val="18"/>
              </w:rPr>
              <w:t xml:space="preserve"> People (Paraguay)</w:t>
            </w:r>
          </w:p>
        </w:tc>
        <w:tc>
          <w:tcPr>
            <w:tcW w:w="1170" w:type="dxa"/>
            <w:vMerge/>
            <w:shd w:val="clear" w:color="auto" w:fill="BFBFBF" w:themeFill="background1" w:themeFillShade="BF"/>
          </w:tcPr>
          <w:p w14:paraId="2A229BE0" w14:textId="77777777" w:rsidR="007E31E3" w:rsidRPr="00524435" w:rsidRDefault="007E31E3" w:rsidP="00820229">
            <w:pPr>
              <w:jc w:val="center"/>
              <w:rPr>
                <w:rFonts w:ascii="Cambria" w:hAnsi="Cambria" w:cstheme="minorHAnsi"/>
                <w:sz w:val="18"/>
                <w:szCs w:val="18"/>
              </w:rPr>
            </w:pPr>
          </w:p>
        </w:tc>
        <w:tc>
          <w:tcPr>
            <w:tcW w:w="1316" w:type="dxa"/>
          </w:tcPr>
          <w:p w14:paraId="0CC2B785" w14:textId="77777777" w:rsidR="007E31E3" w:rsidRPr="00524435" w:rsidRDefault="007E31E3" w:rsidP="00820229">
            <w:pPr>
              <w:jc w:val="center"/>
              <w:rPr>
                <w:rFonts w:ascii="Cambria" w:hAnsi="Cambria" w:cstheme="minorHAnsi"/>
                <w:sz w:val="18"/>
                <w:szCs w:val="18"/>
              </w:rPr>
            </w:pPr>
          </w:p>
        </w:tc>
        <w:tc>
          <w:tcPr>
            <w:tcW w:w="1170" w:type="dxa"/>
          </w:tcPr>
          <w:p w14:paraId="2507264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1E5578FF"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500F8F60"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50%</w:t>
            </w:r>
          </w:p>
        </w:tc>
        <w:tc>
          <w:tcPr>
            <w:tcW w:w="1260" w:type="dxa"/>
          </w:tcPr>
          <w:p w14:paraId="7FFC2D50"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069F7D8F" w14:textId="77777777" w:rsidTr="00820229">
        <w:trPr>
          <w:cnfStyle w:val="000000010000" w:firstRow="0" w:lastRow="0" w:firstColumn="0" w:lastColumn="0" w:oddVBand="0" w:evenVBand="0" w:oddHBand="0" w:evenHBand="1" w:firstRowFirstColumn="0" w:firstRowLastColumn="0" w:lastRowFirstColumn="0" w:lastRowLastColumn="0"/>
          <w:trHeight w:val="999"/>
          <w:jc w:val="center"/>
        </w:trPr>
        <w:tc>
          <w:tcPr>
            <w:tcW w:w="2250" w:type="dxa"/>
          </w:tcPr>
          <w:p w14:paraId="65CBE234" w14:textId="77777777" w:rsidR="007E31E3" w:rsidRPr="00524435" w:rsidRDefault="007E31E3" w:rsidP="0009324C">
            <w:pPr>
              <w:numPr>
                <w:ilvl w:val="0"/>
                <w:numId w:val="18"/>
              </w:numPr>
              <w:ind w:firstLine="0"/>
              <w:rPr>
                <w:rFonts w:ascii="Cambria" w:hAnsi="Cambria" w:cstheme="minorHAnsi"/>
                <w:sz w:val="18"/>
                <w:szCs w:val="18"/>
              </w:rPr>
            </w:pPr>
            <w:r w:rsidRPr="00524435">
              <w:rPr>
                <w:rFonts w:ascii="Cambria" w:hAnsi="Cambria" w:cs="Arial"/>
                <w:sz w:val="18"/>
                <w:szCs w:val="18"/>
                <w:lang w:eastAsia="es-ES_tradnl"/>
              </w:rPr>
              <w:t>Case 12.330, Report No. 206/21, Marcelino Gómez and Other (Paraguay)</w:t>
            </w:r>
          </w:p>
        </w:tc>
        <w:tc>
          <w:tcPr>
            <w:tcW w:w="1170" w:type="dxa"/>
            <w:vMerge/>
            <w:shd w:val="clear" w:color="auto" w:fill="BFBFBF" w:themeFill="background1" w:themeFillShade="BF"/>
          </w:tcPr>
          <w:p w14:paraId="59B1DB6D" w14:textId="77777777" w:rsidR="007E31E3" w:rsidRPr="00524435" w:rsidRDefault="007E31E3" w:rsidP="00820229">
            <w:pPr>
              <w:jc w:val="center"/>
              <w:rPr>
                <w:rFonts w:ascii="Cambria" w:hAnsi="Cambria" w:cstheme="minorHAnsi"/>
                <w:sz w:val="18"/>
                <w:szCs w:val="18"/>
              </w:rPr>
            </w:pPr>
          </w:p>
        </w:tc>
        <w:tc>
          <w:tcPr>
            <w:tcW w:w="1316" w:type="dxa"/>
          </w:tcPr>
          <w:p w14:paraId="173BCC14" w14:textId="77777777" w:rsidR="007E31E3" w:rsidRPr="00524435" w:rsidRDefault="007E31E3" w:rsidP="00820229">
            <w:pPr>
              <w:jc w:val="center"/>
              <w:rPr>
                <w:rFonts w:ascii="Cambria" w:hAnsi="Cambria" w:cstheme="minorHAnsi"/>
                <w:sz w:val="18"/>
                <w:szCs w:val="18"/>
              </w:rPr>
            </w:pPr>
          </w:p>
        </w:tc>
        <w:tc>
          <w:tcPr>
            <w:tcW w:w="1170" w:type="dxa"/>
          </w:tcPr>
          <w:p w14:paraId="6C10C8D2" w14:textId="77777777" w:rsidR="007E31E3" w:rsidRPr="00524435" w:rsidRDefault="007E31E3" w:rsidP="00820229">
            <w:pPr>
              <w:jc w:val="center"/>
              <w:rPr>
                <w:rFonts w:ascii="Cambria" w:hAnsi="Cambria" w:cstheme="minorHAnsi"/>
                <w:sz w:val="18"/>
                <w:szCs w:val="18"/>
              </w:rPr>
            </w:pPr>
            <w:r w:rsidRPr="00524435">
              <w:rPr>
                <w:rFonts w:ascii="Cambria" w:hAnsi="Cambria" w:cs="Arial"/>
                <w:sz w:val="18"/>
                <w:szCs w:val="18"/>
                <w:lang w:eastAsia="es-ES_tradnl"/>
              </w:rPr>
              <w:t>X</w:t>
            </w:r>
          </w:p>
        </w:tc>
        <w:tc>
          <w:tcPr>
            <w:tcW w:w="1170" w:type="dxa"/>
          </w:tcPr>
          <w:p w14:paraId="5AF50AE9"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05B078C5" w14:textId="77777777" w:rsidR="007E31E3" w:rsidRPr="00524435" w:rsidRDefault="007E31E3" w:rsidP="00820229">
            <w:pPr>
              <w:jc w:val="center"/>
              <w:rPr>
                <w:rFonts w:ascii="Cambria" w:hAnsi="Cambria" w:cstheme="minorHAnsi"/>
                <w:sz w:val="18"/>
                <w:szCs w:val="18"/>
              </w:rPr>
            </w:pPr>
            <w:r w:rsidRPr="00524435">
              <w:rPr>
                <w:rFonts w:ascii="Cambria" w:hAnsi="Cambria" w:cs="Arial"/>
                <w:sz w:val="18"/>
                <w:szCs w:val="18"/>
              </w:rPr>
              <w:t>94%</w:t>
            </w:r>
          </w:p>
        </w:tc>
        <w:tc>
          <w:tcPr>
            <w:tcW w:w="1260" w:type="dxa"/>
          </w:tcPr>
          <w:p w14:paraId="5E15D529" w14:textId="77777777" w:rsidR="007E31E3" w:rsidRPr="00524435" w:rsidRDefault="007E31E3" w:rsidP="00820229">
            <w:pPr>
              <w:jc w:val="center"/>
              <w:rPr>
                <w:rFonts w:ascii="Cambria" w:hAnsi="Cambria" w:cstheme="minorHAnsi"/>
                <w:sz w:val="18"/>
                <w:szCs w:val="18"/>
              </w:rPr>
            </w:pPr>
            <w:r w:rsidRPr="00524435">
              <w:rPr>
                <w:rFonts w:ascii="Cambria" w:hAnsi="Cambria" w:cs="Arial"/>
                <w:sz w:val="18"/>
                <w:szCs w:val="18"/>
              </w:rPr>
              <w:t>Active</w:t>
            </w:r>
          </w:p>
        </w:tc>
      </w:tr>
      <w:tr w:rsidR="007E31E3" w:rsidRPr="00524435" w14:paraId="7DD5DD31" w14:textId="77777777" w:rsidTr="00820229">
        <w:trPr>
          <w:cnfStyle w:val="000000100000" w:firstRow="0" w:lastRow="0" w:firstColumn="0" w:lastColumn="0" w:oddVBand="0" w:evenVBand="0" w:oddHBand="1" w:evenHBand="0" w:firstRowFirstColumn="0" w:firstRowLastColumn="0" w:lastRowFirstColumn="0" w:lastRowLastColumn="0"/>
          <w:trHeight w:val="936"/>
          <w:jc w:val="center"/>
        </w:trPr>
        <w:tc>
          <w:tcPr>
            <w:tcW w:w="2250" w:type="dxa"/>
          </w:tcPr>
          <w:p w14:paraId="2FA08D80"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t>Case 12.035; Report No. 75/02(bis), Pablo Ignacio Livia Robles (Peru)</w:t>
            </w:r>
            <w:r w:rsidRPr="00524435">
              <w:rPr>
                <w:rFonts w:ascii="Cambria" w:hAnsi="Cambria" w:cstheme="minorHAnsi"/>
                <w:sz w:val="18"/>
                <w:szCs w:val="18"/>
                <w:vertAlign w:val="superscript"/>
              </w:rPr>
              <w:footnoteReference w:id="111"/>
            </w:r>
          </w:p>
        </w:tc>
        <w:tc>
          <w:tcPr>
            <w:tcW w:w="1170" w:type="dxa"/>
            <w:vMerge w:val="restart"/>
          </w:tcPr>
          <w:p w14:paraId="3D6123F8" w14:textId="6DBA27BD" w:rsidR="007E31E3" w:rsidRPr="00524435" w:rsidRDefault="006B7403" w:rsidP="00820229">
            <w:pPr>
              <w:jc w:val="center"/>
              <w:rPr>
                <w:rFonts w:ascii="Cambria" w:hAnsi="Cambria" w:cstheme="minorHAnsi"/>
                <w:sz w:val="18"/>
                <w:szCs w:val="18"/>
              </w:rPr>
            </w:pPr>
            <w:hyperlink r:id="rId75" w:history="1">
              <w:r w:rsidR="007E31E3" w:rsidRPr="00524435">
                <w:rPr>
                  <w:rStyle w:val="Hyperlink"/>
                  <w:rFonts w:ascii="Cambria" w:hAnsi="Cambria" w:cstheme="minorHAnsi"/>
                  <w:sz w:val="18"/>
                  <w:szCs w:val="18"/>
                </w:rPr>
                <w:t>Link to monitoring sheets on matters</w:t>
              </w:r>
            </w:hyperlink>
            <w:r w:rsidR="007E31E3" w:rsidRPr="00524435">
              <w:rPr>
                <w:rFonts w:ascii="Cambria" w:hAnsi="Cambria" w:cstheme="minorHAnsi"/>
                <w:sz w:val="18"/>
                <w:szCs w:val="18"/>
              </w:rPr>
              <w:t xml:space="preserve"> </w:t>
            </w:r>
            <w:hyperlink r:id="rId76" w:history="1">
              <w:r w:rsidR="007E31E3" w:rsidRPr="00524435">
                <w:rPr>
                  <w:rStyle w:val="Hyperlink"/>
                  <w:rFonts w:ascii="Cambria" w:hAnsi="Cambria" w:cstheme="minorHAnsi"/>
                  <w:sz w:val="18"/>
                  <w:szCs w:val="18"/>
                </w:rPr>
                <w:t>related to reports of friendly settlement agreement of Peru that are subject to monitoring</w:t>
              </w:r>
            </w:hyperlink>
            <w:r w:rsidR="007E31E3" w:rsidRPr="00524435">
              <w:rPr>
                <w:rFonts w:ascii="Cambria" w:hAnsi="Cambria" w:cstheme="minorHAnsi"/>
                <w:sz w:val="18"/>
                <w:szCs w:val="18"/>
              </w:rPr>
              <w:t xml:space="preserve"> </w:t>
            </w:r>
          </w:p>
        </w:tc>
        <w:tc>
          <w:tcPr>
            <w:tcW w:w="1316" w:type="dxa"/>
          </w:tcPr>
          <w:p w14:paraId="52ADAAF9"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lastRenderedPageBreak/>
              <w:t>X</w:t>
            </w:r>
          </w:p>
        </w:tc>
        <w:tc>
          <w:tcPr>
            <w:tcW w:w="1170" w:type="dxa"/>
          </w:tcPr>
          <w:p w14:paraId="6B84F00A" w14:textId="77777777" w:rsidR="007E31E3" w:rsidRPr="00524435" w:rsidRDefault="007E31E3" w:rsidP="00820229">
            <w:pPr>
              <w:jc w:val="center"/>
              <w:rPr>
                <w:rFonts w:ascii="Cambria" w:hAnsi="Cambria" w:cstheme="minorHAnsi"/>
                <w:sz w:val="18"/>
                <w:szCs w:val="18"/>
              </w:rPr>
            </w:pPr>
          </w:p>
        </w:tc>
        <w:tc>
          <w:tcPr>
            <w:tcW w:w="1170" w:type="dxa"/>
          </w:tcPr>
          <w:p w14:paraId="65F9AAD0"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361ADF1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3FECE339"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626FB72C" w14:textId="77777777" w:rsidTr="00820229">
        <w:trPr>
          <w:cnfStyle w:val="000000010000" w:firstRow="0" w:lastRow="0" w:firstColumn="0" w:lastColumn="0" w:oddVBand="0" w:evenVBand="0" w:oddHBand="0" w:evenHBand="1" w:firstRowFirstColumn="0" w:firstRowLastColumn="0" w:lastRowFirstColumn="0" w:lastRowLastColumn="0"/>
          <w:trHeight w:val="945"/>
          <w:jc w:val="center"/>
        </w:trPr>
        <w:tc>
          <w:tcPr>
            <w:tcW w:w="2250" w:type="dxa"/>
          </w:tcPr>
          <w:p w14:paraId="109398B0" w14:textId="77777777" w:rsidR="007E31E3" w:rsidRPr="007A5442" w:rsidRDefault="007E31E3" w:rsidP="0009324C">
            <w:pPr>
              <w:numPr>
                <w:ilvl w:val="0"/>
                <w:numId w:val="18"/>
              </w:numPr>
              <w:tabs>
                <w:tab w:val="num" w:pos="522"/>
              </w:tabs>
              <w:ind w:firstLine="0"/>
              <w:jc w:val="both"/>
              <w:rPr>
                <w:rFonts w:ascii="Cambria" w:hAnsi="Cambria" w:cstheme="minorHAnsi"/>
                <w:sz w:val="18"/>
                <w:szCs w:val="18"/>
                <w:lang w:val="pt-PT"/>
              </w:rPr>
            </w:pPr>
            <w:r w:rsidRPr="007A5442">
              <w:rPr>
                <w:rFonts w:ascii="Cambria" w:hAnsi="Cambria" w:cstheme="minorHAnsi"/>
                <w:sz w:val="18"/>
                <w:szCs w:val="18"/>
                <w:lang w:val="pt-PT"/>
              </w:rPr>
              <w:lastRenderedPageBreak/>
              <w:t>Case 11.149, Report No. 70/03 Augusto Alejandro Zúñiga Paz (Peru)</w:t>
            </w:r>
            <w:r w:rsidRPr="00524435">
              <w:rPr>
                <w:rFonts w:ascii="Cambria" w:hAnsi="Cambria" w:cstheme="minorHAnsi"/>
                <w:sz w:val="18"/>
                <w:szCs w:val="18"/>
                <w:vertAlign w:val="superscript"/>
              </w:rPr>
              <w:footnoteReference w:id="112"/>
            </w:r>
          </w:p>
        </w:tc>
        <w:tc>
          <w:tcPr>
            <w:tcW w:w="1170" w:type="dxa"/>
            <w:vMerge/>
          </w:tcPr>
          <w:p w14:paraId="09556365" w14:textId="77777777" w:rsidR="007E31E3" w:rsidRPr="007A5442" w:rsidRDefault="007E31E3" w:rsidP="00820229">
            <w:pPr>
              <w:jc w:val="center"/>
              <w:rPr>
                <w:rFonts w:ascii="Cambria" w:hAnsi="Cambria" w:cstheme="minorHAnsi"/>
                <w:sz w:val="18"/>
                <w:szCs w:val="18"/>
                <w:lang w:val="pt-PT"/>
              </w:rPr>
            </w:pPr>
          </w:p>
        </w:tc>
        <w:tc>
          <w:tcPr>
            <w:tcW w:w="1316" w:type="dxa"/>
          </w:tcPr>
          <w:p w14:paraId="2BD2C9C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5094621D" w14:textId="77777777" w:rsidR="007E31E3" w:rsidRPr="00524435" w:rsidRDefault="007E31E3" w:rsidP="00820229">
            <w:pPr>
              <w:jc w:val="center"/>
              <w:rPr>
                <w:rFonts w:ascii="Cambria" w:hAnsi="Cambria" w:cstheme="minorHAnsi"/>
                <w:sz w:val="18"/>
                <w:szCs w:val="18"/>
              </w:rPr>
            </w:pPr>
          </w:p>
        </w:tc>
        <w:tc>
          <w:tcPr>
            <w:tcW w:w="1170" w:type="dxa"/>
          </w:tcPr>
          <w:p w14:paraId="6784C58E"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6B9BBC50"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50944033"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552EE3DB" w14:textId="77777777" w:rsidTr="00820229">
        <w:trPr>
          <w:cnfStyle w:val="000000100000" w:firstRow="0" w:lastRow="0" w:firstColumn="0" w:lastColumn="0" w:oddVBand="0" w:evenVBand="0" w:oddHBand="1" w:evenHBand="0" w:firstRowFirstColumn="0" w:firstRowLastColumn="0" w:lastRowFirstColumn="0" w:lastRowLastColumn="0"/>
          <w:trHeight w:val="1044"/>
          <w:jc w:val="center"/>
        </w:trPr>
        <w:tc>
          <w:tcPr>
            <w:tcW w:w="2250" w:type="dxa"/>
          </w:tcPr>
          <w:p w14:paraId="72D2FA3C"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t xml:space="preserve">Case 12.191, Report No. 71/03, María </w:t>
            </w:r>
            <w:proofErr w:type="spellStart"/>
            <w:r w:rsidRPr="00524435">
              <w:rPr>
                <w:rFonts w:ascii="Cambria" w:hAnsi="Cambria" w:cstheme="minorHAnsi"/>
                <w:sz w:val="18"/>
                <w:szCs w:val="18"/>
              </w:rPr>
              <w:t>Mamerita</w:t>
            </w:r>
            <w:proofErr w:type="spellEnd"/>
            <w:r w:rsidRPr="00524435">
              <w:rPr>
                <w:rFonts w:ascii="Cambria" w:hAnsi="Cambria" w:cstheme="minorHAnsi"/>
                <w:sz w:val="18"/>
                <w:szCs w:val="18"/>
              </w:rPr>
              <w:t xml:space="preserve"> </w:t>
            </w:r>
            <w:proofErr w:type="spellStart"/>
            <w:r w:rsidRPr="00524435">
              <w:rPr>
                <w:rFonts w:ascii="Cambria" w:hAnsi="Cambria" w:cstheme="minorHAnsi"/>
                <w:sz w:val="18"/>
                <w:szCs w:val="18"/>
              </w:rPr>
              <w:t>Mestanza</w:t>
            </w:r>
            <w:proofErr w:type="spellEnd"/>
            <w:r w:rsidRPr="00524435">
              <w:rPr>
                <w:rFonts w:ascii="Cambria" w:hAnsi="Cambria" w:cstheme="minorHAnsi"/>
                <w:sz w:val="18"/>
                <w:szCs w:val="18"/>
              </w:rPr>
              <w:t xml:space="preserve"> (Peru)</w:t>
            </w:r>
          </w:p>
        </w:tc>
        <w:tc>
          <w:tcPr>
            <w:tcW w:w="1170" w:type="dxa"/>
            <w:vMerge/>
          </w:tcPr>
          <w:p w14:paraId="22D6B52D" w14:textId="77777777" w:rsidR="007E31E3" w:rsidRPr="00524435" w:rsidRDefault="007E31E3" w:rsidP="00820229">
            <w:pPr>
              <w:jc w:val="center"/>
              <w:rPr>
                <w:rFonts w:ascii="Cambria" w:hAnsi="Cambria" w:cstheme="minorHAnsi"/>
                <w:sz w:val="18"/>
                <w:szCs w:val="18"/>
              </w:rPr>
            </w:pPr>
          </w:p>
        </w:tc>
        <w:tc>
          <w:tcPr>
            <w:tcW w:w="1316" w:type="dxa"/>
          </w:tcPr>
          <w:p w14:paraId="21F1500C" w14:textId="77777777" w:rsidR="007E31E3" w:rsidRPr="00524435" w:rsidRDefault="007E31E3" w:rsidP="00820229">
            <w:pPr>
              <w:jc w:val="center"/>
              <w:rPr>
                <w:rFonts w:ascii="Cambria" w:hAnsi="Cambria" w:cstheme="minorHAnsi"/>
                <w:sz w:val="18"/>
                <w:szCs w:val="18"/>
              </w:rPr>
            </w:pPr>
          </w:p>
        </w:tc>
        <w:tc>
          <w:tcPr>
            <w:tcW w:w="1170" w:type="dxa"/>
          </w:tcPr>
          <w:p w14:paraId="4198A7E3"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186D8CE7"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3DC340CD"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75%</w:t>
            </w:r>
          </w:p>
        </w:tc>
        <w:tc>
          <w:tcPr>
            <w:tcW w:w="1260" w:type="dxa"/>
          </w:tcPr>
          <w:p w14:paraId="0699CBD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39853D4A" w14:textId="77777777" w:rsidTr="00820229">
        <w:trPr>
          <w:cnfStyle w:val="000000010000" w:firstRow="0" w:lastRow="0" w:firstColumn="0" w:lastColumn="0" w:oddVBand="0" w:evenVBand="0" w:oddHBand="0" w:evenHBand="1" w:firstRowFirstColumn="0" w:firstRowLastColumn="0" w:lastRowFirstColumn="0" w:lastRowLastColumn="0"/>
          <w:trHeight w:val="819"/>
          <w:jc w:val="center"/>
        </w:trPr>
        <w:tc>
          <w:tcPr>
            <w:tcW w:w="2250" w:type="dxa"/>
          </w:tcPr>
          <w:p w14:paraId="02E82B18"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t xml:space="preserve">Case 12.078, Report No. 31/04, Ricardo </w:t>
            </w:r>
            <w:proofErr w:type="spellStart"/>
            <w:r w:rsidRPr="00524435">
              <w:rPr>
                <w:rFonts w:ascii="Cambria" w:hAnsi="Cambria" w:cstheme="minorHAnsi"/>
                <w:sz w:val="18"/>
                <w:szCs w:val="18"/>
              </w:rPr>
              <w:t>Semoza</w:t>
            </w:r>
            <w:proofErr w:type="spellEnd"/>
            <w:r w:rsidRPr="00524435">
              <w:rPr>
                <w:rFonts w:ascii="Cambria" w:hAnsi="Cambria" w:cstheme="minorHAnsi"/>
                <w:sz w:val="18"/>
                <w:szCs w:val="18"/>
              </w:rPr>
              <w:t xml:space="preserve"> Di Carlo (Peru)</w:t>
            </w:r>
            <w:r w:rsidRPr="00524435">
              <w:rPr>
                <w:rStyle w:val="FootnoteReference"/>
                <w:rFonts w:ascii="Cambria" w:hAnsi="Cambria" w:cstheme="minorHAnsi"/>
                <w:sz w:val="18"/>
                <w:szCs w:val="18"/>
              </w:rPr>
              <w:footnoteReference w:id="113"/>
            </w:r>
          </w:p>
        </w:tc>
        <w:tc>
          <w:tcPr>
            <w:tcW w:w="1170" w:type="dxa"/>
            <w:vMerge/>
          </w:tcPr>
          <w:p w14:paraId="1FC9E5BA" w14:textId="77777777" w:rsidR="007E31E3" w:rsidRPr="00524435" w:rsidRDefault="007E31E3" w:rsidP="00820229">
            <w:pPr>
              <w:jc w:val="center"/>
              <w:rPr>
                <w:rFonts w:ascii="Cambria" w:hAnsi="Cambria" w:cstheme="minorHAnsi"/>
                <w:sz w:val="18"/>
                <w:szCs w:val="18"/>
              </w:rPr>
            </w:pPr>
          </w:p>
        </w:tc>
        <w:tc>
          <w:tcPr>
            <w:tcW w:w="1316" w:type="dxa"/>
          </w:tcPr>
          <w:p w14:paraId="1F7ED848"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603C061D" w14:textId="77777777" w:rsidR="007E31E3" w:rsidRPr="00524435" w:rsidRDefault="007E31E3" w:rsidP="00820229">
            <w:pPr>
              <w:jc w:val="center"/>
              <w:rPr>
                <w:rFonts w:ascii="Cambria" w:hAnsi="Cambria" w:cstheme="minorHAnsi"/>
                <w:sz w:val="18"/>
                <w:szCs w:val="18"/>
              </w:rPr>
            </w:pPr>
          </w:p>
        </w:tc>
        <w:tc>
          <w:tcPr>
            <w:tcW w:w="1170" w:type="dxa"/>
          </w:tcPr>
          <w:p w14:paraId="79C37D12"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5BA20304"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715A8472"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p w14:paraId="3897FB02" w14:textId="77777777" w:rsidR="007E31E3" w:rsidRPr="00524435" w:rsidRDefault="007E31E3" w:rsidP="00820229">
            <w:pPr>
              <w:jc w:val="center"/>
              <w:rPr>
                <w:rFonts w:ascii="Cambria" w:hAnsi="Cambria" w:cstheme="minorHAnsi"/>
                <w:sz w:val="18"/>
                <w:szCs w:val="18"/>
              </w:rPr>
            </w:pPr>
          </w:p>
        </w:tc>
      </w:tr>
      <w:tr w:rsidR="007E31E3" w:rsidRPr="00524435" w14:paraId="13EE161F" w14:textId="77777777" w:rsidTr="00820229">
        <w:trPr>
          <w:cnfStyle w:val="000000100000" w:firstRow="0" w:lastRow="0" w:firstColumn="0" w:lastColumn="0" w:oddVBand="0" w:evenVBand="0" w:oddHBand="1" w:evenHBand="0" w:firstRowFirstColumn="0" w:firstRowLastColumn="0" w:lastRowFirstColumn="0" w:lastRowLastColumn="0"/>
          <w:trHeight w:val="1044"/>
          <w:jc w:val="center"/>
        </w:trPr>
        <w:tc>
          <w:tcPr>
            <w:tcW w:w="2250" w:type="dxa"/>
          </w:tcPr>
          <w:p w14:paraId="478D1740"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t xml:space="preserve">Petition 185-02, Report No. 107/05, Roger </w:t>
            </w:r>
            <w:proofErr w:type="spellStart"/>
            <w:r w:rsidRPr="00524435">
              <w:rPr>
                <w:rFonts w:ascii="Cambria" w:hAnsi="Cambria" w:cstheme="minorHAnsi"/>
                <w:sz w:val="18"/>
                <w:szCs w:val="18"/>
              </w:rPr>
              <w:t>Herminio</w:t>
            </w:r>
            <w:proofErr w:type="spellEnd"/>
            <w:r w:rsidRPr="00524435">
              <w:rPr>
                <w:rFonts w:ascii="Cambria" w:hAnsi="Cambria" w:cstheme="minorHAnsi"/>
                <w:sz w:val="18"/>
                <w:szCs w:val="18"/>
              </w:rPr>
              <w:t xml:space="preserve"> Salas </w:t>
            </w:r>
            <w:proofErr w:type="spellStart"/>
            <w:r w:rsidRPr="00524435">
              <w:rPr>
                <w:rFonts w:ascii="Cambria" w:hAnsi="Cambria" w:cstheme="minorHAnsi"/>
                <w:sz w:val="18"/>
                <w:szCs w:val="18"/>
              </w:rPr>
              <w:t>Gamboa</w:t>
            </w:r>
            <w:proofErr w:type="spellEnd"/>
            <w:r w:rsidRPr="00524435">
              <w:rPr>
                <w:rFonts w:ascii="Cambria" w:hAnsi="Cambria" w:cstheme="minorHAnsi"/>
                <w:sz w:val="18"/>
                <w:szCs w:val="18"/>
              </w:rPr>
              <w:t xml:space="preserve"> (Peru)</w:t>
            </w:r>
            <w:r w:rsidRPr="00524435">
              <w:rPr>
                <w:rFonts w:ascii="Cambria" w:hAnsi="Cambria" w:cstheme="minorHAnsi"/>
                <w:sz w:val="18"/>
                <w:szCs w:val="18"/>
                <w:vertAlign w:val="superscript"/>
              </w:rPr>
              <w:footnoteReference w:id="114"/>
            </w:r>
          </w:p>
        </w:tc>
        <w:tc>
          <w:tcPr>
            <w:tcW w:w="1170" w:type="dxa"/>
            <w:vMerge/>
          </w:tcPr>
          <w:p w14:paraId="0AC1C426" w14:textId="77777777" w:rsidR="007E31E3" w:rsidRPr="00524435" w:rsidRDefault="007E31E3" w:rsidP="00820229">
            <w:pPr>
              <w:jc w:val="center"/>
              <w:rPr>
                <w:rFonts w:ascii="Cambria" w:hAnsi="Cambria" w:cstheme="minorHAnsi"/>
                <w:sz w:val="18"/>
                <w:szCs w:val="18"/>
              </w:rPr>
            </w:pPr>
          </w:p>
        </w:tc>
        <w:tc>
          <w:tcPr>
            <w:tcW w:w="1316" w:type="dxa"/>
          </w:tcPr>
          <w:p w14:paraId="468EADB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6AABED85" w14:textId="77777777" w:rsidR="007E31E3" w:rsidRPr="00524435" w:rsidRDefault="007E31E3" w:rsidP="00820229">
            <w:pPr>
              <w:jc w:val="center"/>
              <w:rPr>
                <w:rFonts w:ascii="Cambria" w:hAnsi="Cambria" w:cstheme="minorHAnsi"/>
                <w:sz w:val="18"/>
                <w:szCs w:val="18"/>
              </w:rPr>
            </w:pPr>
          </w:p>
        </w:tc>
        <w:tc>
          <w:tcPr>
            <w:tcW w:w="1170" w:type="dxa"/>
          </w:tcPr>
          <w:p w14:paraId="60C3FA8E"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5970015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38F11637"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Closed</w:t>
            </w:r>
          </w:p>
        </w:tc>
      </w:tr>
      <w:tr w:rsidR="007E31E3" w:rsidRPr="00524435" w14:paraId="3EA8248F" w14:textId="77777777" w:rsidTr="00820229">
        <w:trPr>
          <w:cnfStyle w:val="000000010000" w:firstRow="0" w:lastRow="0" w:firstColumn="0" w:lastColumn="0" w:oddVBand="0" w:evenVBand="0" w:oddHBand="0" w:evenHBand="1" w:firstRowFirstColumn="0" w:firstRowLastColumn="0" w:lastRowFirstColumn="0" w:lastRowLastColumn="0"/>
          <w:trHeight w:val="945"/>
          <w:jc w:val="center"/>
        </w:trPr>
        <w:tc>
          <w:tcPr>
            <w:tcW w:w="2250" w:type="dxa"/>
          </w:tcPr>
          <w:p w14:paraId="2FD36A72"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t xml:space="preserve">Case 12.033, Report No. 49/06, </w:t>
            </w:r>
            <w:proofErr w:type="spellStart"/>
            <w:r w:rsidRPr="00524435">
              <w:rPr>
                <w:rFonts w:ascii="Cambria" w:hAnsi="Cambria" w:cstheme="minorHAnsi"/>
                <w:sz w:val="18"/>
                <w:szCs w:val="18"/>
              </w:rPr>
              <w:t>Rómulo</w:t>
            </w:r>
            <w:proofErr w:type="spellEnd"/>
            <w:r w:rsidRPr="00524435">
              <w:rPr>
                <w:rFonts w:ascii="Cambria" w:hAnsi="Cambria" w:cstheme="minorHAnsi"/>
                <w:sz w:val="18"/>
                <w:szCs w:val="18"/>
              </w:rPr>
              <w:t xml:space="preserve"> Torres </w:t>
            </w:r>
            <w:proofErr w:type="spellStart"/>
            <w:r w:rsidRPr="00524435">
              <w:rPr>
                <w:rFonts w:ascii="Cambria" w:hAnsi="Cambria" w:cstheme="minorHAnsi"/>
                <w:sz w:val="18"/>
                <w:szCs w:val="18"/>
              </w:rPr>
              <w:t>Ventocilla</w:t>
            </w:r>
            <w:proofErr w:type="spellEnd"/>
            <w:r w:rsidRPr="00524435">
              <w:rPr>
                <w:rFonts w:ascii="Cambria" w:hAnsi="Cambria" w:cstheme="minorHAnsi"/>
                <w:sz w:val="18"/>
                <w:szCs w:val="18"/>
              </w:rPr>
              <w:t xml:space="preserve"> (Peru)</w:t>
            </w:r>
            <w:r w:rsidRPr="00524435">
              <w:rPr>
                <w:rFonts w:ascii="Cambria" w:hAnsi="Cambria" w:cstheme="minorHAnsi"/>
                <w:sz w:val="18"/>
                <w:szCs w:val="18"/>
                <w:vertAlign w:val="superscript"/>
              </w:rPr>
              <w:footnoteReference w:id="115"/>
            </w:r>
          </w:p>
        </w:tc>
        <w:tc>
          <w:tcPr>
            <w:tcW w:w="1170" w:type="dxa"/>
            <w:vMerge/>
          </w:tcPr>
          <w:p w14:paraId="5CA76051" w14:textId="77777777" w:rsidR="007E31E3" w:rsidRPr="00524435" w:rsidRDefault="007E31E3" w:rsidP="00820229">
            <w:pPr>
              <w:jc w:val="center"/>
              <w:rPr>
                <w:rFonts w:ascii="Cambria" w:hAnsi="Cambria" w:cstheme="minorHAnsi"/>
                <w:sz w:val="18"/>
                <w:szCs w:val="18"/>
              </w:rPr>
            </w:pPr>
          </w:p>
        </w:tc>
        <w:tc>
          <w:tcPr>
            <w:tcW w:w="1316" w:type="dxa"/>
          </w:tcPr>
          <w:p w14:paraId="1C26F98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1E3EFA9F" w14:textId="77777777" w:rsidR="007E31E3" w:rsidRPr="00524435" w:rsidRDefault="007E31E3" w:rsidP="00820229">
            <w:pPr>
              <w:jc w:val="center"/>
              <w:rPr>
                <w:rFonts w:ascii="Cambria" w:hAnsi="Cambria" w:cstheme="minorHAnsi"/>
                <w:sz w:val="18"/>
                <w:szCs w:val="18"/>
              </w:rPr>
            </w:pPr>
          </w:p>
        </w:tc>
        <w:tc>
          <w:tcPr>
            <w:tcW w:w="1170" w:type="dxa"/>
          </w:tcPr>
          <w:p w14:paraId="71216C0B"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2A3ACA5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2C727967"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Closed</w:t>
            </w:r>
          </w:p>
        </w:tc>
      </w:tr>
      <w:tr w:rsidR="007E31E3" w:rsidRPr="00524435" w14:paraId="48E17705" w14:textId="77777777" w:rsidTr="00820229">
        <w:trPr>
          <w:cnfStyle w:val="000000100000" w:firstRow="0" w:lastRow="0" w:firstColumn="0" w:lastColumn="0" w:oddVBand="0" w:evenVBand="0" w:oddHBand="1" w:evenHBand="0" w:firstRowFirstColumn="0" w:firstRowLastColumn="0" w:lastRowFirstColumn="0" w:lastRowLastColumn="0"/>
          <w:trHeight w:val="315"/>
          <w:jc w:val="center"/>
        </w:trPr>
        <w:tc>
          <w:tcPr>
            <w:tcW w:w="2250" w:type="dxa"/>
          </w:tcPr>
          <w:p w14:paraId="538F4802"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proofErr w:type="spellStart"/>
            <w:r w:rsidRPr="007A5442">
              <w:rPr>
                <w:rFonts w:ascii="Cambria" w:hAnsi="Cambria" w:cstheme="minorHAnsi"/>
                <w:sz w:val="18"/>
                <w:szCs w:val="18"/>
                <w:lang w:val="es-ES"/>
              </w:rPr>
              <w:t>Petition</w:t>
            </w:r>
            <w:proofErr w:type="spellEnd"/>
            <w:r w:rsidRPr="007A5442">
              <w:rPr>
                <w:rFonts w:ascii="Cambria" w:hAnsi="Cambria" w:cstheme="minorHAnsi"/>
                <w:sz w:val="18"/>
                <w:szCs w:val="18"/>
                <w:lang w:val="es-ES"/>
              </w:rPr>
              <w:t xml:space="preserve"> 711-01 et al., </w:t>
            </w:r>
            <w:proofErr w:type="spellStart"/>
            <w:r w:rsidRPr="007A5442">
              <w:rPr>
                <w:rFonts w:ascii="Cambria" w:hAnsi="Cambria" w:cstheme="minorHAnsi"/>
                <w:sz w:val="18"/>
                <w:szCs w:val="18"/>
                <w:lang w:val="es-ES"/>
              </w:rPr>
              <w:t>Report</w:t>
            </w:r>
            <w:proofErr w:type="spellEnd"/>
            <w:r w:rsidRPr="007A5442">
              <w:rPr>
                <w:rFonts w:ascii="Cambria" w:hAnsi="Cambria" w:cstheme="minorHAnsi"/>
                <w:sz w:val="18"/>
                <w:szCs w:val="18"/>
                <w:lang w:val="es-ES"/>
              </w:rPr>
              <w:t xml:space="preserve"> No. 50/06, Miguel Grimaldo Castañeda Sánchez et al.; </w:t>
            </w:r>
            <w:proofErr w:type="spellStart"/>
            <w:r w:rsidRPr="007A5442">
              <w:rPr>
                <w:rFonts w:ascii="Cambria" w:hAnsi="Cambria" w:cstheme="minorHAnsi"/>
                <w:sz w:val="18"/>
                <w:szCs w:val="18"/>
                <w:lang w:val="es-ES"/>
              </w:rPr>
              <w:t>Petition</w:t>
            </w:r>
            <w:proofErr w:type="spellEnd"/>
            <w:r w:rsidRPr="007A5442">
              <w:rPr>
                <w:rFonts w:ascii="Cambria" w:hAnsi="Cambria" w:cstheme="minorHAnsi"/>
                <w:sz w:val="18"/>
                <w:szCs w:val="18"/>
                <w:lang w:val="es-ES"/>
              </w:rPr>
              <w:t xml:space="preserve"> 33-03 et al., </w:t>
            </w:r>
            <w:proofErr w:type="spellStart"/>
            <w:r w:rsidRPr="007A5442">
              <w:rPr>
                <w:rFonts w:ascii="Cambria" w:hAnsi="Cambria" w:cstheme="minorHAnsi"/>
                <w:sz w:val="18"/>
                <w:szCs w:val="18"/>
                <w:lang w:val="es-ES"/>
              </w:rPr>
              <w:t>Report</w:t>
            </w:r>
            <w:proofErr w:type="spellEnd"/>
            <w:r w:rsidRPr="007A5442">
              <w:rPr>
                <w:rFonts w:ascii="Cambria" w:hAnsi="Cambria" w:cstheme="minorHAnsi"/>
                <w:sz w:val="18"/>
                <w:szCs w:val="18"/>
                <w:lang w:val="es-ES"/>
              </w:rPr>
              <w:t xml:space="preserve"> No. 109/06, Héctor Núñez Julia et al. (</w:t>
            </w:r>
            <w:proofErr w:type="spellStart"/>
            <w:r w:rsidRPr="007A5442">
              <w:rPr>
                <w:rFonts w:ascii="Cambria" w:hAnsi="Cambria" w:cstheme="minorHAnsi"/>
                <w:sz w:val="18"/>
                <w:szCs w:val="18"/>
                <w:lang w:val="es-ES"/>
              </w:rPr>
              <w:t>Peru</w:t>
            </w:r>
            <w:proofErr w:type="spellEnd"/>
            <w:r w:rsidRPr="007A5442">
              <w:rPr>
                <w:rFonts w:ascii="Cambria" w:hAnsi="Cambria" w:cstheme="minorHAnsi"/>
                <w:sz w:val="18"/>
                <w:szCs w:val="18"/>
                <w:lang w:val="es-ES"/>
              </w:rPr>
              <w:t xml:space="preserve">); </w:t>
            </w:r>
            <w:proofErr w:type="spellStart"/>
            <w:r w:rsidRPr="007A5442">
              <w:rPr>
                <w:rFonts w:ascii="Cambria" w:hAnsi="Cambria" w:cstheme="minorHAnsi"/>
                <w:sz w:val="18"/>
                <w:szCs w:val="18"/>
                <w:lang w:val="es-ES"/>
              </w:rPr>
              <w:t>Petition</w:t>
            </w:r>
            <w:proofErr w:type="spellEnd"/>
            <w:r w:rsidRPr="007A5442">
              <w:rPr>
                <w:rFonts w:ascii="Cambria" w:hAnsi="Cambria" w:cstheme="minorHAnsi"/>
                <w:sz w:val="18"/>
                <w:szCs w:val="18"/>
                <w:lang w:val="es-ES"/>
              </w:rPr>
              <w:t xml:space="preserve"> 732-01 et al.; </w:t>
            </w:r>
            <w:proofErr w:type="spellStart"/>
            <w:r w:rsidRPr="007A5442">
              <w:rPr>
                <w:rFonts w:ascii="Cambria" w:hAnsi="Cambria" w:cstheme="minorHAnsi"/>
                <w:sz w:val="18"/>
                <w:szCs w:val="18"/>
                <w:lang w:val="es-ES"/>
              </w:rPr>
              <w:t>Petition</w:t>
            </w:r>
            <w:proofErr w:type="spellEnd"/>
            <w:r w:rsidRPr="007A5442">
              <w:rPr>
                <w:rFonts w:ascii="Cambria" w:hAnsi="Cambria" w:cstheme="minorHAnsi"/>
                <w:sz w:val="18"/>
                <w:szCs w:val="18"/>
                <w:lang w:val="es-ES"/>
              </w:rPr>
              <w:t xml:space="preserve"> 758-01 et al., </w:t>
            </w:r>
            <w:proofErr w:type="spellStart"/>
            <w:r w:rsidRPr="007A5442">
              <w:rPr>
                <w:rFonts w:ascii="Cambria" w:hAnsi="Cambria" w:cstheme="minorHAnsi"/>
                <w:sz w:val="18"/>
                <w:szCs w:val="18"/>
                <w:lang w:val="es-ES"/>
              </w:rPr>
              <w:t>Report</w:t>
            </w:r>
            <w:proofErr w:type="spellEnd"/>
            <w:r w:rsidRPr="007A5442">
              <w:rPr>
                <w:rFonts w:ascii="Cambria" w:hAnsi="Cambria" w:cstheme="minorHAnsi"/>
                <w:sz w:val="18"/>
                <w:szCs w:val="18"/>
                <w:lang w:val="es-ES"/>
              </w:rPr>
              <w:t xml:space="preserve"> 20/07 Eulogio Miguel Melgarejo et al. (</w:t>
            </w:r>
            <w:proofErr w:type="spellStart"/>
            <w:r w:rsidRPr="007A5442">
              <w:rPr>
                <w:rFonts w:ascii="Cambria" w:hAnsi="Cambria" w:cstheme="minorHAnsi"/>
                <w:sz w:val="18"/>
                <w:szCs w:val="18"/>
                <w:lang w:val="es-ES"/>
              </w:rPr>
              <w:t>Peru</w:t>
            </w:r>
            <w:proofErr w:type="spellEnd"/>
            <w:r w:rsidRPr="007A5442">
              <w:rPr>
                <w:rFonts w:ascii="Cambria" w:hAnsi="Cambria" w:cstheme="minorHAnsi"/>
                <w:sz w:val="18"/>
                <w:szCs w:val="18"/>
                <w:lang w:val="es-ES"/>
              </w:rPr>
              <w:t xml:space="preserve">); </w:t>
            </w:r>
            <w:proofErr w:type="spellStart"/>
            <w:r w:rsidRPr="007A5442">
              <w:rPr>
                <w:rFonts w:ascii="Cambria" w:hAnsi="Cambria" w:cstheme="minorHAnsi"/>
                <w:sz w:val="18"/>
                <w:szCs w:val="18"/>
                <w:lang w:val="es-ES"/>
              </w:rPr>
              <w:t>Petition</w:t>
            </w:r>
            <w:proofErr w:type="spellEnd"/>
            <w:r w:rsidRPr="007A5442">
              <w:rPr>
                <w:rFonts w:ascii="Cambria" w:hAnsi="Cambria" w:cstheme="minorHAnsi"/>
                <w:sz w:val="18"/>
                <w:szCs w:val="18"/>
                <w:lang w:val="es-ES"/>
              </w:rPr>
              <w:t xml:space="preserve"> 758-01, </w:t>
            </w:r>
            <w:proofErr w:type="spellStart"/>
            <w:r w:rsidRPr="007A5442">
              <w:rPr>
                <w:rFonts w:ascii="Cambria" w:hAnsi="Cambria" w:cstheme="minorHAnsi"/>
                <w:sz w:val="18"/>
                <w:szCs w:val="18"/>
                <w:lang w:val="es-ES"/>
              </w:rPr>
              <w:t>Report</w:t>
            </w:r>
            <w:proofErr w:type="spellEnd"/>
            <w:r w:rsidRPr="007A5442">
              <w:rPr>
                <w:rFonts w:ascii="Cambria" w:hAnsi="Cambria" w:cstheme="minorHAnsi"/>
                <w:sz w:val="18"/>
                <w:szCs w:val="18"/>
                <w:lang w:val="es-ES"/>
              </w:rPr>
              <w:t xml:space="preserve"> No. 71/07, Hernán Atilio Aguirre Moreno et al. </w:t>
            </w:r>
            <w:r w:rsidRPr="00524435">
              <w:rPr>
                <w:rFonts w:ascii="Cambria" w:hAnsi="Cambria" w:cstheme="minorHAnsi"/>
                <w:sz w:val="18"/>
                <w:szCs w:val="18"/>
              </w:rPr>
              <w:t>(Peru)</w:t>
            </w:r>
          </w:p>
        </w:tc>
        <w:tc>
          <w:tcPr>
            <w:tcW w:w="1170" w:type="dxa"/>
            <w:vMerge/>
          </w:tcPr>
          <w:p w14:paraId="3ACA4833" w14:textId="77777777" w:rsidR="007E31E3" w:rsidRPr="00524435" w:rsidRDefault="007E31E3" w:rsidP="00820229">
            <w:pPr>
              <w:jc w:val="center"/>
              <w:rPr>
                <w:rFonts w:ascii="Cambria" w:hAnsi="Cambria" w:cstheme="minorHAnsi"/>
                <w:sz w:val="18"/>
                <w:szCs w:val="18"/>
              </w:rPr>
            </w:pPr>
          </w:p>
        </w:tc>
        <w:tc>
          <w:tcPr>
            <w:tcW w:w="1316" w:type="dxa"/>
          </w:tcPr>
          <w:p w14:paraId="7D408D56" w14:textId="77777777" w:rsidR="007E31E3" w:rsidRPr="00524435" w:rsidRDefault="007E31E3" w:rsidP="00820229">
            <w:pPr>
              <w:jc w:val="center"/>
              <w:rPr>
                <w:rFonts w:ascii="Cambria" w:hAnsi="Cambria" w:cstheme="minorHAnsi"/>
                <w:sz w:val="18"/>
                <w:szCs w:val="18"/>
              </w:rPr>
            </w:pPr>
          </w:p>
        </w:tc>
        <w:tc>
          <w:tcPr>
            <w:tcW w:w="1170" w:type="dxa"/>
          </w:tcPr>
          <w:p w14:paraId="307B210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7EAE6B32"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045347B7"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75%</w:t>
            </w:r>
          </w:p>
        </w:tc>
        <w:tc>
          <w:tcPr>
            <w:tcW w:w="1260" w:type="dxa"/>
          </w:tcPr>
          <w:p w14:paraId="09F2F659"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6D04EE91" w14:textId="77777777" w:rsidTr="00820229">
        <w:trPr>
          <w:cnfStyle w:val="000000010000" w:firstRow="0" w:lastRow="0" w:firstColumn="0" w:lastColumn="0" w:oddVBand="0" w:evenVBand="0" w:oddHBand="0" w:evenHBand="1" w:firstRowFirstColumn="0" w:firstRowLastColumn="0" w:lastRowFirstColumn="0" w:lastRowLastColumn="0"/>
          <w:trHeight w:val="945"/>
          <w:jc w:val="center"/>
        </w:trPr>
        <w:tc>
          <w:tcPr>
            <w:tcW w:w="2250" w:type="dxa"/>
          </w:tcPr>
          <w:p w14:paraId="0C9FC79F"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t>Petition 494-04, Report No. 20/08, Romeo Edgardo Vargas Romero (Peru)</w:t>
            </w:r>
          </w:p>
        </w:tc>
        <w:tc>
          <w:tcPr>
            <w:tcW w:w="1170" w:type="dxa"/>
            <w:vMerge/>
          </w:tcPr>
          <w:p w14:paraId="68B9D934" w14:textId="77777777" w:rsidR="007E31E3" w:rsidRPr="00524435" w:rsidRDefault="007E31E3" w:rsidP="00820229">
            <w:pPr>
              <w:jc w:val="center"/>
              <w:rPr>
                <w:rFonts w:ascii="Cambria" w:hAnsi="Cambria" w:cstheme="minorHAnsi"/>
                <w:sz w:val="18"/>
                <w:szCs w:val="18"/>
              </w:rPr>
            </w:pPr>
          </w:p>
        </w:tc>
        <w:tc>
          <w:tcPr>
            <w:tcW w:w="1316" w:type="dxa"/>
          </w:tcPr>
          <w:p w14:paraId="3CCE93CE" w14:textId="77777777" w:rsidR="007E31E3" w:rsidRPr="00524435" w:rsidRDefault="007E31E3" w:rsidP="00820229">
            <w:pPr>
              <w:jc w:val="center"/>
              <w:rPr>
                <w:rFonts w:ascii="Cambria" w:hAnsi="Cambria" w:cstheme="minorHAnsi"/>
                <w:sz w:val="18"/>
                <w:szCs w:val="18"/>
              </w:rPr>
            </w:pPr>
          </w:p>
        </w:tc>
        <w:tc>
          <w:tcPr>
            <w:tcW w:w="1170" w:type="dxa"/>
          </w:tcPr>
          <w:p w14:paraId="5C091F99"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650E21A6"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6A2DBAD0"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75%</w:t>
            </w:r>
          </w:p>
        </w:tc>
        <w:tc>
          <w:tcPr>
            <w:tcW w:w="1260" w:type="dxa"/>
          </w:tcPr>
          <w:p w14:paraId="7764B1C6"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59A1EE38" w14:textId="77777777" w:rsidTr="00820229">
        <w:trPr>
          <w:cnfStyle w:val="000000100000" w:firstRow="0" w:lastRow="0" w:firstColumn="0" w:lastColumn="0" w:oddVBand="0" w:evenVBand="0" w:oddHBand="1" w:evenHBand="0" w:firstRowFirstColumn="0" w:firstRowLastColumn="0" w:lastRowFirstColumn="0" w:lastRowLastColumn="0"/>
          <w:trHeight w:val="909"/>
          <w:jc w:val="center"/>
        </w:trPr>
        <w:tc>
          <w:tcPr>
            <w:tcW w:w="2250" w:type="dxa"/>
          </w:tcPr>
          <w:p w14:paraId="71411168"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t xml:space="preserve">Petitions 71-06 et al., Report No. 22/11, Gloria José </w:t>
            </w:r>
            <w:proofErr w:type="spellStart"/>
            <w:r w:rsidRPr="00524435">
              <w:rPr>
                <w:rFonts w:ascii="Cambria" w:hAnsi="Cambria" w:cstheme="minorHAnsi"/>
                <w:sz w:val="18"/>
                <w:szCs w:val="18"/>
              </w:rPr>
              <w:t>Yaquetto</w:t>
            </w:r>
            <w:proofErr w:type="spellEnd"/>
            <w:r w:rsidRPr="00524435">
              <w:rPr>
                <w:rFonts w:ascii="Cambria" w:hAnsi="Cambria" w:cstheme="minorHAnsi"/>
                <w:sz w:val="18"/>
                <w:szCs w:val="18"/>
              </w:rPr>
              <w:t xml:space="preserve"> Paredes et al. (Peru)</w:t>
            </w:r>
          </w:p>
        </w:tc>
        <w:tc>
          <w:tcPr>
            <w:tcW w:w="1170" w:type="dxa"/>
            <w:vMerge/>
          </w:tcPr>
          <w:p w14:paraId="6845AFCD" w14:textId="77777777" w:rsidR="007E31E3" w:rsidRPr="00524435" w:rsidRDefault="007E31E3" w:rsidP="00820229">
            <w:pPr>
              <w:jc w:val="center"/>
              <w:rPr>
                <w:rFonts w:ascii="Cambria" w:hAnsi="Cambria" w:cstheme="minorHAnsi"/>
                <w:sz w:val="18"/>
                <w:szCs w:val="18"/>
              </w:rPr>
            </w:pPr>
          </w:p>
        </w:tc>
        <w:tc>
          <w:tcPr>
            <w:tcW w:w="1316" w:type="dxa"/>
          </w:tcPr>
          <w:p w14:paraId="54763066" w14:textId="77777777" w:rsidR="007E31E3" w:rsidRPr="00524435" w:rsidRDefault="007E31E3" w:rsidP="00820229">
            <w:pPr>
              <w:jc w:val="center"/>
              <w:rPr>
                <w:rFonts w:ascii="Cambria" w:hAnsi="Cambria" w:cstheme="minorHAnsi"/>
                <w:sz w:val="18"/>
                <w:szCs w:val="18"/>
              </w:rPr>
            </w:pPr>
          </w:p>
        </w:tc>
        <w:tc>
          <w:tcPr>
            <w:tcW w:w="1170" w:type="dxa"/>
          </w:tcPr>
          <w:p w14:paraId="552BAC98"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07892082"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32B0D42C"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80%</w:t>
            </w:r>
          </w:p>
        </w:tc>
        <w:tc>
          <w:tcPr>
            <w:tcW w:w="1260" w:type="dxa"/>
          </w:tcPr>
          <w:p w14:paraId="44C8779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1679F085" w14:textId="77777777" w:rsidTr="00820229">
        <w:trPr>
          <w:cnfStyle w:val="000000010000" w:firstRow="0" w:lastRow="0" w:firstColumn="0" w:lastColumn="0" w:oddVBand="0" w:evenVBand="0" w:oddHBand="0" w:evenHBand="1" w:firstRowFirstColumn="0" w:firstRowLastColumn="0" w:lastRowFirstColumn="0" w:lastRowLastColumn="0"/>
          <w:trHeight w:val="729"/>
          <w:jc w:val="center"/>
        </w:trPr>
        <w:tc>
          <w:tcPr>
            <w:tcW w:w="2250" w:type="dxa"/>
          </w:tcPr>
          <w:p w14:paraId="343CC3EB"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lastRenderedPageBreak/>
              <w:t>Case 12.041, Report No. 69/14, M.M. (Peru)</w:t>
            </w:r>
            <w:r w:rsidRPr="00524435">
              <w:rPr>
                <w:rFonts w:ascii="Cambria" w:hAnsi="Cambria" w:cstheme="minorHAnsi"/>
                <w:sz w:val="18"/>
                <w:szCs w:val="18"/>
                <w:vertAlign w:val="superscript"/>
              </w:rPr>
              <w:footnoteReference w:id="116"/>
            </w:r>
          </w:p>
        </w:tc>
        <w:tc>
          <w:tcPr>
            <w:tcW w:w="1170" w:type="dxa"/>
            <w:vMerge/>
          </w:tcPr>
          <w:p w14:paraId="1A34E597" w14:textId="77777777" w:rsidR="007E31E3" w:rsidRPr="00524435" w:rsidRDefault="007E31E3" w:rsidP="00820229">
            <w:pPr>
              <w:jc w:val="center"/>
              <w:rPr>
                <w:rFonts w:ascii="Cambria" w:hAnsi="Cambria" w:cstheme="minorHAnsi"/>
                <w:sz w:val="18"/>
                <w:szCs w:val="18"/>
              </w:rPr>
            </w:pPr>
          </w:p>
        </w:tc>
        <w:tc>
          <w:tcPr>
            <w:tcW w:w="1316" w:type="dxa"/>
          </w:tcPr>
          <w:p w14:paraId="7A5895D0"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3378431A" w14:textId="77777777" w:rsidR="007E31E3" w:rsidRPr="00524435" w:rsidRDefault="007E31E3" w:rsidP="00820229">
            <w:pPr>
              <w:jc w:val="center"/>
              <w:rPr>
                <w:rFonts w:ascii="Cambria" w:hAnsi="Cambria" w:cstheme="minorHAnsi"/>
                <w:sz w:val="18"/>
                <w:szCs w:val="18"/>
              </w:rPr>
            </w:pPr>
          </w:p>
        </w:tc>
        <w:tc>
          <w:tcPr>
            <w:tcW w:w="1170" w:type="dxa"/>
          </w:tcPr>
          <w:p w14:paraId="27B2FDB6"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18BBEA9D"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7C24450D"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Closed</w:t>
            </w:r>
          </w:p>
        </w:tc>
      </w:tr>
      <w:tr w:rsidR="007E31E3" w:rsidRPr="00524435" w14:paraId="6E7FB6D6" w14:textId="77777777" w:rsidTr="00820229">
        <w:trPr>
          <w:cnfStyle w:val="000000100000" w:firstRow="0" w:lastRow="0" w:firstColumn="0" w:lastColumn="0" w:oddVBand="0" w:evenVBand="0" w:oddHBand="1" w:evenHBand="0" w:firstRowFirstColumn="0" w:firstRowLastColumn="0" w:lastRowFirstColumn="0" w:lastRowLastColumn="0"/>
          <w:trHeight w:val="1017"/>
          <w:jc w:val="center"/>
        </w:trPr>
        <w:tc>
          <w:tcPr>
            <w:tcW w:w="2250" w:type="dxa"/>
          </w:tcPr>
          <w:p w14:paraId="5F0CEE43" w14:textId="77777777" w:rsidR="007E31E3" w:rsidRPr="007A5442" w:rsidRDefault="007E31E3" w:rsidP="0009324C">
            <w:pPr>
              <w:numPr>
                <w:ilvl w:val="0"/>
                <w:numId w:val="18"/>
              </w:numPr>
              <w:tabs>
                <w:tab w:val="num" w:pos="522"/>
              </w:tabs>
              <w:ind w:firstLine="0"/>
              <w:jc w:val="both"/>
              <w:rPr>
                <w:rFonts w:ascii="Cambria" w:hAnsi="Cambria" w:cstheme="minorHAnsi"/>
                <w:sz w:val="18"/>
                <w:szCs w:val="18"/>
                <w:lang w:val="es-ES"/>
              </w:rPr>
            </w:pPr>
            <w:proofErr w:type="spellStart"/>
            <w:r w:rsidRPr="007A5442">
              <w:rPr>
                <w:rFonts w:ascii="Cambria" w:hAnsi="Cambria" w:cstheme="minorHAnsi"/>
                <w:sz w:val="18"/>
                <w:szCs w:val="18"/>
                <w:lang w:val="es-ES"/>
              </w:rPr>
              <w:t>Petition</w:t>
            </w:r>
            <w:proofErr w:type="spellEnd"/>
            <w:r w:rsidRPr="007A5442">
              <w:rPr>
                <w:rFonts w:ascii="Cambria" w:hAnsi="Cambria" w:cstheme="minorHAnsi"/>
                <w:sz w:val="18"/>
                <w:szCs w:val="18"/>
                <w:lang w:val="es-ES"/>
              </w:rPr>
              <w:t xml:space="preserve"> 288-08, </w:t>
            </w:r>
            <w:proofErr w:type="spellStart"/>
            <w:r w:rsidRPr="007A5442">
              <w:rPr>
                <w:rFonts w:ascii="Cambria" w:hAnsi="Cambria" w:cstheme="minorHAnsi"/>
                <w:sz w:val="18"/>
                <w:szCs w:val="18"/>
                <w:lang w:val="es-ES"/>
              </w:rPr>
              <w:t>Report</w:t>
            </w:r>
            <w:proofErr w:type="spellEnd"/>
            <w:r w:rsidRPr="007A5442">
              <w:rPr>
                <w:rFonts w:ascii="Cambria" w:hAnsi="Cambria" w:cstheme="minorHAnsi"/>
                <w:sz w:val="18"/>
                <w:szCs w:val="18"/>
                <w:lang w:val="es-ES"/>
              </w:rPr>
              <w:t xml:space="preserve"> No. 6916, Jesús Salvador Ferreyra González (</w:t>
            </w:r>
            <w:proofErr w:type="spellStart"/>
            <w:r w:rsidRPr="007A5442">
              <w:rPr>
                <w:rFonts w:ascii="Cambria" w:hAnsi="Cambria" w:cstheme="minorHAnsi"/>
                <w:sz w:val="18"/>
                <w:szCs w:val="18"/>
                <w:lang w:val="es-ES"/>
              </w:rPr>
              <w:t>Peru</w:t>
            </w:r>
            <w:proofErr w:type="spellEnd"/>
            <w:r w:rsidRPr="007A5442">
              <w:rPr>
                <w:rFonts w:ascii="Cambria" w:hAnsi="Cambria" w:cstheme="minorHAnsi"/>
                <w:sz w:val="18"/>
                <w:szCs w:val="18"/>
                <w:lang w:val="es-ES"/>
              </w:rPr>
              <w:t>)</w:t>
            </w:r>
            <w:r w:rsidRPr="007A5442">
              <w:rPr>
                <w:rFonts w:ascii="Cambria" w:hAnsi="Cambria" w:cstheme="minorHAnsi"/>
                <w:sz w:val="18"/>
                <w:szCs w:val="18"/>
                <w:vertAlign w:val="superscript"/>
                <w:lang w:val="es-ES"/>
              </w:rPr>
              <w:t xml:space="preserve"> </w:t>
            </w:r>
            <w:r w:rsidRPr="00524435">
              <w:rPr>
                <w:rFonts w:ascii="Cambria" w:hAnsi="Cambria" w:cstheme="minorHAnsi"/>
                <w:sz w:val="18"/>
                <w:szCs w:val="18"/>
                <w:vertAlign w:val="superscript"/>
              </w:rPr>
              <w:footnoteReference w:id="117"/>
            </w:r>
          </w:p>
        </w:tc>
        <w:tc>
          <w:tcPr>
            <w:tcW w:w="1170" w:type="dxa"/>
            <w:vMerge/>
          </w:tcPr>
          <w:p w14:paraId="0E1D7947" w14:textId="77777777" w:rsidR="007E31E3" w:rsidRPr="007A5442" w:rsidRDefault="007E31E3" w:rsidP="00820229">
            <w:pPr>
              <w:jc w:val="center"/>
              <w:rPr>
                <w:rFonts w:ascii="Cambria" w:hAnsi="Cambria" w:cstheme="minorHAnsi"/>
                <w:sz w:val="18"/>
                <w:szCs w:val="18"/>
                <w:lang w:val="es-ES"/>
              </w:rPr>
            </w:pPr>
          </w:p>
        </w:tc>
        <w:tc>
          <w:tcPr>
            <w:tcW w:w="1316" w:type="dxa"/>
          </w:tcPr>
          <w:p w14:paraId="1BC252B7"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08EBF99F" w14:textId="77777777" w:rsidR="007E31E3" w:rsidRPr="00524435" w:rsidRDefault="007E31E3" w:rsidP="00820229">
            <w:pPr>
              <w:jc w:val="center"/>
              <w:rPr>
                <w:rFonts w:ascii="Cambria" w:hAnsi="Cambria" w:cstheme="minorHAnsi"/>
                <w:sz w:val="18"/>
                <w:szCs w:val="18"/>
              </w:rPr>
            </w:pPr>
          </w:p>
        </w:tc>
        <w:tc>
          <w:tcPr>
            <w:tcW w:w="1170" w:type="dxa"/>
          </w:tcPr>
          <w:p w14:paraId="5FD3F2A5"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61109262"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53CCAFC3"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7B9A7919" w14:textId="77777777" w:rsidTr="00820229">
        <w:trPr>
          <w:cnfStyle w:val="000000010000" w:firstRow="0" w:lastRow="0" w:firstColumn="0" w:lastColumn="0" w:oddVBand="0" w:evenVBand="0" w:oddHBand="0" w:evenHBand="1" w:firstRowFirstColumn="0" w:firstRowLastColumn="0" w:lastRowFirstColumn="0" w:lastRowLastColumn="0"/>
          <w:trHeight w:val="954"/>
          <w:jc w:val="center"/>
        </w:trPr>
        <w:tc>
          <w:tcPr>
            <w:tcW w:w="2250" w:type="dxa"/>
          </w:tcPr>
          <w:p w14:paraId="34961845" w14:textId="77777777" w:rsidR="007E31E3" w:rsidRPr="007A5442" w:rsidRDefault="007E31E3" w:rsidP="0009324C">
            <w:pPr>
              <w:numPr>
                <w:ilvl w:val="0"/>
                <w:numId w:val="18"/>
              </w:numPr>
              <w:tabs>
                <w:tab w:val="num" w:pos="522"/>
              </w:tabs>
              <w:ind w:firstLine="0"/>
              <w:jc w:val="both"/>
              <w:rPr>
                <w:rFonts w:ascii="Cambria" w:hAnsi="Cambria" w:cstheme="minorHAnsi"/>
                <w:sz w:val="18"/>
                <w:szCs w:val="18"/>
                <w:lang w:val="es-ES"/>
              </w:rPr>
            </w:pPr>
            <w:proofErr w:type="spellStart"/>
            <w:r w:rsidRPr="007A5442">
              <w:rPr>
                <w:rFonts w:ascii="Cambria" w:hAnsi="Cambria" w:cstheme="minorHAnsi"/>
                <w:sz w:val="18"/>
                <w:szCs w:val="18"/>
                <w:lang w:val="es-ES"/>
              </w:rPr>
              <w:t>Petition</w:t>
            </w:r>
            <w:proofErr w:type="spellEnd"/>
            <w:r w:rsidRPr="007A5442">
              <w:rPr>
                <w:rFonts w:ascii="Cambria" w:hAnsi="Cambria" w:cstheme="minorHAnsi"/>
                <w:sz w:val="18"/>
                <w:szCs w:val="18"/>
                <w:lang w:val="es-ES"/>
              </w:rPr>
              <w:t xml:space="preserve"> 1339-07, </w:t>
            </w:r>
            <w:proofErr w:type="spellStart"/>
            <w:r w:rsidRPr="007A5442">
              <w:rPr>
                <w:rFonts w:ascii="Cambria" w:hAnsi="Cambria" w:cstheme="minorHAnsi"/>
                <w:sz w:val="18"/>
                <w:szCs w:val="18"/>
                <w:lang w:val="es-ES"/>
              </w:rPr>
              <w:t>Report</w:t>
            </w:r>
            <w:proofErr w:type="spellEnd"/>
            <w:r w:rsidRPr="007A5442">
              <w:rPr>
                <w:rFonts w:ascii="Cambria" w:hAnsi="Cambria" w:cstheme="minorHAnsi"/>
                <w:sz w:val="18"/>
                <w:szCs w:val="18"/>
                <w:lang w:val="es-ES"/>
              </w:rPr>
              <w:t xml:space="preserve"> No. 70/16, Tito Guido Gallegos </w:t>
            </w:r>
            <w:proofErr w:type="spellStart"/>
            <w:r w:rsidRPr="007A5442">
              <w:rPr>
                <w:rFonts w:ascii="Cambria" w:hAnsi="Cambria" w:cstheme="minorHAnsi"/>
                <w:sz w:val="18"/>
                <w:szCs w:val="18"/>
                <w:lang w:val="es-ES"/>
              </w:rPr>
              <w:t>Gallegos</w:t>
            </w:r>
            <w:proofErr w:type="spellEnd"/>
            <w:r w:rsidRPr="007A5442">
              <w:rPr>
                <w:rFonts w:ascii="Cambria" w:hAnsi="Cambria" w:cstheme="minorHAnsi"/>
                <w:sz w:val="18"/>
                <w:szCs w:val="18"/>
                <w:lang w:val="es-ES"/>
              </w:rPr>
              <w:t>, (</w:t>
            </w:r>
            <w:proofErr w:type="spellStart"/>
            <w:r w:rsidRPr="007A5442">
              <w:rPr>
                <w:rFonts w:ascii="Cambria" w:hAnsi="Cambria" w:cstheme="minorHAnsi"/>
                <w:sz w:val="18"/>
                <w:szCs w:val="18"/>
                <w:lang w:val="es-ES"/>
              </w:rPr>
              <w:t>Peru</w:t>
            </w:r>
            <w:proofErr w:type="spellEnd"/>
            <w:r w:rsidRPr="007A5442">
              <w:rPr>
                <w:rFonts w:ascii="Cambria" w:hAnsi="Cambria" w:cstheme="minorHAnsi"/>
                <w:sz w:val="18"/>
                <w:szCs w:val="18"/>
                <w:lang w:val="es-ES"/>
              </w:rPr>
              <w:t>)</w:t>
            </w:r>
            <w:r w:rsidRPr="007A5442">
              <w:rPr>
                <w:rFonts w:ascii="Cambria" w:hAnsi="Cambria" w:cstheme="minorHAnsi"/>
                <w:sz w:val="18"/>
                <w:szCs w:val="18"/>
                <w:vertAlign w:val="superscript"/>
                <w:lang w:val="es-ES"/>
              </w:rPr>
              <w:t xml:space="preserve"> </w:t>
            </w:r>
            <w:r w:rsidRPr="00524435">
              <w:rPr>
                <w:rFonts w:ascii="Cambria" w:hAnsi="Cambria" w:cstheme="minorHAnsi"/>
                <w:sz w:val="18"/>
                <w:szCs w:val="18"/>
                <w:vertAlign w:val="superscript"/>
              </w:rPr>
              <w:footnoteReference w:id="118"/>
            </w:r>
          </w:p>
        </w:tc>
        <w:tc>
          <w:tcPr>
            <w:tcW w:w="1170" w:type="dxa"/>
            <w:vMerge/>
          </w:tcPr>
          <w:p w14:paraId="7D2DD186" w14:textId="77777777" w:rsidR="007E31E3" w:rsidRPr="007A5442" w:rsidRDefault="007E31E3" w:rsidP="00820229">
            <w:pPr>
              <w:jc w:val="center"/>
              <w:rPr>
                <w:rFonts w:ascii="Cambria" w:hAnsi="Cambria" w:cstheme="minorHAnsi"/>
                <w:sz w:val="18"/>
                <w:szCs w:val="18"/>
                <w:lang w:val="es-ES"/>
              </w:rPr>
            </w:pPr>
          </w:p>
        </w:tc>
        <w:tc>
          <w:tcPr>
            <w:tcW w:w="1316" w:type="dxa"/>
          </w:tcPr>
          <w:p w14:paraId="61CC064D"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6B1AA54A" w14:textId="77777777" w:rsidR="007E31E3" w:rsidRPr="00524435" w:rsidRDefault="007E31E3" w:rsidP="00820229">
            <w:pPr>
              <w:jc w:val="center"/>
              <w:rPr>
                <w:rFonts w:ascii="Cambria" w:hAnsi="Cambria" w:cstheme="minorHAnsi"/>
                <w:sz w:val="18"/>
                <w:szCs w:val="18"/>
              </w:rPr>
            </w:pPr>
          </w:p>
        </w:tc>
        <w:tc>
          <w:tcPr>
            <w:tcW w:w="1170" w:type="dxa"/>
          </w:tcPr>
          <w:p w14:paraId="7844089B"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650B24E8"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100%</w:t>
            </w:r>
          </w:p>
        </w:tc>
        <w:tc>
          <w:tcPr>
            <w:tcW w:w="1260" w:type="dxa"/>
          </w:tcPr>
          <w:p w14:paraId="7793C932"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66A01525" w14:textId="77777777" w:rsidTr="00820229">
        <w:trPr>
          <w:cnfStyle w:val="000000100000" w:firstRow="0" w:lastRow="0" w:firstColumn="0" w:lastColumn="0" w:oddVBand="0" w:evenVBand="0" w:oddHBand="1" w:evenHBand="0" w:firstRowFirstColumn="0" w:firstRowLastColumn="0" w:lastRowFirstColumn="0" w:lastRowLastColumn="0"/>
          <w:trHeight w:val="1044"/>
          <w:jc w:val="center"/>
        </w:trPr>
        <w:tc>
          <w:tcPr>
            <w:tcW w:w="2250" w:type="dxa"/>
          </w:tcPr>
          <w:p w14:paraId="7024B0AF"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t xml:space="preserve">Case 12.383, Report No. 137/17, </w:t>
            </w:r>
            <w:proofErr w:type="spellStart"/>
            <w:r w:rsidRPr="00524435">
              <w:rPr>
                <w:rFonts w:ascii="Cambria" w:hAnsi="Cambria" w:cstheme="minorHAnsi"/>
                <w:sz w:val="18"/>
                <w:szCs w:val="18"/>
              </w:rPr>
              <w:t>Néstor</w:t>
            </w:r>
            <w:proofErr w:type="spellEnd"/>
            <w:r w:rsidRPr="00524435">
              <w:rPr>
                <w:rFonts w:ascii="Cambria" w:hAnsi="Cambria" w:cstheme="minorHAnsi"/>
                <w:sz w:val="18"/>
                <w:szCs w:val="18"/>
              </w:rPr>
              <w:t xml:space="preserve"> Alejandro </w:t>
            </w:r>
            <w:proofErr w:type="spellStart"/>
            <w:r w:rsidRPr="00524435">
              <w:rPr>
                <w:rFonts w:ascii="Cambria" w:hAnsi="Cambria" w:cstheme="minorHAnsi"/>
                <w:sz w:val="18"/>
                <w:szCs w:val="18"/>
              </w:rPr>
              <w:t>Albornoz</w:t>
            </w:r>
            <w:proofErr w:type="spellEnd"/>
            <w:r w:rsidRPr="00524435">
              <w:rPr>
                <w:rFonts w:ascii="Cambria" w:hAnsi="Cambria" w:cstheme="minorHAnsi"/>
                <w:sz w:val="18"/>
                <w:szCs w:val="18"/>
              </w:rPr>
              <w:t xml:space="preserve"> Eyzaguirre (Peru)</w:t>
            </w:r>
            <w:r w:rsidRPr="00524435">
              <w:rPr>
                <w:rFonts w:ascii="Cambria" w:hAnsi="Cambria" w:cstheme="minorHAnsi"/>
                <w:sz w:val="18"/>
                <w:szCs w:val="18"/>
                <w:vertAlign w:val="superscript"/>
              </w:rPr>
              <w:t xml:space="preserve"> </w:t>
            </w:r>
            <w:r w:rsidRPr="00524435">
              <w:rPr>
                <w:rFonts w:ascii="Cambria" w:hAnsi="Cambria" w:cstheme="minorHAnsi"/>
                <w:sz w:val="18"/>
                <w:szCs w:val="18"/>
                <w:vertAlign w:val="superscript"/>
              </w:rPr>
              <w:footnoteReference w:id="119"/>
            </w:r>
          </w:p>
        </w:tc>
        <w:tc>
          <w:tcPr>
            <w:tcW w:w="1170" w:type="dxa"/>
            <w:vMerge/>
          </w:tcPr>
          <w:p w14:paraId="4A9B2C79" w14:textId="77777777" w:rsidR="007E31E3" w:rsidRPr="00524435" w:rsidRDefault="007E31E3" w:rsidP="00820229">
            <w:pPr>
              <w:jc w:val="center"/>
              <w:rPr>
                <w:rFonts w:ascii="Cambria" w:hAnsi="Cambria" w:cstheme="minorHAnsi"/>
                <w:sz w:val="18"/>
                <w:szCs w:val="18"/>
              </w:rPr>
            </w:pPr>
          </w:p>
        </w:tc>
        <w:tc>
          <w:tcPr>
            <w:tcW w:w="1316" w:type="dxa"/>
          </w:tcPr>
          <w:p w14:paraId="3E060462"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07E3090F" w14:textId="77777777" w:rsidR="007E31E3" w:rsidRPr="00524435" w:rsidRDefault="007E31E3" w:rsidP="00820229">
            <w:pPr>
              <w:jc w:val="center"/>
              <w:rPr>
                <w:rFonts w:ascii="Cambria" w:hAnsi="Cambria" w:cstheme="minorHAnsi"/>
                <w:sz w:val="18"/>
                <w:szCs w:val="18"/>
              </w:rPr>
            </w:pPr>
          </w:p>
        </w:tc>
        <w:tc>
          <w:tcPr>
            <w:tcW w:w="1170" w:type="dxa"/>
          </w:tcPr>
          <w:p w14:paraId="2BDF35AE"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2D1B14A7"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02F4063D"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Closed</w:t>
            </w:r>
          </w:p>
        </w:tc>
      </w:tr>
      <w:tr w:rsidR="007E31E3" w:rsidRPr="00524435" w14:paraId="7D1B1781" w14:textId="77777777" w:rsidTr="00820229">
        <w:trPr>
          <w:cnfStyle w:val="000000010000" w:firstRow="0" w:lastRow="0" w:firstColumn="0" w:lastColumn="0" w:oddVBand="0" w:evenVBand="0" w:oddHBand="0" w:evenHBand="1" w:firstRowFirstColumn="0" w:firstRowLastColumn="0" w:lastRowFirstColumn="0" w:lastRowLastColumn="0"/>
          <w:trHeight w:val="1017"/>
          <w:jc w:val="center"/>
        </w:trPr>
        <w:tc>
          <w:tcPr>
            <w:tcW w:w="2250" w:type="dxa"/>
          </w:tcPr>
          <w:p w14:paraId="2658151F"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t>Petition 1516-08, Report No. 130/18, Juan Figueroa Acosta (Peru)</w:t>
            </w:r>
            <w:r w:rsidRPr="00524435">
              <w:rPr>
                <w:rStyle w:val="FootnoteReference"/>
                <w:rFonts w:ascii="Cambria" w:hAnsi="Cambria" w:cstheme="minorHAnsi"/>
                <w:sz w:val="18"/>
                <w:szCs w:val="18"/>
              </w:rPr>
              <w:footnoteReference w:id="120"/>
            </w:r>
          </w:p>
        </w:tc>
        <w:tc>
          <w:tcPr>
            <w:tcW w:w="1170" w:type="dxa"/>
            <w:vMerge/>
          </w:tcPr>
          <w:p w14:paraId="1C2F073A" w14:textId="77777777" w:rsidR="007E31E3" w:rsidRPr="00524435" w:rsidRDefault="007E31E3" w:rsidP="00820229">
            <w:pPr>
              <w:jc w:val="center"/>
              <w:rPr>
                <w:rFonts w:ascii="Cambria" w:hAnsi="Cambria" w:cstheme="minorHAnsi"/>
                <w:sz w:val="18"/>
                <w:szCs w:val="18"/>
              </w:rPr>
            </w:pPr>
          </w:p>
        </w:tc>
        <w:tc>
          <w:tcPr>
            <w:tcW w:w="1316" w:type="dxa"/>
          </w:tcPr>
          <w:p w14:paraId="5335020D"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339C9F97" w14:textId="77777777" w:rsidR="007E31E3" w:rsidRPr="00524435" w:rsidRDefault="007E31E3" w:rsidP="00820229">
            <w:pPr>
              <w:jc w:val="center"/>
              <w:rPr>
                <w:rFonts w:ascii="Cambria" w:hAnsi="Cambria" w:cstheme="minorHAnsi"/>
                <w:sz w:val="18"/>
                <w:szCs w:val="18"/>
              </w:rPr>
            </w:pPr>
          </w:p>
        </w:tc>
        <w:tc>
          <w:tcPr>
            <w:tcW w:w="1170" w:type="dxa"/>
          </w:tcPr>
          <w:p w14:paraId="1AA328CB"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0060AB6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179D002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51EE2AC2" w14:textId="77777777" w:rsidTr="00820229">
        <w:trPr>
          <w:cnfStyle w:val="000000100000" w:firstRow="0" w:lastRow="0" w:firstColumn="0" w:lastColumn="0" w:oddVBand="0" w:evenVBand="0" w:oddHBand="1" w:evenHBand="0" w:firstRowFirstColumn="0" w:firstRowLastColumn="0" w:lastRowFirstColumn="0" w:lastRowLastColumn="0"/>
          <w:trHeight w:val="675"/>
          <w:jc w:val="center"/>
        </w:trPr>
        <w:tc>
          <w:tcPr>
            <w:tcW w:w="2250" w:type="dxa"/>
          </w:tcPr>
          <w:p w14:paraId="1361A170"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t>Case 12.095, Report No. 3/20, Mariela Barreto (Peru)</w:t>
            </w:r>
          </w:p>
        </w:tc>
        <w:tc>
          <w:tcPr>
            <w:tcW w:w="1170" w:type="dxa"/>
            <w:vMerge/>
          </w:tcPr>
          <w:p w14:paraId="237B0F32" w14:textId="77777777" w:rsidR="007E31E3" w:rsidRPr="00524435" w:rsidRDefault="007E31E3" w:rsidP="00820229">
            <w:pPr>
              <w:jc w:val="center"/>
              <w:rPr>
                <w:rFonts w:ascii="Cambria" w:hAnsi="Cambria" w:cstheme="minorHAnsi"/>
                <w:sz w:val="18"/>
                <w:szCs w:val="18"/>
              </w:rPr>
            </w:pPr>
          </w:p>
        </w:tc>
        <w:tc>
          <w:tcPr>
            <w:tcW w:w="1316" w:type="dxa"/>
          </w:tcPr>
          <w:p w14:paraId="4302ABE8" w14:textId="77777777" w:rsidR="007E31E3" w:rsidRPr="00524435" w:rsidRDefault="007E31E3" w:rsidP="00820229">
            <w:pPr>
              <w:jc w:val="center"/>
              <w:rPr>
                <w:rFonts w:ascii="Cambria" w:hAnsi="Cambria" w:cstheme="minorHAnsi"/>
                <w:sz w:val="18"/>
                <w:szCs w:val="18"/>
              </w:rPr>
            </w:pPr>
          </w:p>
        </w:tc>
        <w:tc>
          <w:tcPr>
            <w:tcW w:w="1170" w:type="dxa"/>
          </w:tcPr>
          <w:p w14:paraId="5889CCB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397F0509"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58F0F678"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75%</w:t>
            </w:r>
          </w:p>
        </w:tc>
        <w:tc>
          <w:tcPr>
            <w:tcW w:w="1260" w:type="dxa"/>
          </w:tcPr>
          <w:p w14:paraId="2F2C4F62"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34834734" w14:textId="77777777" w:rsidTr="00820229">
        <w:trPr>
          <w:cnfStyle w:val="000000010000" w:firstRow="0" w:lastRow="0" w:firstColumn="0" w:lastColumn="0" w:oddVBand="0" w:evenVBand="0" w:oddHBand="0" w:evenHBand="1" w:firstRowFirstColumn="0" w:firstRowLastColumn="0" w:lastRowFirstColumn="0" w:lastRowLastColumn="0"/>
          <w:trHeight w:val="1116"/>
          <w:jc w:val="center"/>
        </w:trPr>
        <w:tc>
          <w:tcPr>
            <w:tcW w:w="2250" w:type="dxa"/>
          </w:tcPr>
          <w:p w14:paraId="38EB2B3F"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t>Case 12.174, Report No. 12/31, Israel Geraldo Paredes Acosta (Dominican Republic)</w:t>
            </w:r>
            <w:r w:rsidRPr="00524435">
              <w:rPr>
                <w:rFonts w:ascii="Cambria" w:hAnsi="Cambria" w:cstheme="minorHAnsi"/>
                <w:sz w:val="18"/>
                <w:szCs w:val="18"/>
                <w:vertAlign w:val="superscript"/>
              </w:rPr>
              <w:footnoteReference w:id="121"/>
            </w:r>
          </w:p>
        </w:tc>
        <w:tc>
          <w:tcPr>
            <w:tcW w:w="1170" w:type="dxa"/>
          </w:tcPr>
          <w:p w14:paraId="30E6D067"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N/A</w:t>
            </w:r>
          </w:p>
        </w:tc>
        <w:tc>
          <w:tcPr>
            <w:tcW w:w="1316" w:type="dxa"/>
          </w:tcPr>
          <w:p w14:paraId="21D5C1F5"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207E92DF" w14:textId="77777777" w:rsidR="007E31E3" w:rsidRPr="00524435" w:rsidRDefault="007E31E3" w:rsidP="00820229">
            <w:pPr>
              <w:jc w:val="center"/>
              <w:rPr>
                <w:rFonts w:ascii="Cambria" w:hAnsi="Cambria" w:cstheme="minorHAnsi"/>
                <w:sz w:val="18"/>
                <w:szCs w:val="18"/>
              </w:rPr>
            </w:pPr>
          </w:p>
        </w:tc>
        <w:tc>
          <w:tcPr>
            <w:tcW w:w="1170" w:type="dxa"/>
          </w:tcPr>
          <w:p w14:paraId="32D537B3"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38C69AD4"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362E97D3"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705F5FD2" w14:textId="77777777" w:rsidTr="00820229">
        <w:trPr>
          <w:cnfStyle w:val="000000100000" w:firstRow="0" w:lastRow="0" w:firstColumn="0" w:lastColumn="0" w:oddVBand="0" w:evenVBand="0" w:oddHBand="1" w:evenHBand="0" w:firstRowFirstColumn="0" w:firstRowLastColumn="0" w:lastRowFirstColumn="0" w:lastRowLastColumn="0"/>
          <w:trHeight w:val="792"/>
          <w:jc w:val="center"/>
        </w:trPr>
        <w:tc>
          <w:tcPr>
            <w:tcW w:w="2250" w:type="dxa"/>
          </w:tcPr>
          <w:p w14:paraId="2B4F6FA8"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t xml:space="preserve">Petition 228-07, Report No. 18/10, Carlos </w:t>
            </w:r>
            <w:proofErr w:type="spellStart"/>
            <w:r w:rsidRPr="00524435">
              <w:rPr>
                <w:rFonts w:ascii="Cambria" w:hAnsi="Cambria" w:cstheme="minorHAnsi"/>
                <w:sz w:val="18"/>
                <w:szCs w:val="18"/>
              </w:rPr>
              <w:t>Dogliani</w:t>
            </w:r>
            <w:proofErr w:type="spellEnd"/>
            <w:r w:rsidRPr="00524435">
              <w:rPr>
                <w:rFonts w:ascii="Cambria" w:hAnsi="Cambria" w:cstheme="minorHAnsi"/>
                <w:sz w:val="18"/>
                <w:szCs w:val="18"/>
              </w:rPr>
              <w:t xml:space="preserve"> (Uruguay)</w:t>
            </w:r>
            <w:r w:rsidRPr="00524435">
              <w:rPr>
                <w:rFonts w:ascii="Cambria" w:hAnsi="Cambria" w:cstheme="minorHAnsi"/>
                <w:sz w:val="18"/>
                <w:szCs w:val="18"/>
                <w:vertAlign w:val="superscript"/>
              </w:rPr>
              <w:footnoteReference w:id="122"/>
            </w:r>
          </w:p>
        </w:tc>
        <w:tc>
          <w:tcPr>
            <w:tcW w:w="1170" w:type="dxa"/>
            <w:vMerge w:val="restart"/>
          </w:tcPr>
          <w:p w14:paraId="217B4ABD" w14:textId="1556A134" w:rsidR="007E31E3" w:rsidRPr="00524435" w:rsidRDefault="007E31E3" w:rsidP="00820229">
            <w:pPr>
              <w:jc w:val="center"/>
              <w:rPr>
                <w:rFonts w:ascii="Cambria" w:hAnsi="Cambria" w:cstheme="minorHAnsi"/>
                <w:sz w:val="18"/>
                <w:szCs w:val="18"/>
              </w:rPr>
            </w:pPr>
          </w:p>
        </w:tc>
        <w:tc>
          <w:tcPr>
            <w:tcW w:w="1316" w:type="dxa"/>
          </w:tcPr>
          <w:p w14:paraId="11EEEBCF"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15D9320D" w14:textId="77777777" w:rsidR="007E31E3" w:rsidRPr="00524435" w:rsidRDefault="007E31E3" w:rsidP="00820229">
            <w:pPr>
              <w:jc w:val="center"/>
              <w:rPr>
                <w:rFonts w:ascii="Cambria" w:hAnsi="Cambria" w:cstheme="minorHAnsi"/>
                <w:sz w:val="18"/>
                <w:szCs w:val="18"/>
              </w:rPr>
            </w:pPr>
          </w:p>
        </w:tc>
        <w:tc>
          <w:tcPr>
            <w:tcW w:w="1170" w:type="dxa"/>
          </w:tcPr>
          <w:p w14:paraId="4861EBFF"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6FA77637"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066F215B"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Closed</w:t>
            </w:r>
          </w:p>
        </w:tc>
      </w:tr>
      <w:tr w:rsidR="007E31E3" w:rsidRPr="00524435" w14:paraId="73D4CE62" w14:textId="77777777" w:rsidTr="00820229">
        <w:trPr>
          <w:cnfStyle w:val="000000010000" w:firstRow="0" w:lastRow="0" w:firstColumn="0" w:lastColumn="0" w:oddVBand="0" w:evenVBand="0" w:oddHBand="0" w:evenHBand="1" w:firstRowFirstColumn="0" w:firstRowLastColumn="0" w:lastRowFirstColumn="0" w:lastRowLastColumn="0"/>
          <w:jc w:val="center"/>
        </w:trPr>
        <w:tc>
          <w:tcPr>
            <w:tcW w:w="2250" w:type="dxa"/>
          </w:tcPr>
          <w:p w14:paraId="15EBEB3C"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t xml:space="preserve">Petition 1224-07, Report No. 103/19, David </w:t>
            </w:r>
            <w:proofErr w:type="spellStart"/>
            <w:r w:rsidRPr="00524435">
              <w:rPr>
                <w:rFonts w:ascii="Cambria" w:hAnsi="Cambria" w:cstheme="minorHAnsi"/>
                <w:sz w:val="18"/>
                <w:szCs w:val="18"/>
              </w:rPr>
              <w:t>Rabinovich</w:t>
            </w:r>
            <w:proofErr w:type="spellEnd"/>
            <w:r w:rsidRPr="00524435">
              <w:rPr>
                <w:rFonts w:ascii="Cambria" w:hAnsi="Cambria" w:cstheme="minorHAnsi"/>
                <w:sz w:val="18"/>
                <w:szCs w:val="18"/>
              </w:rPr>
              <w:t xml:space="preserve"> (Uruguay)</w:t>
            </w:r>
            <w:r w:rsidRPr="00524435">
              <w:rPr>
                <w:rFonts w:ascii="Cambria" w:hAnsi="Cambria" w:cstheme="minorHAnsi"/>
                <w:sz w:val="18"/>
                <w:szCs w:val="18"/>
                <w:vertAlign w:val="superscript"/>
              </w:rPr>
              <w:t xml:space="preserve"> </w:t>
            </w:r>
            <w:r w:rsidRPr="00524435">
              <w:rPr>
                <w:rFonts w:ascii="Cambria" w:hAnsi="Cambria" w:cstheme="minorHAnsi"/>
                <w:sz w:val="18"/>
                <w:szCs w:val="18"/>
                <w:vertAlign w:val="superscript"/>
              </w:rPr>
              <w:footnoteReference w:id="123"/>
            </w:r>
          </w:p>
        </w:tc>
        <w:tc>
          <w:tcPr>
            <w:tcW w:w="1170" w:type="dxa"/>
            <w:vMerge/>
          </w:tcPr>
          <w:p w14:paraId="16AC1EA9" w14:textId="77777777" w:rsidR="007E31E3" w:rsidRPr="00524435" w:rsidRDefault="007E31E3" w:rsidP="00820229">
            <w:pPr>
              <w:jc w:val="center"/>
              <w:rPr>
                <w:rFonts w:ascii="Cambria" w:hAnsi="Cambria" w:cstheme="minorHAnsi"/>
                <w:sz w:val="18"/>
                <w:szCs w:val="18"/>
              </w:rPr>
            </w:pPr>
          </w:p>
        </w:tc>
        <w:tc>
          <w:tcPr>
            <w:tcW w:w="1316" w:type="dxa"/>
          </w:tcPr>
          <w:p w14:paraId="64210645"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61FA6CD7" w14:textId="77777777" w:rsidR="007E31E3" w:rsidRPr="00524435" w:rsidRDefault="007E31E3" w:rsidP="00820229">
            <w:pPr>
              <w:jc w:val="center"/>
              <w:rPr>
                <w:rFonts w:ascii="Cambria" w:hAnsi="Cambria" w:cstheme="minorHAnsi"/>
                <w:sz w:val="18"/>
                <w:szCs w:val="18"/>
              </w:rPr>
            </w:pPr>
          </w:p>
        </w:tc>
        <w:tc>
          <w:tcPr>
            <w:tcW w:w="1170" w:type="dxa"/>
          </w:tcPr>
          <w:p w14:paraId="5F2E63E6"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11BB48B2"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100%</w:t>
            </w:r>
          </w:p>
        </w:tc>
        <w:tc>
          <w:tcPr>
            <w:tcW w:w="1260" w:type="dxa"/>
          </w:tcPr>
          <w:p w14:paraId="58E09BD8"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p w14:paraId="3BC79CBD" w14:textId="77777777" w:rsidR="007E31E3" w:rsidRPr="00524435" w:rsidRDefault="007E31E3" w:rsidP="00820229">
            <w:pPr>
              <w:jc w:val="center"/>
              <w:rPr>
                <w:rFonts w:ascii="Cambria" w:hAnsi="Cambria" w:cstheme="minorHAnsi"/>
                <w:sz w:val="18"/>
                <w:szCs w:val="18"/>
              </w:rPr>
            </w:pPr>
          </w:p>
        </w:tc>
      </w:tr>
      <w:tr w:rsidR="007E31E3" w:rsidRPr="00524435" w14:paraId="442A7E5F" w14:textId="77777777" w:rsidTr="00820229">
        <w:trPr>
          <w:cnfStyle w:val="000000100000" w:firstRow="0" w:lastRow="0" w:firstColumn="0" w:lastColumn="0" w:oddVBand="0" w:evenVBand="0" w:oddHBand="1" w:evenHBand="0" w:firstRowFirstColumn="0" w:firstRowLastColumn="0" w:lastRowFirstColumn="0" w:lastRowLastColumn="0"/>
          <w:trHeight w:val="1287"/>
          <w:jc w:val="center"/>
        </w:trPr>
        <w:tc>
          <w:tcPr>
            <w:tcW w:w="2250" w:type="dxa"/>
          </w:tcPr>
          <w:p w14:paraId="45FE69A1" w14:textId="77777777" w:rsidR="007E31E3" w:rsidRPr="007A5442" w:rsidRDefault="007E31E3" w:rsidP="0009324C">
            <w:pPr>
              <w:numPr>
                <w:ilvl w:val="0"/>
                <w:numId w:val="18"/>
              </w:numPr>
              <w:tabs>
                <w:tab w:val="num" w:pos="522"/>
              </w:tabs>
              <w:ind w:firstLine="0"/>
              <w:jc w:val="both"/>
              <w:rPr>
                <w:rFonts w:ascii="Cambria" w:hAnsi="Cambria" w:cstheme="minorHAnsi"/>
                <w:sz w:val="18"/>
                <w:szCs w:val="18"/>
                <w:lang w:val="es-ES"/>
              </w:rPr>
            </w:pPr>
            <w:r w:rsidRPr="007A5442">
              <w:rPr>
                <w:rFonts w:ascii="Cambria" w:hAnsi="Cambria" w:cstheme="minorHAnsi"/>
                <w:sz w:val="18"/>
                <w:szCs w:val="18"/>
                <w:lang w:val="es-ES"/>
              </w:rPr>
              <w:lastRenderedPageBreak/>
              <w:t xml:space="preserve">Case 12.555, </w:t>
            </w:r>
            <w:proofErr w:type="spellStart"/>
            <w:r w:rsidRPr="007A5442">
              <w:rPr>
                <w:rFonts w:ascii="Cambria" w:hAnsi="Cambria" w:cstheme="minorHAnsi"/>
                <w:sz w:val="18"/>
                <w:szCs w:val="18"/>
                <w:lang w:val="es-ES"/>
              </w:rPr>
              <w:t>Report</w:t>
            </w:r>
            <w:proofErr w:type="spellEnd"/>
            <w:r w:rsidRPr="007A5442">
              <w:rPr>
                <w:rFonts w:ascii="Cambria" w:hAnsi="Cambria" w:cstheme="minorHAnsi"/>
                <w:sz w:val="18"/>
                <w:szCs w:val="18"/>
                <w:lang w:val="es-ES"/>
              </w:rPr>
              <w:t xml:space="preserve"> No. 110/06, Sebastián Echaniz Alcorta and Juan Víctor Galarza Mendiola (Venezuela)</w:t>
            </w:r>
            <w:r w:rsidRPr="007A5442">
              <w:rPr>
                <w:rFonts w:ascii="Cambria" w:hAnsi="Cambria" w:cstheme="minorHAnsi"/>
                <w:sz w:val="18"/>
                <w:szCs w:val="18"/>
                <w:vertAlign w:val="superscript"/>
                <w:lang w:val="es-ES"/>
              </w:rPr>
              <w:t xml:space="preserve"> </w:t>
            </w:r>
            <w:r w:rsidRPr="00524435">
              <w:rPr>
                <w:rFonts w:ascii="Cambria" w:hAnsi="Cambria" w:cstheme="minorHAnsi"/>
                <w:sz w:val="18"/>
                <w:szCs w:val="18"/>
                <w:vertAlign w:val="superscript"/>
              </w:rPr>
              <w:footnoteReference w:id="124"/>
            </w:r>
          </w:p>
        </w:tc>
        <w:tc>
          <w:tcPr>
            <w:tcW w:w="1170" w:type="dxa"/>
            <w:vMerge w:val="restart"/>
          </w:tcPr>
          <w:p w14:paraId="4C273235" w14:textId="46064A6F" w:rsidR="007E31E3" w:rsidRPr="00524435" w:rsidRDefault="006B7403" w:rsidP="00820229">
            <w:pPr>
              <w:jc w:val="center"/>
              <w:rPr>
                <w:rFonts w:ascii="Cambria" w:hAnsi="Cambria" w:cstheme="minorHAnsi"/>
                <w:sz w:val="18"/>
                <w:szCs w:val="18"/>
              </w:rPr>
            </w:pPr>
            <w:hyperlink r:id="rId77" w:history="1">
              <w:r w:rsidR="007E31E3" w:rsidRPr="00524435">
                <w:rPr>
                  <w:rStyle w:val="Hyperlink"/>
                  <w:rFonts w:ascii="Cambria" w:hAnsi="Cambria" w:cstheme="minorHAnsi"/>
                  <w:sz w:val="18"/>
                  <w:szCs w:val="18"/>
                </w:rPr>
                <w:t>Link to monitoring sheets on matters related to reports of friendly settlement agreements of Venezuela  that are subject to monitoring</w:t>
              </w:r>
            </w:hyperlink>
            <w:r w:rsidR="007E31E3" w:rsidRPr="00524435">
              <w:rPr>
                <w:rFonts w:ascii="Cambria" w:hAnsi="Cambria" w:cstheme="minorHAnsi"/>
                <w:sz w:val="18"/>
                <w:szCs w:val="18"/>
              </w:rPr>
              <w:t xml:space="preserve"> </w:t>
            </w:r>
          </w:p>
        </w:tc>
        <w:tc>
          <w:tcPr>
            <w:tcW w:w="1316" w:type="dxa"/>
          </w:tcPr>
          <w:p w14:paraId="16BE0A9A" w14:textId="77777777" w:rsidR="007E31E3" w:rsidRPr="00524435" w:rsidRDefault="007E31E3" w:rsidP="00820229">
            <w:pPr>
              <w:jc w:val="center"/>
              <w:rPr>
                <w:rFonts w:ascii="Cambria" w:hAnsi="Cambria" w:cstheme="minorHAnsi"/>
                <w:sz w:val="18"/>
                <w:szCs w:val="18"/>
              </w:rPr>
            </w:pPr>
          </w:p>
        </w:tc>
        <w:tc>
          <w:tcPr>
            <w:tcW w:w="1170" w:type="dxa"/>
          </w:tcPr>
          <w:p w14:paraId="13A96647" w14:textId="77777777" w:rsidR="007E31E3" w:rsidRPr="00524435" w:rsidRDefault="007E31E3" w:rsidP="00820229">
            <w:pPr>
              <w:jc w:val="center"/>
              <w:rPr>
                <w:rFonts w:ascii="Cambria" w:hAnsi="Cambria" w:cstheme="minorHAnsi"/>
                <w:sz w:val="18"/>
                <w:szCs w:val="18"/>
              </w:rPr>
            </w:pPr>
          </w:p>
        </w:tc>
        <w:tc>
          <w:tcPr>
            <w:tcW w:w="1170" w:type="dxa"/>
          </w:tcPr>
          <w:p w14:paraId="64C56B56" w14:textId="77777777" w:rsidR="007E31E3" w:rsidRPr="00524435" w:rsidRDefault="007E31E3" w:rsidP="00820229">
            <w:pPr>
              <w:keepNext/>
              <w:jc w:val="center"/>
              <w:outlineLvl w:val="2"/>
              <w:rPr>
                <w:rFonts w:ascii="Cambria" w:hAnsi="Cambria" w:cstheme="minorHAnsi"/>
                <w:sz w:val="18"/>
                <w:szCs w:val="18"/>
              </w:rPr>
            </w:pPr>
            <w:r w:rsidRPr="00524435">
              <w:rPr>
                <w:rFonts w:ascii="Cambria" w:hAnsi="Cambria" w:cstheme="minorHAnsi"/>
                <w:sz w:val="18"/>
                <w:szCs w:val="18"/>
              </w:rPr>
              <w:t>X</w:t>
            </w:r>
          </w:p>
        </w:tc>
        <w:tc>
          <w:tcPr>
            <w:tcW w:w="1170" w:type="dxa"/>
          </w:tcPr>
          <w:p w14:paraId="04B3AF44"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0%</w:t>
            </w:r>
          </w:p>
        </w:tc>
        <w:tc>
          <w:tcPr>
            <w:tcW w:w="1260" w:type="dxa"/>
          </w:tcPr>
          <w:p w14:paraId="7C578231"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 xml:space="preserve">Closed </w:t>
            </w:r>
          </w:p>
        </w:tc>
      </w:tr>
      <w:tr w:rsidR="007E31E3" w:rsidRPr="00524435" w14:paraId="639D56D6" w14:textId="77777777" w:rsidTr="00820229">
        <w:trPr>
          <w:cnfStyle w:val="000000010000" w:firstRow="0" w:lastRow="0" w:firstColumn="0" w:lastColumn="0" w:oddVBand="0" w:evenVBand="0" w:oddHBand="0" w:evenHBand="1" w:firstRowFirstColumn="0" w:firstRowLastColumn="0" w:lastRowFirstColumn="0" w:lastRowLastColumn="0"/>
          <w:trHeight w:val="1152"/>
          <w:jc w:val="center"/>
        </w:trPr>
        <w:tc>
          <w:tcPr>
            <w:tcW w:w="2250" w:type="dxa"/>
          </w:tcPr>
          <w:p w14:paraId="2D3EE3FF"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t xml:space="preserve">Case 11.706, Report No. 32/12, Yanomami indigenous people of </w:t>
            </w:r>
            <w:proofErr w:type="spellStart"/>
            <w:r w:rsidRPr="00524435">
              <w:rPr>
                <w:rFonts w:ascii="Cambria" w:hAnsi="Cambria" w:cstheme="minorHAnsi"/>
                <w:sz w:val="18"/>
                <w:szCs w:val="18"/>
              </w:rPr>
              <w:t>Haximú</w:t>
            </w:r>
            <w:proofErr w:type="spellEnd"/>
            <w:r w:rsidRPr="00524435">
              <w:rPr>
                <w:rFonts w:ascii="Cambria" w:hAnsi="Cambria" w:cstheme="minorHAnsi"/>
                <w:sz w:val="18"/>
                <w:szCs w:val="18"/>
              </w:rPr>
              <w:t xml:space="preserve"> (Venezuela)</w:t>
            </w:r>
          </w:p>
        </w:tc>
        <w:tc>
          <w:tcPr>
            <w:tcW w:w="1170" w:type="dxa"/>
            <w:vMerge/>
          </w:tcPr>
          <w:p w14:paraId="60BD6D2D" w14:textId="77777777" w:rsidR="007E31E3" w:rsidRPr="00524435" w:rsidRDefault="007E31E3" w:rsidP="00820229">
            <w:pPr>
              <w:jc w:val="center"/>
              <w:rPr>
                <w:rFonts w:ascii="Cambria" w:hAnsi="Cambria" w:cstheme="minorHAnsi"/>
                <w:sz w:val="18"/>
                <w:szCs w:val="18"/>
              </w:rPr>
            </w:pPr>
          </w:p>
        </w:tc>
        <w:tc>
          <w:tcPr>
            <w:tcW w:w="1316" w:type="dxa"/>
          </w:tcPr>
          <w:p w14:paraId="5E123262" w14:textId="77777777" w:rsidR="007E31E3" w:rsidRPr="00524435" w:rsidRDefault="007E31E3" w:rsidP="00820229">
            <w:pPr>
              <w:jc w:val="center"/>
              <w:rPr>
                <w:rFonts w:ascii="Cambria" w:hAnsi="Cambria" w:cstheme="minorHAnsi"/>
                <w:sz w:val="18"/>
                <w:szCs w:val="18"/>
              </w:rPr>
            </w:pPr>
          </w:p>
        </w:tc>
        <w:tc>
          <w:tcPr>
            <w:tcW w:w="1170" w:type="dxa"/>
          </w:tcPr>
          <w:p w14:paraId="7B23CE09"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27A439D0"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624AB4DB"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60%</w:t>
            </w:r>
          </w:p>
        </w:tc>
        <w:tc>
          <w:tcPr>
            <w:tcW w:w="1260" w:type="dxa"/>
          </w:tcPr>
          <w:p w14:paraId="67091CA8"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158CA980" w14:textId="77777777" w:rsidTr="00820229">
        <w:trPr>
          <w:cnfStyle w:val="000000100000" w:firstRow="0" w:lastRow="0" w:firstColumn="0" w:lastColumn="0" w:oddVBand="0" w:evenVBand="0" w:oddHBand="1" w:evenHBand="0" w:firstRowFirstColumn="0" w:firstRowLastColumn="0" w:lastRowFirstColumn="0" w:lastRowLastColumn="0"/>
          <w:trHeight w:val="945"/>
          <w:jc w:val="center"/>
        </w:trPr>
        <w:tc>
          <w:tcPr>
            <w:tcW w:w="2250" w:type="dxa"/>
          </w:tcPr>
          <w:p w14:paraId="2619289C" w14:textId="77777777" w:rsidR="007E31E3" w:rsidRPr="00524435" w:rsidRDefault="007E31E3" w:rsidP="0009324C">
            <w:pPr>
              <w:numPr>
                <w:ilvl w:val="0"/>
                <w:numId w:val="18"/>
              </w:numPr>
              <w:tabs>
                <w:tab w:val="num" w:pos="522"/>
              </w:tabs>
              <w:ind w:firstLine="0"/>
              <w:jc w:val="both"/>
              <w:rPr>
                <w:rFonts w:ascii="Cambria" w:hAnsi="Cambria" w:cstheme="minorHAnsi"/>
                <w:sz w:val="18"/>
                <w:szCs w:val="18"/>
              </w:rPr>
            </w:pPr>
            <w:r w:rsidRPr="00524435">
              <w:rPr>
                <w:rFonts w:ascii="Cambria" w:hAnsi="Cambria" w:cstheme="minorHAnsi"/>
                <w:sz w:val="18"/>
                <w:szCs w:val="18"/>
              </w:rPr>
              <w:t>Case 12.473, Report No. 63/13, Jesús Manuel Cárdenas et al. (Venezuela)</w:t>
            </w:r>
          </w:p>
        </w:tc>
        <w:tc>
          <w:tcPr>
            <w:tcW w:w="1170" w:type="dxa"/>
            <w:vMerge/>
          </w:tcPr>
          <w:p w14:paraId="2E37AC7C" w14:textId="77777777" w:rsidR="007E31E3" w:rsidRPr="00524435" w:rsidRDefault="007E31E3" w:rsidP="00820229">
            <w:pPr>
              <w:jc w:val="center"/>
              <w:rPr>
                <w:rFonts w:ascii="Cambria" w:hAnsi="Cambria" w:cstheme="minorHAnsi"/>
                <w:sz w:val="18"/>
                <w:szCs w:val="18"/>
              </w:rPr>
            </w:pPr>
          </w:p>
        </w:tc>
        <w:tc>
          <w:tcPr>
            <w:tcW w:w="1316" w:type="dxa"/>
          </w:tcPr>
          <w:p w14:paraId="28E0D349" w14:textId="77777777" w:rsidR="007E31E3" w:rsidRPr="00524435" w:rsidRDefault="007E31E3" w:rsidP="00820229">
            <w:pPr>
              <w:jc w:val="center"/>
              <w:rPr>
                <w:rFonts w:ascii="Cambria" w:hAnsi="Cambria" w:cstheme="minorHAnsi"/>
                <w:sz w:val="18"/>
                <w:szCs w:val="18"/>
              </w:rPr>
            </w:pPr>
          </w:p>
        </w:tc>
        <w:tc>
          <w:tcPr>
            <w:tcW w:w="1170" w:type="dxa"/>
          </w:tcPr>
          <w:p w14:paraId="541660E0"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X</w:t>
            </w:r>
          </w:p>
        </w:tc>
        <w:tc>
          <w:tcPr>
            <w:tcW w:w="1170" w:type="dxa"/>
          </w:tcPr>
          <w:p w14:paraId="798F448B" w14:textId="77777777" w:rsidR="007E31E3" w:rsidRPr="00524435" w:rsidRDefault="007E31E3" w:rsidP="00820229">
            <w:pPr>
              <w:keepNext/>
              <w:jc w:val="center"/>
              <w:outlineLvl w:val="2"/>
              <w:rPr>
                <w:rFonts w:ascii="Cambria" w:hAnsi="Cambria" w:cstheme="minorHAnsi"/>
                <w:sz w:val="18"/>
                <w:szCs w:val="18"/>
              </w:rPr>
            </w:pPr>
          </w:p>
        </w:tc>
        <w:tc>
          <w:tcPr>
            <w:tcW w:w="1170" w:type="dxa"/>
          </w:tcPr>
          <w:p w14:paraId="08457A2B" w14:textId="77777777" w:rsidR="007E31E3" w:rsidRPr="00524435" w:rsidRDefault="007E31E3" w:rsidP="00820229">
            <w:pPr>
              <w:keepNext/>
              <w:tabs>
                <w:tab w:val="left" w:pos="177"/>
              </w:tabs>
              <w:jc w:val="center"/>
              <w:outlineLvl w:val="2"/>
              <w:rPr>
                <w:rFonts w:ascii="Cambria" w:hAnsi="Cambria" w:cstheme="minorHAnsi"/>
                <w:sz w:val="18"/>
                <w:szCs w:val="18"/>
              </w:rPr>
            </w:pPr>
            <w:r w:rsidRPr="00524435">
              <w:rPr>
                <w:rFonts w:ascii="Cambria" w:hAnsi="Cambria" w:cstheme="minorHAnsi"/>
                <w:sz w:val="18"/>
                <w:szCs w:val="18"/>
              </w:rPr>
              <w:t>25%</w:t>
            </w:r>
          </w:p>
        </w:tc>
        <w:tc>
          <w:tcPr>
            <w:tcW w:w="1260" w:type="dxa"/>
          </w:tcPr>
          <w:p w14:paraId="6C6C65DC" w14:textId="77777777" w:rsidR="007E31E3" w:rsidRPr="00524435" w:rsidRDefault="007E31E3" w:rsidP="00820229">
            <w:pPr>
              <w:jc w:val="center"/>
              <w:rPr>
                <w:rFonts w:ascii="Cambria" w:hAnsi="Cambria" w:cstheme="minorHAnsi"/>
                <w:sz w:val="18"/>
                <w:szCs w:val="18"/>
              </w:rPr>
            </w:pPr>
            <w:r w:rsidRPr="00524435">
              <w:rPr>
                <w:rFonts w:ascii="Cambria" w:hAnsi="Cambria" w:cstheme="minorHAnsi"/>
                <w:sz w:val="18"/>
                <w:szCs w:val="18"/>
              </w:rPr>
              <w:t>Active</w:t>
            </w:r>
          </w:p>
        </w:tc>
      </w:tr>
      <w:tr w:rsidR="007E31E3" w:rsidRPr="00524435" w14:paraId="468C4753" w14:textId="77777777" w:rsidTr="00820229">
        <w:trPr>
          <w:cnfStyle w:val="000000010000" w:firstRow="0" w:lastRow="0" w:firstColumn="0" w:lastColumn="0" w:oddVBand="0" w:evenVBand="0" w:oddHBand="0" w:evenHBand="1" w:firstRowFirstColumn="0" w:firstRowLastColumn="0" w:lastRowFirstColumn="0" w:lastRowLastColumn="0"/>
          <w:trHeight w:val="1098"/>
          <w:jc w:val="center"/>
        </w:trPr>
        <w:tc>
          <w:tcPr>
            <w:tcW w:w="2250" w:type="dxa"/>
          </w:tcPr>
          <w:p w14:paraId="504F61A6" w14:textId="77777777" w:rsidR="007E31E3" w:rsidRPr="00524435" w:rsidRDefault="007E31E3" w:rsidP="00820229">
            <w:pPr>
              <w:jc w:val="right"/>
              <w:rPr>
                <w:rFonts w:ascii="Cambria" w:hAnsi="Cambria" w:cstheme="minorHAnsi"/>
                <w:b/>
                <w:sz w:val="18"/>
                <w:szCs w:val="18"/>
              </w:rPr>
            </w:pPr>
            <w:r w:rsidRPr="00524435">
              <w:rPr>
                <w:rFonts w:ascii="Cambria" w:hAnsi="Cambria" w:cstheme="minorHAnsi"/>
                <w:b/>
                <w:sz w:val="18"/>
                <w:szCs w:val="18"/>
              </w:rPr>
              <w:t xml:space="preserve">Total FSAs </w:t>
            </w:r>
          </w:p>
          <w:p w14:paraId="10620875" w14:textId="77777777" w:rsidR="007E31E3" w:rsidRPr="00524435" w:rsidRDefault="007E31E3" w:rsidP="00820229">
            <w:pPr>
              <w:jc w:val="right"/>
              <w:rPr>
                <w:rFonts w:ascii="Cambria" w:hAnsi="Cambria" w:cstheme="minorHAnsi"/>
                <w:b/>
                <w:sz w:val="18"/>
                <w:szCs w:val="18"/>
              </w:rPr>
            </w:pPr>
            <w:r w:rsidRPr="00524435">
              <w:rPr>
                <w:rFonts w:ascii="Cambria" w:hAnsi="Cambria" w:cstheme="minorHAnsi"/>
                <w:b/>
                <w:sz w:val="18"/>
                <w:szCs w:val="18"/>
              </w:rPr>
              <w:t>published = 181</w:t>
            </w:r>
          </w:p>
          <w:p w14:paraId="1BEB1A3E" w14:textId="77777777" w:rsidR="007E31E3" w:rsidRPr="00524435" w:rsidRDefault="007E31E3" w:rsidP="00820229">
            <w:pPr>
              <w:jc w:val="right"/>
              <w:rPr>
                <w:rFonts w:ascii="Cambria" w:hAnsi="Cambria" w:cstheme="minorHAnsi"/>
                <w:b/>
                <w:sz w:val="18"/>
                <w:szCs w:val="18"/>
              </w:rPr>
            </w:pPr>
          </w:p>
          <w:p w14:paraId="255A76AB" w14:textId="77777777" w:rsidR="007E31E3" w:rsidRPr="00524435" w:rsidRDefault="007E31E3" w:rsidP="00820229">
            <w:pPr>
              <w:jc w:val="right"/>
              <w:rPr>
                <w:rFonts w:ascii="Cambria" w:hAnsi="Cambria" w:cstheme="minorHAnsi"/>
                <w:b/>
                <w:sz w:val="18"/>
                <w:szCs w:val="18"/>
              </w:rPr>
            </w:pPr>
            <w:r w:rsidRPr="00524435">
              <w:rPr>
                <w:rFonts w:ascii="Cambria" w:hAnsi="Cambria" w:cstheme="minorHAnsi"/>
                <w:b/>
                <w:sz w:val="18"/>
                <w:szCs w:val="18"/>
              </w:rPr>
              <w:t>Total FSAs in Active Monitoring Phase = 73</w:t>
            </w:r>
          </w:p>
        </w:tc>
        <w:tc>
          <w:tcPr>
            <w:tcW w:w="1170" w:type="dxa"/>
          </w:tcPr>
          <w:p w14:paraId="1A87562A" w14:textId="77777777" w:rsidR="007E31E3" w:rsidRPr="00524435" w:rsidRDefault="007E31E3" w:rsidP="00820229">
            <w:pPr>
              <w:jc w:val="center"/>
              <w:rPr>
                <w:rFonts w:ascii="Cambria" w:hAnsi="Cambria" w:cstheme="minorHAnsi"/>
                <w:b/>
                <w:sz w:val="18"/>
                <w:szCs w:val="18"/>
              </w:rPr>
            </w:pPr>
          </w:p>
        </w:tc>
        <w:tc>
          <w:tcPr>
            <w:tcW w:w="1316" w:type="dxa"/>
          </w:tcPr>
          <w:p w14:paraId="55014D24" w14:textId="77777777" w:rsidR="007E31E3" w:rsidRPr="00524435" w:rsidRDefault="007E31E3" w:rsidP="00820229">
            <w:pPr>
              <w:jc w:val="center"/>
              <w:rPr>
                <w:rFonts w:ascii="Cambria" w:hAnsi="Cambria" w:cstheme="minorHAnsi"/>
                <w:b/>
                <w:sz w:val="18"/>
                <w:szCs w:val="18"/>
              </w:rPr>
            </w:pPr>
            <w:r w:rsidRPr="00524435">
              <w:rPr>
                <w:rFonts w:ascii="Cambria" w:hAnsi="Cambria" w:cstheme="minorHAnsi"/>
                <w:b/>
                <w:sz w:val="18"/>
                <w:szCs w:val="18"/>
              </w:rPr>
              <w:t>Full compliance = 77</w:t>
            </w:r>
          </w:p>
        </w:tc>
        <w:tc>
          <w:tcPr>
            <w:tcW w:w="1170" w:type="dxa"/>
          </w:tcPr>
          <w:p w14:paraId="2DF94DA6" w14:textId="77777777" w:rsidR="007E31E3" w:rsidRPr="00524435" w:rsidRDefault="007E31E3" w:rsidP="00820229">
            <w:pPr>
              <w:jc w:val="center"/>
              <w:rPr>
                <w:rFonts w:ascii="Cambria" w:hAnsi="Cambria" w:cstheme="minorHAnsi"/>
                <w:b/>
                <w:sz w:val="18"/>
                <w:szCs w:val="18"/>
              </w:rPr>
            </w:pPr>
          </w:p>
          <w:p w14:paraId="50249E8A" w14:textId="77777777" w:rsidR="007E31E3" w:rsidRPr="00524435" w:rsidRDefault="007E31E3" w:rsidP="00820229">
            <w:pPr>
              <w:jc w:val="center"/>
              <w:rPr>
                <w:rFonts w:ascii="Cambria" w:hAnsi="Cambria" w:cstheme="minorHAnsi"/>
                <w:b/>
                <w:sz w:val="18"/>
                <w:szCs w:val="18"/>
              </w:rPr>
            </w:pPr>
            <w:r w:rsidRPr="00524435">
              <w:rPr>
                <w:rFonts w:ascii="Cambria" w:hAnsi="Cambria" w:cstheme="minorHAnsi"/>
                <w:b/>
                <w:sz w:val="18"/>
                <w:szCs w:val="18"/>
              </w:rPr>
              <w:t>Partial compliance = 102</w:t>
            </w:r>
          </w:p>
          <w:p w14:paraId="27E2E7AE" w14:textId="77777777" w:rsidR="007E31E3" w:rsidRPr="00524435" w:rsidRDefault="007E31E3" w:rsidP="00820229">
            <w:pPr>
              <w:jc w:val="center"/>
              <w:rPr>
                <w:rFonts w:ascii="Cambria" w:hAnsi="Cambria" w:cstheme="minorHAnsi"/>
                <w:b/>
                <w:sz w:val="18"/>
                <w:szCs w:val="18"/>
              </w:rPr>
            </w:pPr>
          </w:p>
        </w:tc>
        <w:tc>
          <w:tcPr>
            <w:tcW w:w="1170" w:type="dxa"/>
          </w:tcPr>
          <w:p w14:paraId="46DEC5FE" w14:textId="77777777" w:rsidR="007E31E3" w:rsidRPr="00524435" w:rsidRDefault="007E31E3" w:rsidP="00820229">
            <w:pPr>
              <w:jc w:val="center"/>
              <w:rPr>
                <w:rFonts w:ascii="Cambria" w:hAnsi="Cambria" w:cstheme="minorHAnsi"/>
                <w:b/>
                <w:sz w:val="18"/>
                <w:szCs w:val="18"/>
              </w:rPr>
            </w:pPr>
          </w:p>
          <w:p w14:paraId="6B5E7B8F" w14:textId="77777777" w:rsidR="007E31E3" w:rsidRPr="00524435" w:rsidRDefault="007E31E3" w:rsidP="00820229">
            <w:pPr>
              <w:jc w:val="center"/>
              <w:rPr>
                <w:rFonts w:ascii="Cambria" w:hAnsi="Cambria" w:cstheme="minorHAnsi"/>
                <w:b/>
                <w:sz w:val="18"/>
                <w:szCs w:val="18"/>
              </w:rPr>
            </w:pPr>
            <w:r w:rsidRPr="00524435">
              <w:rPr>
                <w:rFonts w:ascii="Cambria" w:hAnsi="Cambria" w:cstheme="minorHAnsi"/>
                <w:b/>
                <w:sz w:val="18"/>
                <w:szCs w:val="18"/>
              </w:rPr>
              <w:t>Pending compliance = 2</w:t>
            </w:r>
          </w:p>
          <w:p w14:paraId="22B7186F" w14:textId="77777777" w:rsidR="007E31E3" w:rsidRPr="00524435" w:rsidRDefault="007E31E3" w:rsidP="00820229">
            <w:pPr>
              <w:jc w:val="center"/>
              <w:rPr>
                <w:rFonts w:ascii="Cambria" w:hAnsi="Cambria" w:cstheme="minorHAnsi"/>
                <w:b/>
                <w:sz w:val="18"/>
                <w:szCs w:val="18"/>
              </w:rPr>
            </w:pPr>
          </w:p>
        </w:tc>
        <w:tc>
          <w:tcPr>
            <w:tcW w:w="1170" w:type="dxa"/>
          </w:tcPr>
          <w:p w14:paraId="65311AFC" w14:textId="77777777" w:rsidR="007E31E3" w:rsidRPr="00524435" w:rsidRDefault="007E31E3" w:rsidP="00820229">
            <w:pPr>
              <w:jc w:val="center"/>
              <w:rPr>
                <w:rFonts w:ascii="Cambria" w:hAnsi="Cambria" w:cstheme="minorHAnsi"/>
                <w:b/>
                <w:sz w:val="18"/>
                <w:szCs w:val="18"/>
              </w:rPr>
            </w:pPr>
          </w:p>
        </w:tc>
        <w:tc>
          <w:tcPr>
            <w:tcW w:w="1260" w:type="dxa"/>
          </w:tcPr>
          <w:p w14:paraId="27E52C63" w14:textId="77777777" w:rsidR="007E31E3" w:rsidRPr="00524435" w:rsidRDefault="007E31E3" w:rsidP="00820229">
            <w:pPr>
              <w:jc w:val="center"/>
              <w:rPr>
                <w:rFonts w:ascii="Cambria" w:hAnsi="Cambria" w:cstheme="minorHAnsi"/>
                <w:b/>
                <w:bCs/>
                <w:sz w:val="18"/>
                <w:szCs w:val="18"/>
              </w:rPr>
            </w:pPr>
            <w:r w:rsidRPr="00524435">
              <w:rPr>
                <w:rFonts w:ascii="Cambria" w:hAnsi="Cambria" w:cstheme="minorHAnsi"/>
                <w:b/>
                <w:sz w:val="18"/>
                <w:szCs w:val="18"/>
              </w:rPr>
              <w:t>Active</w:t>
            </w:r>
          </w:p>
          <w:p w14:paraId="1DE48897" w14:textId="77777777" w:rsidR="007E31E3" w:rsidRPr="00524435" w:rsidRDefault="007E31E3" w:rsidP="00820229">
            <w:pPr>
              <w:jc w:val="center"/>
              <w:rPr>
                <w:rFonts w:ascii="Cambria" w:hAnsi="Cambria" w:cstheme="minorHAnsi"/>
                <w:b/>
                <w:bCs/>
                <w:sz w:val="18"/>
                <w:szCs w:val="18"/>
              </w:rPr>
            </w:pPr>
            <w:r w:rsidRPr="00524435">
              <w:rPr>
                <w:rFonts w:ascii="Cambria" w:hAnsi="Cambria" w:cstheme="minorHAnsi"/>
                <w:b/>
                <w:sz w:val="18"/>
                <w:szCs w:val="18"/>
              </w:rPr>
              <w:t xml:space="preserve"> matters: 73</w:t>
            </w:r>
          </w:p>
          <w:p w14:paraId="6358CC4A" w14:textId="77777777" w:rsidR="007E31E3" w:rsidRPr="00524435" w:rsidRDefault="007E31E3" w:rsidP="00820229">
            <w:pPr>
              <w:jc w:val="center"/>
              <w:rPr>
                <w:rFonts w:ascii="Cambria" w:hAnsi="Cambria" w:cstheme="minorHAnsi"/>
                <w:b/>
                <w:sz w:val="18"/>
                <w:szCs w:val="18"/>
              </w:rPr>
            </w:pPr>
          </w:p>
          <w:p w14:paraId="60A21F01" w14:textId="77777777" w:rsidR="007E31E3" w:rsidRPr="00524435" w:rsidRDefault="007E31E3" w:rsidP="00820229">
            <w:pPr>
              <w:jc w:val="center"/>
              <w:rPr>
                <w:rFonts w:ascii="Cambria" w:hAnsi="Cambria" w:cstheme="minorHAnsi"/>
                <w:b/>
                <w:sz w:val="18"/>
                <w:szCs w:val="18"/>
              </w:rPr>
            </w:pPr>
            <w:r w:rsidRPr="00524435">
              <w:rPr>
                <w:rFonts w:ascii="Cambria" w:hAnsi="Cambria" w:cstheme="minorHAnsi"/>
                <w:b/>
                <w:sz w:val="18"/>
                <w:szCs w:val="18"/>
              </w:rPr>
              <w:t>Closed matters: 108</w:t>
            </w:r>
          </w:p>
        </w:tc>
      </w:tr>
      <w:bookmarkEnd w:id="5"/>
    </w:tbl>
    <w:p w14:paraId="0E990C74" w14:textId="77777777" w:rsidR="007E31E3" w:rsidRPr="00524435" w:rsidRDefault="007E31E3" w:rsidP="007E31E3">
      <w:pPr>
        <w:jc w:val="center"/>
        <w:rPr>
          <w:rFonts w:ascii="Cambria" w:hAnsi="Cambria"/>
          <w:b/>
          <w:bCs/>
          <w:color w:val="FF0000"/>
        </w:rPr>
      </w:pPr>
    </w:p>
    <w:p w14:paraId="74EF5D71" w14:textId="77777777" w:rsidR="007E31E3" w:rsidRPr="00524435" w:rsidRDefault="007E31E3" w:rsidP="00E82663">
      <w:pPr>
        <w:pStyle w:val="Heading3"/>
        <w:rPr>
          <w:szCs w:val="20"/>
        </w:rPr>
      </w:pPr>
      <w:r w:rsidRPr="00524435">
        <w:t>Good practices in Implementing Friendly Settlement Agreements observed in 2021</w:t>
      </w:r>
    </w:p>
    <w:p w14:paraId="519920E5" w14:textId="77777777" w:rsidR="007E31E3" w:rsidRPr="00524435" w:rsidRDefault="007E31E3" w:rsidP="00655B94">
      <w:pPr>
        <w:pStyle w:val="ListParagraph"/>
        <w:rPr>
          <w:u w:color="FF0000"/>
          <w:lang w:eastAsia="es-ES_tradnl"/>
        </w:rPr>
      </w:pPr>
      <w:r w:rsidRPr="00524435">
        <w:rPr>
          <w:u w:color="FF0000"/>
          <w:lang w:eastAsia="es-ES_tradnl"/>
        </w:rPr>
        <w:t>In 2021, the Commission learned of the issuance of Decree 1244 of October 8, 2021, by which the functions and structure of the Special Administrative Unit of the National Agency for the Legal Defense of the State (</w:t>
      </w:r>
      <w:r w:rsidRPr="00524435">
        <w:rPr>
          <w:i/>
          <w:iCs/>
          <w:u w:color="FF0000"/>
          <w:lang w:eastAsia="es-ES_tradnl"/>
        </w:rPr>
        <w:t>acronym in Spanish</w:t>
      </w:r>
      <w:r w:rsidRPr="00524435">
        <w:rPr>
          <w:u w:color="FF0000"/>
          <w:lang w:eastAsia="es-ES_tradnl"/>
        </w:rPr>
        <w:t xml:space="preserve"> ANDJE) are partially modified, which reassigned to that institution the authority to monitor friendly settlement agreements approved by the IACHR. In that context, the ANDJE was given the function of coordinating, with the domestic agencies, compliance with the clauses of the friendly settlement agreements approved by the IACHR by Article 49 reports. In this way </w:t>
      </w:r>
      <w:r w:rsidRPr="00524435">
        <w:t>the</w:t>
      </w:r>
      <w:r w:rsidRPr="00524435">
        <w:rPr>
          <w:u w:color="FF0000"/>
          <w:lang w:eastAsia="es-ES_tradnl"/>
        </w:rPr>
        <w:t xml:space="preserve"> handling of negotiations and implementation of the agreements has been focalized in a single institution, which is consistent with the good practice identified by the Commission of creating and strengthening the administrative structures within the States, to coordinate with the different state entities to ensure implementation of the measures of reparation for the victims of human rights violations.</w:t>
      </w:r>
      <w:r w:rsidRPr="00524435">
        <w:rPr>
          <w:rStyle w:val="FootnoteReference"/>
          <w:color w:val="000000"/>
          <w:u w:color="FF0000"/>
          <w:lang w:eastAsia="es-ES_tradnl"/>
        </w:rPr>
        <w:footnoteReference w:id="125"/>
      </w:r>
      <w:r w:rsidRPr="00524435">
        <w:rPr>
          <w:u w:color="FF0000"/>
          <w:lang w:eastAsia="es-ES_tradnl"/>
        </w:rPr>
        <w:t xml:space="preserve"> In this regard, the Commission has noted the importance of the States involving the institutions in charge in the negotiation and implementation of friendly settlement agreements to ensure they are effectively implemented, in addition to creating mechanisms for coordination between federal agencies and regional governments – in cases in which the States have a federal structure; and establish domestic legal frameworks that make it possible to negotiate and fully implement the commitments agreed upon in friendly settlement agreements.</w:t>
      </w:r>
      <w:r w:rsidRPr="00524435">
        <w:rPr>
          <w:rStyle w:val="FootnoteReference"/>
          <w:color w:val="000000"/>
          <w:u w:color="FF0000"/>
          <w:lang w:eastAsia="es-ES_tradnl"/>
        </w:rPr>
        <w:footnoteReference w:id="126"/>
      </w:r>
    </w:p>
    <w:p w14:paraId="7844B0E5" w14:textId="77777777" w:rsidR="007E31E3" w:rsidRPr="00524435" w:rsidRDefault="007E31E3" w:rsidP="00655B94">
      <w:pPr>
        <w:pStyle w:val="ListParagraph"/>
        <w:rPr>
          <w:color w:val="000000"/>
          <w:u w:color="FF0000"/>
          <w:lang w:eastAsia="es-ES_tradnl"/>
        </w:rPr>
      </w:pPr>
      <w:r w:rsidRPr="00524435">
        <w:lastRenderedPageBreak/>
        <w:t xml:space="preserve">In the context of the COVID-19 pandemic the Commission observed as a good practice seeking alternative mechanisms for carrying out obligations stemming from friendly settlement agreements and fostering the use of IT tools. In this vein, the Commission highlights the ceremonies for signing friendly settlement agreements and recognition of responsibility in virtual format, in </w:t>
      </w:r>
      <w:r w:rsidRPr="00524435">
        <w:rPr>
          <w:i/>
        </w:rPr>
        <w:t xml:space="preserve">Petition P-1256-05 Ivana </w:t>
      </w:r>
      <w:proofErr w:type="spellStart"/>
      <w:r w:rsidRPr="00524435">
        <w:rPr>
          <w:i/>
        </w:rPr>
        <w:t>Emilce</w:t>
      </w:r>
      <w:proofErr w:type="spellEnd"/>
      <w:r w:rsidRPr="00524435">
        <w:rPr>
          <w:i/>
        </w:rPr>
        <w:t xml:space="preserve"> Rosales, Argentina; </w:t>
      </w:r>
      <w:r w:rsidRPr="00524435">
        <w:rPr>
          <w:iCs/>
        </w:rPr>
        <w:t xml:space="preserve">in </w:t>
      </w:r>
      <w:r w:rsidRPr="00524435">
        <w:rPr>
          <w:i/>
        </w:rPr>
        <w:t>Case 12.956 F.S., Chile</w:t>
      </w:r>
      <w:r w:rsidRPr="00524435">
        <w:rPr>
          <w:iCs/>
        </w:rPr>
        <w:t>; and in seven matters from Colombia:</w:t>
      </w:r>
      <w:r w:rsidRPr="00524435">
        <w:rPr>
          <w:i/>
        </w:rPr>
        <w:t xml:space="preserve"> Cases 13.171 Luis </w:t>
      </w:r>
      <w:proofErr w:type="spellStart"/>
      <w:r w:rsidRPr="00524435">
        <w:rPr>
          <w:i/>
        </w:rPr>
        <w:t>Argemiro</w:t>
      </w:r>
      <w:proofErr w:type="spellEnd"/>
      <w:r w:rsidRPr="00524435">
        <w:rPr>
          <w:i/>
        </w:rPr>
        <w:t xml:space="preserve"> Gómez; 13.571 Carlos Mario Muñoz Gómez; 13.226 Dora Inés </w:t>
      </w:r>
      <w:proofErr w:type="spellStart"/>
      <w:r w:rsidRPr="00524435">
        <w:rPr>
          <w:i/>
        </w:rPr>
        <w:t>Meneses</w:t>
      </w:r>
      <w:proofErr w:type="spellEnd"/>
      <w:r w:rsidRPr="00524435">
        <w:rPr>
          <w:i/>
        </w:rPr>
        <w:t xml:space="preserve">; 13.758, Franklin Bustamante Restrepo; </w:t>
      </w:r>
      <w:r w:rsidRPr="00524435">
        <w:rPr>
          <w:iCs/>
        </w:rPr>
        <w:t>and</w:t>
      </w:r>
      <w:r w:rsidRPr="00524435">
        <w:rPr>
          <w:i/>
        </w:rPr>
        <w:t xml:space="preserve"> petitions P-514-11, Luis Hernando </w:t>
      </w:r>
      <w:proofErr w:type="spellStart"/>
      <w:r w:rsidRPr="00524435">
        <w:rPr>
          <w:i/>
        </w:rPr>
        <w:t>Morera</w:t>
      </w:r>
      <w:proofErr w:type="spellEnd"/>
      <w:r w:rsidRPr="00524435">
        <w:rPr>
          <w:i/>
        </w:rPr>
        <w:t xml:space="preserve"> Garzón; P-535-17, Luis Gerardo </w:t>
      </w:r>
      <w:proofErr w:type="spellStart"/>
      <w:r w:rsidRPr="00524435">
        <w:rPr>
          <w:i/>
        </w:rPr>
        <w:t>Bermúdez</w:t>
      </w:r>
      <w:proofErr w:type="spellEnd"/>
      <w:r w:rsidRPr="00524435">
        <w:rPr>
          <w:i/>
        </w:rPr>
        <w:t>, and P-1391-15 Mario Cardona.</w:t>
      </w:r>
      <w:r w:rsidRPr="00524435">
        <w:rPr>
          <w:iCs/>
        </w:rPr>
        <w:t xml:space="preserve"> In addition, it is noted that Argentina and Colombia adopted the practice of disseminating these ceremonies on their official websites and social media sites, where the respective videos are to be found. This practice has the effect of preserving the historical memory of what has happened and helps ensure non-repetition of the facts. </w:t>
      </w:r>
    </w:p>
    <w:p w14:paraId="75810DD0" w14:textId="77777777" w:rsidR="007E31E3" w:rsidRPr="00524435" w:rsidRDefault="007E31E3" w:rsidP="00655B94">
      <w:pPr>
        <w:pStyle w:val="ListParagraph"/>
        <w:rPr>
          <w:rFonts w:cs="Calibri Light"/>
        </w:rPr>
      </w:pPr>
      <w:r w:rsidRPr="00524435">
        <w:rPr>
          <w:u w:color="FF0000"/>
          <w:lang w:eastAsia="es-ES_tradnl"/>
        </w:rPr>
        <w:t xml:space="preserve">The Commission once again highlights as a good practice the use of addenda and memorandums of understanding to manage friendly settlement negotiation processes in cases that refer to multiple victims. For example, in the context of Decree 58-2001 in Honduras, which was the basis for a vetting of the security forces of Honduras, and which is said to have translated into the arbitrary dismissal of more than 200 members of the police. It should be noted that the Honduran State has continued working to identify the persons interested in pursuing friendly settlements and has signed several agreements that have been approved and published by the Commission. In this regard, the Commission observed with satisfaction that by complying totally with the friendly settlement agreements related to Reports </w:t>
      </w:r>
      <w:r w:rsidRPr="00524435">
        <w:rPr>
          <w:rFonts w:cs="Calibri Light"/>
        </w:rPr>
        <w:t xml:space="preserve">No. 105/19 (Case 12.961A, Bolívar Salgado </w:t>
      </w:r>
      <w:proofErr w:type="spellStart"/>
      <w:r w:rsidRPr="00524435">
        <w:rPr>
          <w:rFonts w:cs="Calibri Light"/>
        </w:rPr>
        <w:t>Welban</w:t>
      </w:r>
      <w:proofErr w:type="spellEnd"/>
      <w:r w:rsidRPr="00524435">
        <w:rPr>
          <w:rFonts w:cs="Calibri Light"/>
        </w:rPr>
        <w:t xml:space="preserve"> et al.); No. 101/19 (Case 12.961C, </w:t>
      </w:r>
      <w:proofErr w:type="spellStart"/>
      <w:r w:rsidRPr="00524435">
        <w:rPr>
          <w:rFonts w:cs="Calibri Light"/>
        </w:rPr>
        <w:t>Marcial</w:t>
      </w:r>
      <w:proofErr w:type="spellEnd"/>
      <w:r w:rsidRPr="00524435">
        <w:rPr>
          <w:rFonts w:cs="Calibri Light"/>
        </w:rPr>
        <w:t xml:space="preserve"> </w:t>
      </w:r>
      <w:proofErr w:type="spellStart"/>
      <w:r w:rsidRPr="00524435">
        <w:rPr>
          <w:rFonts w:cs="Calibri Light"/>
        </w:rPr>
        <w:t>Coello</w:t>
      </w:r>
      <w:proofErr w:type="spellEnd"/>
      <w:r w:rsidRPr="00524435">
        <w:rPr>
          <w:rFonts w:cs="Calibri Light"/>
        </w:rPr>
        <w:t xml:space="preserve"> Medina et al.); No. 104/19 (Case 12.961D, Jorge Enrique Valladares </w:t>
      </w:r>
      <w:proofErr w:type="spellStart"/>
      <w:r w:rsidRPr="00524435">
        <w:rPr>
          <w:rFonts w:cs="Calibri Light"/>
        </w:rPr>
        <w:t>Argueñal</w:t>
      </w:r>
      <w:proofErr w:type="spellEnd"/>
      <w:r w:rsidRPr="00524435">
        <w:rPr>
          <w:rFonts w:cs="Calibri Light"/>
        </w:rPr>
        <w:t xml:space="preserve"> et al.); No. 42/21 (Case 12,961E, </w:t>
      </w:r>
      <w:proofErr w:type="spellStart"/>
      <w:r w:rsidRPr="00524435">
        <w:rPr>
          <w:rFonts w:cs="Calibri Light"/>
        </w:rPr>
        <w:t>Ecar</w:t>
      </w:r>
      <w:proofErr w:type="spellEnd"/>
      <w:r w:rsidRPr="00524435">
        <w:rPr>
          <w:rFonts w:cs="Calibri Light"/>
        </w:rPr>
        <w:t xml:space="preserve"> Fernando Zavala Valladares et al.); No. 20/20 (Case 12.961 F, Miguel </w:t>
      </w:r>
      <w:proofErr w:type="spellStart"/>
      <w:r w:rsidRPr="00524435">
        <w:rPr>
          <w:rFonts w:cs="Calibri Light"/>
        </w:rPr>
        <w:t>Ángel</w:t>
      </w:r>
      <w:proofErr w:type="spellEnd"/>
      <w:r w:rsidRPr="00524435">
        <w:rPr>
          <w:rFonts w:cs="Calibri Light"/>
        </w:rPr>
        <w:t xml:space="preserve"> Chinchilla </w:t>
      </w:r>
      <w:proofErr w:type="spellStart"/>
      <w:r w:rsidRPr="00524435">
        <w:rPr>
          <w:rFonts w:cs="Calibri Light"/>
        </w:rPr>
        <w:t>Erazo</w:t>
      </w:r>
      <w:proofErr w:type="spellEnd"/>
      <w:r w:rsidRPr="00524435">
        <w:rPr>
          <w:rFonts w:cs="Calibri Light"/>
        </w:rPr>
        <w:t xml:space="preserve"> et al.); and No. 205/21, (Case 12.961 J. Faustino Garcia Cárdenas and one other), the State has complied by making reparation to a total of </w:t>
      </w:r>
      <w:r w:rsidRPr="00524435">
        <w:rPr>
          <w:rFonts w:cs="Calibri Light"/>
          <w:b/>
          <w:bCs/>
        </w:rPr>
        <w:t>229</w:t>
      </w:r>
      <w:r w:rsidRPr="00524435">
        <w:rPr>
          <w:rFonts w:cs="Calibri Light"/>
        </w:rPr>
        <w:t xml:space="preserve"> beneficiaries of the original Case 12,961 (Juan González et al.). Accordingly, the IACHR valued the efforts made by both parties during the negotiations related to these matters to reach these friendly settlements, which turned out to be compatible with the object and purpose of the Convention. </w:t>
      </w:r>
    </w:p>
    <w:p w14:paraId="45757A16" w14:textId="77777777" w:rsidR="007E31E3" w:rsidRPr="00524435" w:rsidRDefault="007E31E3" w:rsidP="00655B94">
      <w:pPr>
        <w:pStyle w:val="ListParagraph"/>
        <w:rPr>
          <w:u w:color="FF0000"/>
          <w:lang w:eastAsia="es-ES_tradnl"/>
        </w:rPr>
      </w:pPr>
      <w:r w:rsidRPr="00524435">
        <w:rPr>
          <w:u w:color="FF0000"/>
          <w:lang w:eastAsia="es-ES_tradnl"/>
        </w:rPr>
        <w:t xml:space="preserve">Finally, once again forming interinstitutional working groups stands out as a good practice for moving forward in implementation of </w:t>
      </w:r>
      <w:r w:rsidRPr="00524435">
        <w:t>friendly</w:t>
      </w:r>
      <w:r w:rsidRPr="00524435">
        <w:rPr>
          <w:u w:color="FF0000"/>
          <w:lang w:eastAsia="es-ES_tradnl"/>
        </w:rPr>
        <w:t xml:space="preserve"> settlement agreements with the participation of high-level authorities. On this occasion those methodologies are exemplified by the actions for coordination taken by the Chilean State in </w:t>
      </w:r>
      <w:r w:rsidRPr="00524435">
        <w:rPr>
          <w:i/>
          <w:iCs/>
          <w:u w:color="FF0000"/>
          <w:lang w:eastAsia="es-ES_tradnl"/>
        </w:rPr>
        <w:t xml:space="preserve">Case 12.904, Aymara Community of </w:t>
      </w:r>
      <w:proofErr w:type="spellStart"/>
      <w:r w:rsidRPr="00524435">
        <w:rPr>
          <w:i/>
          <w:iCs/>
          <w:u w:color="FF0000"/>
          <w:lang w:eastAsia="es-ES_tradnl"/>
        </w:rPr>
        <w:t>Chusmiza</w:t>
      </w:r>
      <w:proofErr w:type="spellEnd"/>
      <w:r w:rsidRPr="00524435">
        <w:rPr>
          <w:i/>
          <w:iCs/>
          <w:u w:color="FF0000"/>
          <w:lang w:eastAsia="es-ES_tradnl"/>
        </w:rPr>
        <w:t xml:space="preserve"> </w:t>
      </w:r>
      <w:proofErr w:type="spellStart"/>
      <w:r w:rsidRPr="00524435">
        <w:rPr>
          <w:i/>
          <w:iCs/>
          <w:u w:color="FF0000"/>
          <w:lang w:eastAsia="es-ES_tradnl"/>
        </w:rPr>
        <w:t>Usmagama</w:t>
      </w:r>
      <w:proofErr w:type="spellEnd"/>
      <w:r w:rsidRPr="00524435">
        <w:rPr>
          <w:u w:color="FF0000"/>
          <w:lang w:eastAsia="es-ES_tradnl"/>
        </w:rPr>
        <w:t xml:space="preserve"> and in </w:t>
      </w:r>
      <w:r w:rsidRPr="00524435">
        <w:rPr>
          <w:i/>
          <w:iCs/>
          <w:u w:color="FF0000"/>
          <w:lang w:eastAsia="es-ES_tradnl"/>
        </w:rPr>
        <w:t xml:space="preserve">Petition P-687/11, Gabriela Blas </w:t>
      </w:r>
      <w:proofErr w:type="spellStart"/>
      <w:r w:rsidRPr="00524435">
        <w:rPr>
          <w:i/>
          <w:iCs/>
          <w:u w:color="FF0000"/>
          <w:lang w:eastAsia="es-ES_tradnl"/>
        </w:rPr>
        <w:t>Blas</w:t>
      </w:r>
      <w:proofErr w:type="spellEnd"/>
      <w:r w:rsidRPr="00524435">
        <w:rPr>
          <w:u w:color="FF0000"/>
          <w:lang w:eastAsia="es-ES_tradnl"/>
        </w:rPr>
        <w:t xml:space="preserve">. In that regard, the Commission considers that those forums for institutional coordination are fundamental for carrying out the commitments taken on in the friendly settlement agreements and to generate alternatives to overcome the obstacles in those processes. </w:t>
      </w:r>
    </w:p>
    <w:p w14:paraId="51DE53CD" w14:textId="77777777" w:rsidR="007E31E3" w:rsidRPr="00524435" w:rsidRDefault="007E31E3" w:rsidP="00E82663">
      <w:pPr>
        <w:pStyle w:val="Heading3"/>
        <w:rPr>
          <w:szCs w:val="20"/>
        </w:rPr>
      </w:pPr>
      <w:r w:rsidRPr="00524435">
        <w:t>Challenges and Setbacks in Implementing Friendly Settlement Agreements observed in 2021</w:t>
      </w:r>
    </w:p>
    <w:p w14:paraId="4BF5C6A3" w14:textId="77777777" w:rsidR="007E31E3" w:rsidRPr="00524435" w:rsidRDefault="007E31E3" w:rsidP="00655B94">
      <w:pPr>
        <w:pStyle w:val="ListParagraph"/>
      </w:pPr>
      <w:r w:rsidRPr="00524435">
        <w:t>The Commission regrets to announce the end of supervision of compliance with two friendly settlement agreements from Ecuador and Guatemala</w:t>
      </w:r>
      <w:r w:rsidRPr="00524435">
        <w:rPr>
          <w:rStyle w:val="FootnoteReference"/>
          <w:rFonts w:cs="Calibri Light"/>
        </w:rPr>
        <w:footnoteReference w:id="127"/>
      </w:r>
      <w:r w:rsidRPr="00524435">
        <w:t xml:space="preserve"> in which the Commission observed unjustified procedural activity on the part of the petitioner, as well as silence and the lack of collaboration to provide the information requested by the State to go forward in implementing the agreement for at least four years, as appears in the respective records, a situation that constitutes a serious indicator of lack of interest in the monitoring of the friendly settlement agreement. In view of the foregoing, the Commission decided to archive those matters, considering the powers established in Article 42 of its Rules of Procedure. </w:t>
      </w:r>
    </w:p>
    <w:p w14:paraId="503ED7C9" w14:textId="77777777" w:rsidR="007E31E3" w:rsidRPr="00524435" w:rsidRDefault="007E31E3" w:rsidP="001A4B0D">
      <w:pPr>
        <w:pStyle w:val="ListParagraph"/>
      </w:pPr>
      <w:r w:rsidRPr="00524435">
        <w:t xml:space="preserve">The Commission reiterates its concern that in 26 of the 27 friendly settlement agreements involving the State of Ecuador approved since the year 2000, the clauses related to investigating and punishing the persons responsible for the violations committed have yet to be implemented, and in one case there has </w:t>
      </w:r>
      <w:r w:rsidRPr="00524435">
        <w:lastRenderedPageBreak/>
        <w:t xml:space="preserve">been partial compliance with the measures of justice. In view of the foregoing, it can be said that the State has not fully carried out any measure of justice established in friendly settlement agreements in the last 20 years, which is why the Commission urges he Ecuadorian State to take urgent actions to move forward on a priority basis with the investigation and punishment of the persons responsible in the cases that remind under monitoring of friendly settlements. </w:t>
      </w:r>
    </w:p>
    <w:p w14:paraId="298C1205" w14:textId="77777777" w:rsidR="007E31E3" w:rsidRPr="00524435" w:rsidRDefault="007E31E3" w:rsidP="001A4B0D">
      <w:pPr>
        <w:pStyle w:val="ListParagraph"/>
      </w:pPr>
      <w:r w:rsidRPr="00524435">
        <w:t xml:space="preserve">The Commission reiterates that the greatest challenges to moving forward with friendly settlement processes involve some States’ lack of willingness to execute the measures of reparation contained in the agreements, particularly the measures related to issues of justice. It is therefore crucial for States to develop mechanisms for independent, impartial, and specialized investigation to enable them to make it a priority to comply with completing the investigations derived from international decisions. </w:t>
      </w:r>
    </w:p>
    <w:p w14:paraId="654B0CAA" w14:textId="248AE870" w:rsidR="007E31E3" w:rsidRPr="00524435" w:rsidRDefault="007E31E3" w:rsidP="001A4B0D">
      <w:pPr>
        <w:pStyle w:val="ListParagraph"/>
      </w:pPr>
      <w:r w:rsidRPr="00524435">
        <w:t xml:space="preserve">Likewise, the Commission observes that there are challenges when it comes to coordinating institutions—both national and in federated states, between national governments and provincial governments—to execute the measures established in the friendly settlement agreements, and even to signing them. The Commission sees it as fundamental for States to involve all authorities in charge of executing friendly settlement agreements from the start of negotiations so that coordination has begun prior to execution of the commitments that the State assumes as an international subject. </w:t>
      </w:r>
    </w:p>
    <w:p w14:paraId="0FDEE794" w14:textId="77777777" w:rsidR="007E31E3" w:rsidRPr="00524435" w:rsidRDefault="007E31E3" w:rsidP="001A4B0D">
      <w:pPr>
        <w:pStyle w:val="ListParagraph"/>
      </w:pPr>
      <w:r w:rsidRPr="00524435">
        <w:t xml:space="preserve">The Commission also observes that many of the clauses subject to supervision through this monitoring process are too broad and require the parties to hold a mutual dialog and keep minutes or memoranda of understanding to determine the content and definition of what was agreed upon, establishing components for clear measurement and roadmaps for short-term work to complete execution. The Commission makes itself available to users of the friendly settlement mechanisms to facilitate dialogue focused on securing that consensus. </w:t>
      </w:r>
    </w:p>
    <w:p w14:paraId="06CF9481" w14:textId="77777777" w:rsidR="007E31E3" w:rsidRPr="00524435" w:rsidRDefault="007E31E3" w:rsidP="001A4B0D">
      <w:pPr>
        <w:pStyle w:val="ListParagraph"/>
      </w:pPr>
      <w:r w:rsidRPr="00524435">
        <w:t xml:space="preserve">Lastly, the Commission views it as fundamental for States to move forward in establishing administrative, legislative, or other mechanisms to streamline the processes to negotiate and implement friendly settlement agreements and guarantee that the commitments made are fully executed. </w:t>
      </w:r>
    </w:p>
    <w:p w14:paraId="6B935CC2" w14:textId="3E2B8457" w:rsidR="007425A1" w:rsidRPr="00524435" w:rsidRDefault="007425A1" w:rsidP="007425A1">
      <w:pPr>
        <w:spacing w:after="0" w:line="240" w:lineRule="auto"/>
        <w:rPr>
          <w:rFonts w:ascii="Cambria" w:hAnsi="Cambria"/>
          <w:color w:val="000000"/>
          <w:sz w:val="20"/>
          <w:szCs w:val="20"/>
        </w:rPr>
      </w:pPr>
    </w:p>
    <w:p w14:paraId="17FA972F" w14:textId="77777777" w:rsidR="00302253" w:rsidRPr="00524435" w:rsidRDefault="00302253" w:rsidP="00302253">
      <w:pPr>
        <w:pStyle w:val="Heading1"/>
      </w:pPr>
      <w:r w:rsidRPr="00524435">
        <w:t xml:space="preserve">Status of Compliance with the Recommendations Issued by the IACHR in Merits Reports </w:t>
      </w:r>
    </w:p>
    <w:p w14:paraId="0386B61A" w14:textId="77777777" w:rsidR="00302253" w:rsidRPr="001A680E" w:rsidRDefault="00302253" w:rsidP="001A680E">
      <w:pPr>
        <w:pStyle w:val="Heading3"/>
        <w:numPr>
          <w:ilvl w:val="0"/>
          <w:numId w:val="35"/>
        </w:numPr>
        <w:ind w:left="1440" w:hanging="720"/>
      </w:pPr>
      <w:r w:rsidRPr="001A680E">
        <w:t>IACHR’S Mandate to Follow-Up on its Recommendations</w:t>
      </w:r>
    </w:p>
    <w:p w14:paraId="6204B69F" w14:textId="77777777" w:rsidR="00302253" w:rsidRPr="00524435" w:rsidRDefault="00302253" w:rsidP="00302253">
      <w:pPr>
        <w:pStyle w:val="ListParagraph"/>
      </w:pPr>
      <w:r w:rsidRPr="00524435">
        <w:t>Total compliance with the decisions of the Inter-American Commission is an essential part of ensuring full respect for human rights in OAS Member States, as well as helping to strengthen the Inter-American human rights protection system.  Accordingly, in this section, the IACHR offers an examination of the status of compliance with the decisions it has taken in published merits reports approved by it over the past nineteen years.</w:t>
      </w:r>
    </w:p>
    <w:p w14:paraId="238EC09C" w14:textId="77777777" w:rsidR="00302253" w:rsidRPr="00524435" w:rsidRDefault="00302253" w:rsidP="00302253">
      <w:pPr>
        <w:pStyle w:val="ListParagraph"/>
      </w:pPr>
      <w:r w:rsidRPr="00524435">
        <w:t xml:space="preserve">On several occasions, the OAS General Assembly has encouraged Member States to follow up on the recommendations of the Inter-American Commission on Human Rights, as it did in Resolution AG/RES 1701 (XXX-O/2000), in which it urged States to do their utmost, in good faith, to implement the recommendations of the Inter-American Commission on Human Rights, (operative item 5.d). The OAS General Assembly issued similar encouragement in Resolution AG/RES. 2672 (XLI-O/11) “Observations and Recommendations on the Annual Report of the Inter-American Commission on Human Rights” (operative item 3.b). </w:t>
      </w:r>
    </w:p>
    <w:p w14:paraId="64C33BE4" w14:textId="77777777" w:rsidR="00302253" w:rsidRPr="00524435" w:rsidRDefault="00302253" w:rsidP="00302253">
      <w:pPr>
        <w:pStyle w:val="ListParagraph"/>
      </w:pPr>
      <w:r w:rsidRPr="00524435">
        <w:t xml:space="preserve">The Commission also understands that effectiveness of the Inter-American system rests, to a large measure, on compliance with the decisions of its organs, including the judgments of the Inter-American Court of Human Rights and IACHR Reports on Merits, which set forth the recommendations and agreements </w:t>
      </w:r>
      <w:r w:rsidRPr="00524435">
        <w:lastRenderedPageBreak/>
        <w:t xml:space="preserve">on full reparation for victims of human rights violations. In this regard, States’ willingness to comply with the purposes and objectives of the American Convention on Human Rights and the American Declaration of the Rights and Duties of Man is essential, by virtue of the principle of </w:t>
      </w:r>
      <w:r w:rsidRPr="00524435">
        <w:rPr>
          <w:i/>
          <w:iCs/>
        </w:rPr>
        <w:t xml:space="preserve">pacta sunt </w:t>
      </w:r>
      <w:proofErr w:type="spellStart"/>
      <w:r w:rsidRPr="00524435">
        <w:rPr>
          <w:i/>
          <w:iCs/>
        </w:rPr>
        <w:t>servanda</w:t>
      </w:r>
      <w:proofErr w:type="spellEnd"/>
      <w:r w:rsidRPr="00524435">
        <w:rPr>
          <w:i/>
          <w:iCs/>
        </w:rPr>
        <w:t xml:space="preserve">, </w:t>
      </w:r>
      <w:r w:rsidRPr="00524435">
        <w:t>under which States must comply in good faith with the obligations they undertake to fulfill in treaties.</w:t>
      </w:r>
      <w:r w:rsidRPr="00524435">
        <w:rPr>
          <w:vertAlign w:val="superscript"/>
        </w:rPr>
        <w:footnoteReference w:id="128"/>
      </w:r>
      <w:r w:rsidRPr="00524435">
        <w:t xml:space="preserve"> </w:t>
      </w:r>
    </w:p>
    <w:p w14:paraId="3F31A4AD" w14:textId="77777777" w:rsidR="00302253" w:rsidRPr="00524435" w:rsidRDefault="00302253" w:rsidP="00302253">
      <w:pPr>
        <w:pStyle w:val="ListParagraph"/>
      </w:pPr>
      <w:r w:rsidRPr="00524435">
        <w:t>Both the American Convention (Article 41) and the Commission’s Statute (Article 18) expressly grant the IACHR the authority to request information from the member States and to produce such reports and recommendations, as it deems appropriate. Specifically, Article 48 of the IACHR’s Rules of Procedure provides the following:</w:t>
      </w:r>
    </w:p>
    <w:p w14:paraId="57F157A7" w14:textId="77777777" w:rsidR="00302253" w:rsidRPr="00524435" w:rsidRDefault="00302253" w:rsidP="00302253">
      <w:pPr>
        <w:autoSpaceDE w:val="0"/>
        <w:autoSpaceDN w:val="0"/>
        <w:adjustRightInd w:val="0"/>
        <w:spacing w:after="0" w:line="240" w:lineRule="auto"/>
        <w:ind w:left="720" w:right="720"/>
        <w:jc w:val="both"/>
        <w:rPr>
          <w:rFonts w:ascii="Cambria" w:hAnsi="Cambria" w:cs="Cambria"/>
          <w:color w:val="000000" w:themeColor="text1"/>
          <w:sz w:val="20"/>
          <w:szCs w:val="20"/>
        </w:rPr>
      </w:pPr>
      <w:r w:rsidRPr="00524435">
        <w:rPr>
          <w:rFonts w:ascii="Cambria" w:hAnsi="Cambria" w:cs="Cambria"/>
          <w:b/>
          <w:bCs/>
          <w:color w:val="000000" w:themeColor="text1"/>
          <w:sz w:val="20"/>
          <w:szCs w:val="20"/>
        </w:rPr>
        <w:t>Follow up</w:t>
      </w:r>
      <w:r w:rsidRPr="00524435">
        <w:rPr>
          <w:rFonts w:ascii="Cambria" w:hAnsi="Cambria" w:cs="Cambria"/>
          <w:color w:val="000000" w:themeColor="text1"/>
          <w:sz w:val="20"/>
          <w:szCs w:val="20"/>
        </w:rPr>
        <w:t xml:space="preserve">: </w:t>
      </w:r>
    </w:p>
    <w:p w14:paraId="60BC9415" w14:textId="77777777" w:rsidR="00302253" w:rsidRPr="00524435" w:rsidRDefault="00302253" w:rsidP="00302253">
      <w:pPr>
        <w:autoSpaceDE w:val="0"/>
        <w:autoSpaceDN w:val="0"/>
        <w:adjustRightInd w:val="0"/>
        <w:spacing w:after="0" w:line="240" w:lineRule="auto"/>
        <w:ind w:left="720" w:right="720"/>
        <w:jc w:val="both"/>
        <w:rPr>
          <w:rFonts w:ascii="Cambria" w:hAnsi="Cambria" w:cs="Cambria"/>
          <w:color w:val="000000" w:themeColor="text1"/>
          <w:sz w:val="20"/>
          <w:szCs w:val="20"/>
        </w:rPr>
      </w:pPr>
    </w:p>
    <w:p w14:paraId="3D89D17B" w14:textId="77777777" w:rsidR="00302253" w:rsidRPr="00524435" w:rsidRDefault="00302253" w:rsidP="00302253">
      <w:pPr>
        <w:spacing w:after="0" w:line="240" w:lineRule="auto"/>
        <w:ind w:left="720" w:right="720"/>
        <w:jc w:val="both"/>
        <w:rPr>
          <w:rFonts w:ascii="Cambria" w:hAnsi="Cambria"/>
          <w:color w:val="000000" w:themeColor="text1"/>
          <w:sz w:val="20"/>
          <w:szCs w:val="20"/>
        </w:rPr>
      </w:pPr>
      <w:r w:rsidRPr="00524435">
        <w:rPr>
          <w:rFonts w:ascii="Cambria" w:hAnsi="Cambria"/>
          <w:color w:val="000000" w:themeColor="text1"/>
          <w:sz w:val="20"/>
          <w:szCs w:val="20"/>
        </w:rPr>
        <w:t xml:space="preserve">1. </w:t>
      </w:r>
      <w:r w:rsidRPr="00524435">
        <w:rPr>
          <w:rFonts w:ascii="Cambria" w:hAnsi="Cambria" w:cs="Tahoma"/>
          <w:color w:val="000000" w:themeColor="text1"/>
          <w:sz w:val="20"/>
          <w:szCs w:val="20"/>
          <w:shd w:val="clear" w:color="auto" w:fill="FFFFFF"/>
        </w:rPr>
        <w:t xml:space="preserve">Once the Commission has published a report on a friendly settlement or on the merits in which it has made recommendations, it may adopt the follow-up measures it deems appropriate, such as requesting information from the parties and holding hearings </w:t>
      </w:r>
      <w:proofErr w:type="gramStart"/>
      <w:r w:rsidRPr="00524435">
        <w:rPr>
          <w:rFonts w:ascii="Cambria" w:hAnsi="Cambria" w:cs="Tahoma"/>
          <w:color w:val="000000" w:themeColor="text1"/>
          <w:sz w:val="20"/>
          <w:szCs w:val="20"/>
          <w:shd w:val="clear" w:color="auto" w:fill="FFFFFF"/>
        </w:rPr>
        <w:t>in order to</w:t>
      </w:r>
      <w:proofErr w:type="gramEnd"/>
      <w:r w:rsidRPr="00524435">
        <w:rPr>
          <w:rFonts w:ascii="Cambria" w:hAnsi="Cambria" w:cs="Tahoma"/>
          <w:color w:val="000000" w:themeColor="text1"/>
          <w:sz w:val="20"/>
          <w:szCs w:val="20"/>
          <w:shd w:val="clear" w:color="auto" w:fill="FFFFFF"/>
        </w:rPr>
        <w:t xml:space="preserve"> verify compliance with friendly settlement agreements and its recommendations</w:t>
      </w:r>
      <w:r w:rsidRPr="00524435">
        <w:rPr>
          <w:rFonts w:ascii="Cambria" w:hAnsi="Cambria"/>
          <w:color w:val="000000" w:themeColor="text1"/>
          <w:sz w:val="20"/>
          <w:szCs w:val="20"/>
        </w:rPr>
        <w:t xml:space="preserve">. </w:t>
      </w:r>
    </w:p>
    <w:p w14:paraId="6B362C14" w14:textId="3B0EC808" w:rsidR="00302253" w:rsidRPr="00524435" w:rsidRDefault="00302253" w:rsidP="00302253">
      <w:pPr>
        <w:spacing w:after="0" w:line="240" w:lineRule="auto"/>
        <w:ind w:left="720" w:right="720"/>
        <w:jc w:val="both"/>
        <w:rPr>
          <w:rFonts w:ascii="Cambria" w:hAnsi="Cambria"/>
          <w:color w:val="000000" w:themeColor="text1"/>
          <w:sz w:val="20"/>
          <w:szCs w:val="20"/>
        </w:rPr>
      </w:pPr>
    </w:p>
    <w:p w14:paraId="1845F7A6" w14:textId="3C2D8434" w:rsidR="00302253" w:rsidRPr="00524435" w:rsidRDefault="00302253" w:rsidP="00302253">
      <w:pPr>
        <w:spacing w:after="0" w:line="240" w:lineRule="auto"/>
        <w:ind w:left="720" w:right="720"/>
        <w:jc w:val="both"/>
        <w:rPr>
          <w:rFonts w:ascii="Cambria" w:hAnsi="Cambria"/>
          <w:color w:val="000000" w:themeColor="text1"/>
          <w:sz w:val="20"/>
          <w:szCs w:val="20"/>
        </w:rPr>
      </w:pPr>
      <w:r w:rsidRPr="00524435">
        <w:rPr>
          <w:rFonts w:ascii="Cambria" w:hAnsi="Cambria"/>
          <w:color w:val="000000" w:themeColor="text1"/>
          <w:sz w:val="20"/>
          <w:szCs w:val="20"/>
        </w:rPr>
        <w:t xml:space="preserve">2. </w:t>
      </w:r>
      <w:r w:rsidRPr="00524435">
        <w:rPr>
          <w:rFonts w:ascii="Cambria" w:hAnsi="Cambria" w:cs="Tahoma"/>
          <w:color w:val="000000" w:themeColor="text1"/>
          <w:sz w:val="20"/>
          <w:szCs w:val="20"/>
          <w:shd w:val="clear" w:color="auto" w:fill="FFFFFF"/>
        </w:rPr>
        <w:t>The Commission shall report on progress in complying with those agreements and recommendations as it deems appropriate</w:t>
      </w:r>
      <w:r w:rsidRPr="00524435">
        <w:rPr>
          <w:rFonts w:ascii="Cambria" w:hAnsi="Cambria"/>
          <w:color w:val="000000" w:themeColor="text1"/>
          <w:sz w:val="20"/>
          <w:szCs w:val="20"/>
        </w:rPr>
        <w:t>.</w:t>
      </w:r>
    </w:p>
    <w:p w14:paraId="3935A5B1" w14:textId="77777777" w:rsidR="00654049" w:rsidRPr="00524435" w:rsidRDefault="00654049" w:rsidP="00302253">
      <w:pPr>
        <w:spacing w:after="0" w:line="240" w:lineRule="auto"/>
        <w:ind w:left="720" w:right="720"/>
        <w:jc w:val="both"/>
        <w:rPr>
          <w:rFonts w:ascii="Cambria" w:hAnsi="Cambria"/>
          <w:color w:val="000000" w:themeColor="text1"/>
          <w:sz w:val="20"/>
          <w:szCs w:val="20"/>
        </w:rPr>
      </w:pPr>
    </w:p>
    <w:p w14:paraId="4F3A62DC" w14:textId="77777777" w:rsidR="00302253" w:rsidRPr="00524435" w:rsidRDefault="00302253" w:rsidP="00E82663">
      <w:pPr>
        <w:pStyle w:val="Heading3"/>
      </w:pPr>
      <w:r w:rsidRPr="00524435">
        <w:t>Methodology for Follow-Up on Recommendations Carried Out during the Year 2021</w:t>
      </w:r>
    </w:p>
    <w:p w14:paraId="0DEF7DAC" w14:textId="77777777" w:rsidR="00302253" w:rsidRPr="00524435" w:rsidRDefault="00302253" w:rsidP="00302253">
      <w:pPr>
        <w:pStyle w:val="ListParagraph"/>
      </w:pPr>
      <w:r w:rsidRPr="00524435">
        <w:t xml:space="preserve">In keeping with its powers under the Convention and the Statute and the above-cited resolutions, and pursuant to Article 48 of the Commission’s Rules of Procedure, the IACHR requests information from States on compliance with the recommendations issued in reports on the merits it approves in homologation reports. This practice of the Commission began in 2000 and, as of that time, information has been requested on an annual basis from the parties to the different petitions and cases, </w:t>
      </w:r>
      <w:proofErr w:type="gramStart"/>
      <w:r w:rsidRPr="00524435">
        <w:t>in order to</w:t>
      </w:r>
      <w:proofErr w:type="gramEnd"/>
      <w:r w:rsidRPr="00524435">
        <w:t xml:space="preserve"> follow up on the IACHR’s decisions and on the status of compliance in each matter. The IACHR may also receive information at the hearings or working meetings, which are held over the year, and then conducts an analysis of the status of compliance with the recommendations in each matter.</w:t>
      </w:r>
    </w:p>
    <w:p w14:paraId="3298FBD9" w14:textId="77777777" w:rsidR="00302253" w:rsidRPr="00524435" w:rsidRDefault="00302253" w:rsidP="00302253">
      <w:pPr>
        <w:pStyle w:val="ListParagraph"/>
      </w:pPr>
      <w:r w:rsidRPr="00524435">
        <w:t>As part of the Special Program to Monitor IACHR Recommendations (Program 21) under the 2017</w:t>
      </w:r>
      <w:r w:rsidRPr="00524435">
        <w:noBreakHyphen/>
        <w:t xml:space="preserve">2021 Strategic Plan of the IACHR, the Commission consolidated its methodologies for collecting, systematizing, and examining information considered when monitoring compliance with its recommendations, </w:t>
      </w:r>
      <w:proofErr w:type="gramStart"/>
      <w:r w:rsidRPr="00524435">
        <w:t>in order to</w:t>
      </w:r>
      <w:proofErr w:type="gramEnd"/>
      <w:r w:rsidRPr="00524435">
        <w:t xml:space="preserve"> optimize this process and bring visibility to the individual and structural impacts of its decisions. Thus, to prepare this chapter, the IACHR requested that parties to cases with reports on the merits published since 2001 send relevant information for follow</w:t>
      </w:r>
      <w:r w:rsidRPr="00524435">
        <w:noBreakHyphen/>
        <w:t xml:space="preserve">up on those reports by October 15, 2021. </w:t>
      </w:r>
    </w:p>
    <w:p w14:paraId="32028EDF" w14:textId="77777777" w:rsidR="00302253" w:rsidRPr="00524435" w:rsidRDefault="00302253" w:rsidP="00302253">
      <w:pPr>
        <w:pStyle w:val="ListParagraph"/>
      </w:pPr>
      <w:r w:rsidRPr="00524435">
        <w:t>In principle, the Commission considered this date to be the temporary deadline for receiving information to be analyzed for this chapter. However, based on specific aspects of the monitoring process, the IACHR considered information received after that date in the following situations: when the parties agreed to additional actions as a result of work meetings held after that date; when the IACHR granted extensions requested by one of the parties; when the petitioner or the State sent information to supplement what it had submitted before the deadline, or when the information could be processed after the deadline due to internal administrative situations, considering the time limits set for the approval of this chapter. Any information that was not included in this chapter will be examined in the IACHR’s 2022 Annual Report.</w:t>
      </w:r>
    </w:p>
    <w:p w14:paraId="272FCF17" w14:textId="77777777" w:rsidR="00302253" w:rsidRPr="00524435" w:rsidRDefault="00302253" w:rsidP="00302253">
      <w:pPr>
        <w:pStyle w:val="ListParagraph"/>
        <w:rPr>
          <w:rFonts w:cs="Cambria"/>
        </w:rPr>
      </w:pPr>
      <w:r w:rsidRPr="00524435">
        <w:rPr>
          <w:rFonts w:cs="Cambria"/>
        </w:rPr>
        <w:t xml:space="preserve">In keeping with the model proposed in 2018, the Commission presents information in this chapter on the follow-up of each case and discusses progress and challenges regarding compliance with the </w:t>
      </w:r>
      <w:r w:rsidRPr="00524435">
        <w:rPr>
          <w:rFonts w:cs="Cambria"/>
        </w:rPr>
        <w:lastRenderedPageBreak/>
        <w:t xml:space="preserve">decisions issued by the IACHR in petitions and cases. Thus, in the introductory portion of this report the IACHR offered a summary of the follow-up activities conducted by it, and then highlighted the major results in terms of total or partial substantial compliance with measures, based on progress achieved over the course of the year. Likewise, in this Report, the Commission calls greater attention to the instances of failure to comply it has identified over the course of the year, in relation to the agreements and recommendations that are the subjects of IACHR supervision. The Commission also provided a list of petitions and cases for which it has not received information from either of the parties, among other aspects of these cases. </w:t>
      </w:r>
    </w:p>
    <w:p w14:paraId="58716334" w14:textId="77777777" w:rsidR="00302253" w:rsidRPr="00524435" w:rsidRDefault="00302253" w:rsidP="00302253">
      <w:pPr>
        <w:pStyle w:val="ListParagraph"/>
        <w:rPr>
          <w:rFonts w:cs="Cambria"/>
        </w:rPr>
      </w:pPr>
      <w:r w:rsidRPr="00524435">
        <w:rPr>
          <w:rFonts w:cs="Cambria"/>
        </w:rPr>
        <w:t xml:space="preserve">Additionally, it was decided to draw up an information sheet for each case with greater detail than in previous years. These sheets would be accessible through the links available in the recommendation follow-up tables. The Commission believes that with this methodology for following up on its decisions, it </w:t>
      </w:r>
      <w:proofErr w:type="gramStart"/>
      <w:r w:rsidRPr="00524435">
        <w:rPr>
          <w:rFonts w:cs="Cambria"/>
        </w:rPr>
        <w:t>is able to</w:t>
      </w:r>
      <w:proofErr w:type="gramEnd"/>
      <w:r w:rsidRPr="00524435">
        <w:rPr>
          <w:rFonts w:cs="Cambria"/>
        </w:rPr>
        <w:t xml:space="preserve"> highlight the major results achieved in compliance with recommendations based on the information submitted by the parties in terms of individual and structural reparation.     </w:t>
      </w:r>
    </w:p>
    <w:p w14:paraId="070F9BBF" w14:textId="77777777" w:rsidR="00302253" w:rsidRPr="00524435" w:rsidRDefault="00302253" w:rsidP="00302253">
      <w:pPr>
        <w:pStyle w:val="ListParagraph"/>
        <w:rPr>
          <w:rFonts w:cs="Cambria"/>
        </w:rPr>
      </w:pPr>
      <w:r w:rsidRPr="00524435">
        <w:rPr>
          <w:rFonts w:cs="Cambria"/>
        </w:rPr>
        <w:t xml:space="preserve">Finally, since its creation in 2018, the IACHR’s Section on Follow-up of Recommendations and Impact has been responsible for analyzing the reports published pursuant to Article 51 of the American Convention. This has allowed the IACHR to carry out a much more detailed and specialized follow-up of each of the matters under its responsibility. Along this same line of logic, an explanation is provided below of progress made in compliance with recommendations issued in reports on the merits, in separate and specialized areas as well. This will help users to identify more clearly and readily the nature of each matter, actions reported in each case, the individual and structural impact thereof, and the items under which further action must be taken for total implementation. </w:t>
      </w:r>
    </w:p>
    <w:p w14:paraId="50D8AF49" w14:textId="08668770" w:rsidR="00302253" w:rsidRPr="00524435" w:rsidRDefault="00302253" w:rsidP="00654049">
      <w:pPr>
        <w:spacing w:after="240" w:line="240" w:lineRule="auto"/>
        <w:ind w:firstLine="720"/>
        <w:jc w:val="both"/>
        <w:rPr>
          <w:rFonts w:ascii="Cambria" w:hAnsi="Cambria" w:cs="Cambria"/>
          <w:b/>
          <w:bCs/>
          <w:color w:val="000000" w:themeColor="text1"/>
          <w:sz w:val="20"/>
          <w:szCs w:val="20"/>
        </w:rPr>
      </w:pPr>
      <w:r w:rsidRPr="00524435">
        <w:rPr>
          <w:rFonts w:ascii="Cambria" w:hAnsi="Cambria" w:cs="Cambria"/>
          <w:b/>
          <w:bCs/>
          <w:color w:val="000000" w:themeColor="text1"/>
          <w:sz w:val="20"/>
          <w:szCs w:val="20"/>
        </w:rPr>
        <w:t xml:space="preserve">2.1 </w:t>
      </w:r>
      <w:r w:rsidR="00654049" w:rsidRPr="00524435">
        <w:rPr>
          <w:rFonts w:ascii="Cambria" w:hAnsi="Cambria" w:cs="Cambria"/>
          <w:b/>
          <w:bCs/>
          <w:color w:val="000000" w:themeColor="text1"/>
          <w:sz w:val="20"/>
          <w:szCs w:val="20"/>
        </w:rPr>
        <w:tab/>
      </w:r>
      <w:r w:rsidRPr="00524435">
        <w:rPr>
          <w:rFonts w:ascii="Cambria" w:hAnsi="Cambria" w:cs="Cambria"/>
          <w:b/>
          <w:bCs/>
          <w:color w:val="000000" w:themeColor="text1"/>
          <w:sz w:val="20"/>
          <w:szCs w:val="20"/>
        </w:rPr>
        <w:t>Categories of Analysis</w:t>
      </w:r>
    </w:p>
    <w:p w14:paraId="7E9C6943" w14:textId="2BF1155A" w:rsidR="00302253" w:rsidRPr="00524435" w:rsidRDefault="00302253" w:rsidP="00654049">
      <w:pPr>
        <w:pStyle w:val="ListParagraph"/>
      </w:pPr>
      <w:r w:rsidRPr="00524435">
        <w:t xml:space="preserve">In order to provide the parties with objective information on the type of analysis conducted in each case, the Commission approved and published the </w:t>
      </w:r>
      <w:hyperlink r:id="rId78" w:history="1">
        <w:r w:rsidRPr="00524435">
          <w:rPr>
            <w:u w:val="single"/>
          </w:rPr>
          <w:t>General Guidelines for the Follow-up of Recommendations and Decisions of the Inter-American Commission on Human Rights</w:t>
        </w:r>
      </w:hyperlink>
      <w:r w:rsidRPr="00524435">
        <w:t xml:space="preserve">, a technical follow-up tool that contains a classification system of the information provided. These categories help the Commission to conduct a more detailed analysis of available information and help the parties to know whether the information submitted is relevant and timely for the IACHR to conduct its analysis on compliance with recommendations of published merits reports.  Listed below are the new information analysis categories: </w:t>
      </w:r>
    </w:p>
    <w:p w14:paraId="18F3665D" w14:textId="77777777" w:rsidR="00302253" w:rsidRPr="00524435" w:rsidRDefault="00302253" w:rsidP="0009324C">
      <w:pPr>
        <w:numPr>
          <w:ilvl w:val="0"/>
          <w:numId w:val="29"/>
        </w:numPr>
        <w:spacing w:after="240" w:line="240" w:lineRule="auto"/>
        <w:ind w:left="1080"/>
        <w:jc w:val="both"/>
        <w:rPr>
          <w:rFonts w:ascii="Cambria" w:hAnsi="Cambria" w:cs="Cambria"/>
          <w:b/>
          <w:bCs/>
          <w:color w:val="000000" w:themeColor="text1"/>
          <w:sz w:val="20"/>
          <w:szCs w:val="20"/>
        </w:rPr>
      </w:pPr>
      <w:r w:rsidRPr="00524435">
        <w:rPr>
          <w:rFonts w:ascii="Cambria" w:hAnsi="Cambria" w:cs="Cambria"/>
          <w:b/>
          <w:bCs/>
          <w:color w:val="000000" w:themeColor="text1"/>
          <w:sz w:val="20"/>
          <w:szCs w:val="20"/>
        </w:rPr>
        <w:t xml:space="preserve">Information Provided Relevant: </w:t>
      </w:r>
      <w:r w:rsidRPr="00524435">
        <w:rPr>
          <w:rFonts w:ascii="Cambria" w:hAnsi="Cambria" w:cs="Cambria"/>
          <w:color w:val="000000" w:themeColor="text1"/>
          <w:sz w:val="20"/>
          <w:szCs w:val="20"/>
        </w:rPr>
        <w:t xml:space="preserve">the information provided is relevant, </w:t>
      </w:r>
      <w:proofErr w:type="gramStart"/>
      <w:r w:rsidRPr="00524435">
        <w:rPr>
          <w:rFonts w:ascii="Cambria" w:hAnsi="Cambria" w:cs="Cambria"/>
          <w:color w:val="000000" w:themeColor="text1"/>
          <w:sz w:val="20"/>
          <w:szCs w:val="20"/>
        </w:rPr>
        <w:t>up-to-date</w:t>
      </w:r>
      <w:proofErr w:type="gramEnd"/>
      <w:r w:rsidRPr="00524435">
        <w:rPr>
          <w:rFonts w:ascii="Cambria" w:hAnsi="Cambria" w:cs="Cambria"/>
          <w:color w:val="000000" w:themeColor="text1"/>
          <w:sz w:val="20"/>
          <w:szCs w:val="20"/>
        </w:rPr>
        <w:t xml:space="preserve"> and extensive, regarding measures taken relative to compliance with at least one of the recommendations issued, within the time period specified by the IACHR. </w:t>
      </w:r>
    </w:p>
    <w:p w14:paraId="4CAAC3EB" w14:textId="77777777" w:rsidR="00302253" w:rsidRPr="00524435" w:rsidRDefault="00302253" w:rsidP="0009324C">
      <w:pPr>
        <w:numPr>
          <w:ilvl w:val="0"/>
          <w:numId w:val="29"/>
        </w:numPr>
        <w:spacing w:after="240" w:line="240" w:lineRule="auto"/>
        <w:ind w:left="1080"/>
        <w:jc w:val="both"/>
        <w:rPr>
          <w:rFonts w:ascii="Cambria" w:hAnsi="Cambria" w:cs="Cambria"/>
          <w:b/>
          <w:bCs/>
          <w:color w:val="000000" w:themeColor="text1"/>
          <w:sz w:val="20"/>
          <w:szCs w:val="20"/>
        </w:rPr>
      </w:pPr>
      <w:r w:rsidRPr="00524435">
        <w:rPr>
          <w:rFonts w:ascii="Cambria" w:hAnsi="Cambria" w:cs="Cambria"/>
          <w:b/>
          <w:bCs/>
          <w:color w:val="000000" w:themeColor="text1"/>
          <w:sz w:val="20"/>
          <w:szCs w:val="20"/>
        </w:rPr>
        <w:t xml:space="preserve">Information Provided Not Relevant: </w:t>
      </w:r>
      <w:r w:rsidRPr="00524435">
        <w:rPr>
          <w:rFonts w:ascii="Cambria" w:hAnsi="Cambria" w:cs="Cambria"/>
          <w:color w:val="000000" w:themeColor="text1"/>
          <w:sz w:val="20"/>
          <w:szCs w:val="20"/>
        </w:rPr>
        <w:t xml:space="preserve">the information was provided within the </w:t>
      </w:r>
      <w:proofErr w:type="gramStart"/>
      <w:r w:rsidRPr="00524435">
        <w:rPr>
          <w:rFonts w:ascii="Cambria" w:hAnsi="Cambria" w:cs="Cambria"/>
          <w:color w:val="000000" w:themeColor="text1"/>
          <w:sz w:val="20"/>
          <w:szCs w:val="20"/>
        </w:rPr>
        <w:t>period of time</w:t>
      </w:r>
      <w:proofErr w:type="gramEnd"/>
      <w:r w:rsidRPr="00524435">
        <w:rPr>
          <w:rFonts w:ascii="Cambria" w:hAnsi="Cambria" w:cs="Cambria"/>
          <w:color w:val="000000" w:themeColor="text1"/>
          <w:sz w:val="20"/>
          <w:szCs w:val="20"/>
        </w:rPr>
        <w:t xml:space="preserve"> specified by the IACHR but does not pertain to the measures adopted relating to compliance with at least one of the recommendations, it is not up-to-date, or repeats information submitted in previous years without introducing new information. </w:t>
      </w:r>
    </w:p>
    <w:p w14:paraId="4E2AE8CF" w14:textId="77777777" w:rsidR="00302253" w:rsidRPr="00524435" w:rsidRDefault="00302253" w:rsidP="0009324C">
      <w:pPr>
        <w:numPr>
          <w:ilvl w:val="0"/>
          <w:numId w:val="29"/>
        </w:numPr>
        <w:spacing w:after="240" w:line="240" w:lineRule="auto"/>
        <w:ind w:left="1080"/>
        <w:jc w:val="both"/>
        <w:rPr>
          <w:rFonts w:ascii="Cambria" w:hAnsi="Cambria" w:cs="Cambria"/>
          <w:color w:val="000000" w:themeColor="text1"/>
          <w:sz w:val="20"/>
          <w:szCs w:val="20"/>
        </w:rPr>
      </w:pPr>
      <w:r w:rsidRPr="00524435">
        <w:rPr>
          <w:rFonts w:ascii="Cambria" w:hAnsi="Cambria" w:cs="Cambria"/>
          <w:b/>
          <w:bCs/>
          <w:color w:val="000000" w:themeColor="text1"/>
          <w:sz w:val="20"/>
          <w:szCs w:val="20"/>
        </w:rPr>
        <w:t xml:space="preserve">Information not provided: </w:t>
      </w:r>
      <w:r w:rsidRPr="00524435">
        <w:rPr>
          <w:rFonts w:ascii="Cambria" w:hAnsi="Cambria" w:cs="Cambria"/>
          <w:color w:val="000000" w:themeColor="text1"/>
          <w:sz w:val="20"/>
          <w:szCs w:val="20"/>
        </w:rPr>
        <w:t xml:space="preserve">information about measures adopted to comply with the recommendations issued was not provided; the IACHR is expressly advised that the information will not be submitted; or an extension or extensions was/were requested to submit </w:t>
      </w:r>
      <w:proofErr w:type="gramStart"/>
      <w:r w:rsidRPr="00524435">
        <w:rPr>
          <w:rFonts w:ascii="Cambria" w:hAnsi="Cambria" w:cs="Cambria"/>
          <w:color w:val="000000" w:themeColor="text1"/>
          <w:sz w:val="20"/>
          <w:szCs w:val="20"/>
        </w:rPr>
        <w:t>information</w:t>
      </w:r>
      <w:proofErr w:type="gramEnd"/>
      <w:r w:rsidRPr="00524435">
        <w:rPr>
          <w:rFonts w:ascii="Cambria" w:hAnsi="Cambria" w:cs="Cambria"/>
          <w:color w:val="000000" w:themeColor="text1"/>
          <w:sz w:val="20"/>
          <w:szCs w:val="20"/>
        </w:rPr>
        <w:t xml:space="preserve"> and, in the end, the information was not provided.</w:t>
      </w:r>
    </w:p>
    <w:p w14:paraId="23720C66" w14:textId="77777777" w:rsidR="00302253" w:rsidRPr="00524435" w:rsidRDefault="00302253" w:rsidP="00302253">
      <w:pPr>
        <w:pStyle w:val="ListParagraph"/>
      </w:pPr>
      <w:r w:rsidRPr="00524435">
        <w:t xml:space="preserve">The Commission also decided to expand the compliance status categories of its recommendations </w:t>
      </w:r>
      <w:proofErr w:type="gramStart"/>
      <w:r w:rsidRPr="00524435">
        <w:t>in order to</w:t>
      </w:r>
      <w:proofErr w:type="gramEnd"/>
      <w:r w:rsidRPr="00524435">
        <w:t xml:space="preserve"> highlight States’ efforts to comply and to classify the status of compliance of each individual recommendation/clause. Thus, the Commission approved the following categories for individual analysis of clauses and recommendations:</w:t>
      </w:r>
    </w:p>
    <w:p w14:paraId="1B9057BD" w14:textId="1BCFD2EE" w:rsidR="00302253" w:rsidRPr="00524435" w:rsidRDefault="00302253" w:rsidP="0009324C">
      <w:pPr>
        <w:pStyle w:val="ListParagraph"/>
        <w:numPr>
          <w:ilvl w:val="0"/>
          <w:numId w:val="34"/>
        </w:numPr>
      </w:pPr>
      <w:r w:rsidRPr="00524435">
        <w:rPr>
          <w:b/>
          <w:bCs/>
        </w:rPr>
        <w:lastRenderedPageBreak/>
        <w:t>Total compliance</w:t>
      </w:r>
      <w:r w:rsidRPr="00524435">
        <w:t xml:space="preserve">: a recommendation/ or FSA clause in which the State has begun and satisfactorily completed the measure for compliance. </w:t>
      </w:r>
    </w:p>
    <w:p w14:paraId="0B82AE40" w14:textId="4E5A5272" w:rsidR="00302253" w:rsidRPr="00524435" w:rsidRDefault="00302253" w:rsidP="0009324C">
      <w:pPr>
        <w:pStyle w:val="ListParagraph"/>
        <w:numPr>
          <w:ilvl w:val="0"/>
          <w:numId w:val="34"/>
        </w:numPr>
      </w:pPr>
      <w:r w:rsidRPr="00524435">
        <w:rPr>
          <w:b/>
          <w:bCs/>
        </w:rPr>
        <w:t>Substantial partial compliance</w:t>
      </w:r>
      <w:r w:rsidRPr="00524435">
        <w:t xml:space="preserve">: a recommendation/ or FSA clause in which the State has adopted relevant measures for compliance and has provided evidence thereof, but the Commission finds that the measures for compliance thereof have still not been completed. </w:t>
      </w:r>
    </w:p>
    <w:p w14:paraId="2F6396C2" w14:textId="1B41D23D" w:rsidR="00302253" w:rsidRPr="00524435" w:rsidRDefault="00302253" w:rsidP="0009324C">
      <w:pPr>
        <w:pStyle w:val="ListParagraph"/>
        <w:numPr>
          <w:ilvl w:val="0"/>
          <w:numId w:val="34"/>
        </w:numPr>
      </w:pPr>
      <w:r w:rsidRPr="00524435">
        <w:rPr>
          <w:b/>
          <w:bCs/>
        </w:rPr>
        <w:t>Partial compliance</w:t>
      </w:r>
      <w:r w:rsidRPr="00524435">
        <w:t xml:space="preserve">: a recommendation/ or FSA clause in which the State has adopted some measures for </w:t>
      </w:r>
      <w:proofErr w:type="gramStart"/>
      <w:r w:rsidRPr="00524435">
        <w:t>compliance</w:t>
      </w:r>
      <w:proofErr w:type="gramEnd"/>
      <w:r w:rsidRPr="00524435">
        <w:t xml:space="preserve"> but it still must adopt additional measures.</w:t>
      </w:r>
    </w:p>
    <w:p w14:paraId="1A9B4B39" w14:textId="33E7DDFF" w:rsidR="00302253" w:rsidRPr="00524435" w:rsidRDefault="00302253" w:rsidP="0009324C">
      <w:pPr>
        <w:pStyle w:val="ListParagraph"/>
        <w:numPr>
          <w:ilvl w:val="0"/>
          <w:numId w:val="34"/>
        </w:numPr>
      </w:pPr>
      <w:r w:rsidRPr="00524435">
        <w:rPr>
          <w:b/>
          <w:bCs/>
        </w:rPr>
        <w:t>Compliance pending</w:t>
      </w:r>
      <w:r w:rsidRPr="00524435">
        <w:t xml:space="preserve">: a recommendation/ or FSA clause in which the State has not adopted any measure to comply with the recommendation; or the steps taken have still not produced concrete results; or the measure(s) adopted is/are not relevant to the situation under examination. </w:t>
      </w:r>
    </w:p>
    <w:p w14:paraId="52A18CC4" w14:textId="2EE1EEB2" w:rsidR="00302253" w:rsidRPr="00524435" w:rsidRDefault="00302253" w:rsidP="0009324C">
      <w:pPr>
        <w:pStyle w:val="ListParagraph"/>
        <w:numPr>
          <w:ilvl w:val="0"/>
          <w:numId w:val="34"/>
        </w:numPr>
      </w:pPr>
      <w:r w:rsidRPr="00524435">
        <w:rPr>
          <w:b/>
          <w:bCs/>
        </w:rPr>
        <w:t>Non-compliance</w:t>
      </w:r>
      <w:r w:rsidRPr="00524435">
        <w:t xml:space="preserve">: a recommendation/ or FSA clause in which, due to the State’s conduct, it is not possible for the State to </w:t>
      </w:r>
      <w:proofErr w:type="gramStart"/>
      <w:r w:rsidRPr="00524435">
        <w:t>comply</w:t>
      </w:r>
      <w:proofErr w:type="gramEnd"/>
      <w:r w:rsidRPr="00524435">
        <w:t xml:space="preserve"> or the State has expressly advised that it will not comply with the measure. </w:t>
      </w:r>
    </w:p>
    <w:p w14:paraId="5A529308" w14:textId="77777777" w:rsidR="00302253" w:rsidRPr="00524435" w:rsidRDefault="00302253" w:rsidP="00654049">
      <w:pPr>
        <w:spacing w:after="240" w:line="240" w:lineRule="auto"/>
        <w:ind w:firstLine="720"/>
        <w:jc w:val="both"/>
        <w:rPr>
          <w:rFonts w:ascii="Cambria" w:hAnsi="Cambria" w:cs="Cambria"/>
          <w:b/>
          <w:bCs/>
          <w:color w:val="000000" w:themeColor="text1"/>
          <w:sz w:val="20"/>
          <w:szCs w:val="20"/>
        </w:rPr>
      </w:pPr>
      <w:r w:rsidRPr="00524435">
        <w:rPr>
          <w:rFonts w:ascii="Cambria" w:hAnsi="Cambria" w:cs="Cambria"/>
          <w:b/>
          <w:bCs/>
          <w:color w:val="000000" w:themeColor="text1"/>
          <w:sz w:val="20"/>
          <w:szCs w:val="20"/>
        </w:rPr>
        <w:t xml:space="preserve">2.2 </w:t>
      </w:r>
      <w:r w:rsidRPr="00524435">
        <w:rPr>
          <w:rFonts w:ascii="Cambria" w:hAnsi="Cambria" w:cs="Cambria"/>
          <w:b/>
          <w:bCs/>
          <w:color w:val="000000" w:themeColor="text1"/>
          <w:sz w:val="20"/>
          <w:szCs w:val="20"/>
        </w:rPr>
        <w:tab/>
        <w:t xml:space="preserve">Categories of Compliance with the IACHR’s Decisions </w:t>
      </w:r>
    </w:p>
    <w:p w14:paraId="179867D3" w14:textId="77777777" w:rsidR="00302253" w:rsidRPr="00524435" w:rsidRDefault="00302253" w:rsidP="00302253">
      <w:pPr>
        <w:pStyle w:val="ListParagraph"/>
      </w:pPr>
      <w:r w:rsidRPr="00524435">
        <w:t xml:space="preserve">Lastly, the Commission decided to maintain the traditionally used categories of comprehensive examination of petitions and cases, which are: </w:t>
      </w:r>
    </w:p>
    <w:p w14:paraId="719591F6" w14:textId="77777777" w:rsidR="00302253" w:rsidRPr="00524435" w:rsidRDefault="00302253" w:rsidP="0009324C">
      <w:pPr>
        <w:numPr>
          <w:ilvl w:val="0"/>
          <w:numId w:val="28"/>
        </w:numPr>
        <w:spacing w:after="240" w:line="240" w:lineRule="auto"/>
        <w:ind w:left="1080"/>
        <w:jc w:val="both"/>
        <w:rPr>
          <w:rFonts w:ascii="Cambria" w:hAnsi="Cambria" w:cs="Cambria"/>
          <w:color w:val="000000" w:themeColor="text1"/>
          <w:sz w:val="20"/>
          <w:szCs w:val="20"/>
        </w:rPr>
      </w:pPr>
      <w:r w:rsidRPr="00524435">
        <w:rPr>
          <w:rFonts w:ascii="Cambria" w:hAnsi="Cambria" w:cs="Cambria"/>
          <w:b/>
          <w:bCs/>
          <w:color w:val="000000" w:themeColor="text1"/>
          <w:sz w:val="20"/>
          <w:szCs w:val="20"/>
        </w:rPr>
        <w:t xml:space="preserve">Total compliance: </w:t>
      </w:r>
      <w:r w:rsidRPr="00524435">
        <w:rPr>
          <w:rFonts w:ascii="Cambria" w:hAnsi="Cambria" w:cs="Cambria"/>
          <w:color w:val="000000" w:themeColor="text1"/>
          <w:sz w:val="20"/>
          <w:szCs w:val="20"/>
        </w:rPr>
        <w:t xml:space="preserve">those cases in which the State has fully complied with </w:t>
      </w:r>
      <w:proofErr w:type="gramStart"/>
      <w:r w:rsidRPr="00524435">
        <w:rPr>
          <w:rFonts w:ascii="Cambria" w:hAnsi="Cambria" w:cs="Cambria"/>
          <w:color w:val="000000" w:themeColor="text1"/>
          <w:sz w:val="20"/>
          <w:szCs w:val="20"/>
        </w:rPr>
        <w:t>all of</w:t>
      </w:r>
      <w:proofErr w:type="gramEnd"/>
      <w:r w:rsidRPr="00524435">
        <w:rPr>
          <w:rFonts w:ascii="Cambria" w:hAnsi="Cambria" w:cs="Cambria"/>
          <w:color w:val="000000" w:themeColor="text1"/>
          <w:sz w:val="20"/>
          <w:szCs w:val="20"/>
        </w:rPr>
        <w:t xml:space="preserve"> the recommendations / or FSA clauses published by the IACHR. The Commission considers as total compliance, any recommendation or FSA clause in which the State has begun and satisfactorily completed the measures for compliance. </w:t>
      </w:r>
    </w:p>
    <w:p w14:paraId="120D7345" w14:textId="77777777" w:rsidR="00302253" w:rsidRPr="00524435" w:rsidRDefault="00302253" w:rsidP="0009324C">
      <w:pPr>
        <w:numPr>
          <w:ilvl w:val="0"/>
          <w:numId w:val="28"/>
        </w:numPr>
        <w:spacing w:after="240" w:line="240" w:lineRule="auto"/>
        <w:ind w:left="1080"/>
        <w:jc w:val="both"/>
        <w:rPr>
          <w:rFonts w:ascii="Cambria" w:hAnsi="Cambria" w:cs="Cambria"/>
          <w:color w:val="000000" w:themeColor="text1"/>
          <w:sz w:val="20"/>
          <w:szCs w:val="20"/>
        </w:rPr>
      </w:pPr>
      <w:r w:rsidRPr="00524435">
        <w:rPr>
          <w:rFonts w:ascii="Cambria" w:hAnsi="Cambria" w:cs="Cambria"/>
          <w:b/>
          <w:bCs/>
          <w:color w:val="000000" w:themeColor="text1"/>
          <w:sz w:val="20"/>
          <w:szCs w:val="20"/>
        </w:rPr>
        <w:t xml:space="preserve">Partial compliance: </w:t>
      </w:r>
      <w:r w:rsidRPr="00524435">
        <w:rPr>
          <w:rFonts w:ascii="Cambria" w:hAnsi="Cambria" w:cs="Cambria"/>
          <w:color w:val="000000" w:themeColor="text1"/>
          <w:sz w:val="20"/>
          <w:szCs w:val="20"/>
        </w:rPr>
        <w:t xml:space="preserve">those cases in which the State has partially complied with the recommendations / or FSA clauses published by the IACHR, either by having complied with only one or </w:t>
      </w:r>
      <w:r w:rsidRPr="00524435">
        <w:rPr>
          <w:rFonts w:ascii="Cambria" w:hAnsi="Cambria" w:cs="Cambria"/>
          <w:b/>
          <w:bCs/>
          <w:color w:val="000000" w:themeColor="text1"/>
          <w:sz w:val="20"/>
          <w:szCs w:val="20"/>
        </w:rPr>
        <w:t>some</w:t>
      </w:r>
      <w:r w:rsidRPr="00524435">
        <w:rPr>
          <w:rFonts w:ascii="Cambria" w:hAnsi="Cambria" w:cs="Cambria"/>
          <w:color w:val="000000" w:themeColor="text1"/>
          <w:sz w:val="20"/>
          <w:szCs w:val="20"/>
        </w:rPr>
        <w:t xml:space="preserve"> of the recommendations or FSA clauses, or through incomplete compliance with all of the recommendations or FSA clauses; those cases in which the State has fully complied with all of the recommendations or FSA clauses published by the IACHR except for one of them, with which it has been unable to comply. </w:t>
      </w:r>
    </w:p>
    <w:p w14:paraId="290BDCEF" w14:textId="77777777" w:rsidR="00302253" w:rsidRPr="00524435" w:rsidRDefault="00302253" w:rsidP="0009324C">
      <w:pPr>
        <w:numPr>
          <w:ilvl w:val="0"/>
          <w:numId w:val="28"/>
        </w:numPr>
        <w:spacing w:after="240" w:line="240" w:lineRule="auto"/>
        <w:ind w:left="1080"/>
        <w:jc w:val="both"/>
        <w:rPr>
          <w:rFonts w:ascii="Cambria" w:hAnsi="Cambria" w:cs="Cambria"/>
          <w:color w:val="000000" w:themeColor="text1"/>
          <w:sz w:val="20"/>
          <w:szCs w:val="20"/>
        </w:rPr>
      </w:pPr>
      <w:r w:rsidRPr="00524435">
        <w:rPr>
          <w:rFonts w:ascii="Cambria" w:hAnsi="Cambria" w:cs="Cambria"/>
          <w:b/>
          <w:bCs/>
          <w:color w:val="000000" w:themeColor="text1"/>
          <w:sz w:val="20"/>
          <w:szCs w:val="20"/>
        </w:rPr>
        <w:t xml:space="preserve">Compliance pending: </w:t>
      </w:r>
      <w:r w:rsidRPr="00524435">
        <w:rPr>
          <w:rFonts w:ascii="Cambria" w:hAnsi="Cambria" w:cs="Cambria"/>
          <w:color w:val="000000" w:themeColor="text1"/>
          <w:sz w:val="20"/>
          <w:szCs w:val="20"/>
        </w:rPr>
        <w:t>those cases in which the IACHR considers that there has been no compliance with the recommendations/ or FSA clauses published by it, because no steps were taken to that end; or the steps taken have still not produced concrete results; because the State has expressly indicated that it will not comply with the recommendations or FSA clauses published by the IACHR; or the State has not reported to the IACHR and the Commission has no information from other sources to suggest otherwise.</w:t>
      </w:r>
    </w:p>
    <w:p w14:paraId="51539164" w14:textId="5C0B909A" w:rsidR="00302253" w:rsidRPr="00524435" w:rsidRDefault="00302253" w:rsidP="00E82663">
      <w:pPr>
        <w:pStyle w:val="Heading3"/>
      </w:pPr>
      <w:r w:rsidRPr="00524435">
        <w:t>Status of Compliance with the Merits Reports Published Pursuant Article 51 of the American Convention on Human Rights</w:t>
      </w:r>
    </w:p>
    <w:p w14:paraId="0DFD8A24" w14:textId="77777777" w:rsidR="00302253" w:rsidRPr="00524435" w:rsidRDefault="00302253" w:rsidP="002B4C78">
      <w:pPr>
        <w:pStyle w:val="ListParagraph"/>
      </w:pPr>
      <w:r w:rsidRPr="00524435">
        <w:t>The Inter</w:t>
      </w:r>
      <w:r w:rsidRPr="00524435">
        <w:noBreakHyphen/>
        <w:t xml:space="preserve">American Commission on Human Rights, as part of its 2017-2021 Strategic Plan to enhance its processes for following up on its recommendations, has made efforts to bring visibility to the progress made in the implementation of merits reports published in accordance with Article 51 of the American Convention on Human Rights (ACHR). In this regard, with the aim of providing greater information and visibility regarding the status of compliance with the recommendations issued in its published merits reports, the Commission has prepared individual follow-up factsheets for each case with information on the status of compliance with the recommendations. In the preparation of these factsheets, the IACHR undertook a recommendation-by-recommendation analysis and identified the individual and structural results, which have </w:t>
      </w:r>
      <w:r w:rsidRPr="00524435">
        <w:lastRenderedPageBreak/>
        <w:t xml:space="preserve">been reported by the parties. The individual follow-up factsheets provide the various users of the inter-American System with a tool which enables them to consult and understand, in a simple and agile manner, which recommendations are currently being followed up by the IACHR and which recommendations have already been complied with by States. The table below contains a list of published merits reports organized by State in chronological order in which they were published, with hyperlinks to the individual follow-up of recommendations factsheets in each case. </w:t>
      </w:r>
    </w:p>
    <w:p w14:paraId="3F60C078" w14:textId="77777777" w:rsidR="00302253" w:rsidRPr="00524435" w:rsidRDefault="00302253" w:rsidP="002B4C78">
      <w:pPr>
        <w:pStyle w:val="ListParagraph"/>
      </w:pPr>
      <w:r w:rsidRPr="00524435">
        <w:t>In addition to the monitoring actions the IACHR took in 2021 for the cases included in its annual reports, it also implemented a reinforced monitoring strategy for the 159 reports on the merits referenced in subparagraphs (c) and (d) of Joint Press Release P-1193-CA signed by the Commission and the State of Peru.</w:t>
      </w:r>
      <w:r w:rsidRPr="00524435">
        <w:rPr>
          <w:rStyle w:val="FootnoteReference"/>
          <w:bCs/>
          <w:color w:val="000000" w:themeColor="text1"/>
        </w:rPr>
        <w:footnoteReference w:id="129"/>
      </w:r>
      <w:r w:rsidRPr="00524435">
        <w:t xml:space="preserve"> To promote this monitoring strategy, the IACHR prepared a factsheet to facilitate and strengthen the joint monitoring work carried out with the Peruvian State and the petitioners over the last year. Unlike the follow</w:t>
      </w:r>
      <w:r w:rsidRPr="00524435">
        <w:noBreakHyphen/>
        <w:t>up factsheets for the other cases included in this report, the first version of this factsheet does not establish levels of compliance with the recommendations issued by the IACHR in these cases. Instead, its purpose is to provide a mechanism for systematizing information that centralizes and brings visibility to the State’s efforts to achieve compliance while offering unified information obtained from reports provided by the parties, given the large number of cases being monitored. It should be noted that, before the factsheet was prepared, this chapter covered the monitoring actions taken in the three cases with reports published since 2001 involving the State of Peru.</w:t>
      </w:r>
      <w:r w:rsidRPr="00524435">
        <w:rPr>
          <w:rStyle w:val="FootnoteReference"/>
          <w:color w:val="000000" w:themeColor="text1"/>
        </w:rPr>
        <w:footnoteReference w:id="130"/>
      </w:r>
      <w:r w:rsidRPr="00524435">
        <w:t xml:space="preserve"> However, since these three cases are part of the group referred to in subparagraphs (</w:t>
      </w:r>
      <w:proofErr w:type="gramStart"/>
      <w:r w:rsidRPr="00524435">
        <w:t>c )</w:t>
      </w:r>
      <w:proofErr w:type="gramEnd"/>
      <w:r w:rsidRPr="00524435">
        <w:t xml:space="preserve"> and (d) of the press release, for methodological reasons, they will be monitored along with those cases and included in the appropriate factsheet.</w:t>
      </w:r>
    </w:p>
    <w:p w14:paraId="7DC4864B" w14:textId="77777777" w:rsidR="00302253" w:rsidRPr="00524435" w:rsidRDefault="00302253" w:rsidP="002B4C78">
      <w:pPr>
        <w:pStyle w:val="ListParagraph"/>
      </w:pPr>
      <w:r w:rsidRPr="00524435">
        <w:t>All published reports on the merits are listed below in the order in which they were approved and are grouped by State. This table provides direct links to the follow</w:t>
      </w:r>
      <w:r w:rsidRPr="00524435">
        <w:noBreakHyphen/>
        <w:t xml:space="preserve">up factsheets prepared by the IACHR for each case in 2021. The monitoring status of reports on the merits published through December 31, 2021, is as follows: </w:t>
      </w:r>
    </w:p>
    <w:tbl>
      <w:tblPr>
        <w:tblStyle w:val="TableContemporary1"/>
        <w:tblW w:w="9751" w:type="dxa"/>
        <w:tblLayout w:type="fixed"/>
        <w:tblCellMar>
          <w:left w:w="58" w:type="dxa"/>
          <w:right w:w="58" w:type="dxa"/>
        </w:tblCellMar>
        <w:tblLook w:val="0020" w:firstRow="1" w:lastRow="0" w:firstColumn="0" w:lastColumn="0" w:noHBand="0" w:noVBand="0"/>
      </w:tblPr>
      <w:tblGrid>
        <w:gridCol w:w="2251"/>
        <w:gridCol w:w="1125"/>
        <w:gridCol w:w="1275"/>
        <w:gridCol w:w="1275"/>
        <w:gridCol w:w="1275"/>
        <w:gridCol w:w="1275"/>
        <w:gridCol w:w="1275"/>
      </w:tblGrid>
      <w:tr w:rsidR="00796A41" w:rsidRPr="00524435" w14:paraId="1FF2F549" w14:textId="77777777" w:rsidTr="00D300E5">
        <w:trPr>
          <w:cnfStyle w:val="100000000000" w:firstRow="1" w:lastRow="0" w:firstColumn="0" w:lastColumn="0" w:oddVBand="0" w:evenVBand="0" w:oddHBand="0" w:evenHBand="0" w:firstRowFirstColumn="0" w:firstRowLastColumn="0" w:lastRowFirstColumn="0" w:lastRowLastColumn="0"/>
          <w:trHeight w:val="47"/>
        </w:trPr>
        <w:tc>
          <w:tcPr>
            <w:tcW w:w="2251" w:type="dxa"/>
          </w:tcPr>
          <w:p w14:paraId="7760EF1E" w14:textId="77777777" w:rsidR="007A5442" w:rsidRPr="00524435" w:rsidRDefault="007A5442" w:rsidP="00C33359">
            <w:pPr>
              <w:jc w:val="center"/>
              <w:rPr>
                <w:rFonts w:ascii="Cambria" w:hAnsi="Cambria" w:cs="Cambria"/>
                <w:b w:val="0"/>
                <w:bCs w:val="0"/>
                <w:color w:val="000000" w:themeColor="text1"/>
                <w:sz w:val="18"/>
                <w:szCs w:val="18"/>
                <w:lang w:eastAsia="es-ES_tradnl"/>
              </w:rPr>
            </w:pPr>
            <w:r w:rsidRPr="00524435">
              <w:rPr>
                <w:rFonts w:ascii="Cambria" w:hAnsi="Cambria" w:cs="Cambria"/>
                <w:color w:val="000000" w:themeColor="text1"/>
                <w:sz w:val="18"/>
                <w:szCs w:val="18"/>
                <w:lang w:eastAsia="es-ES_tradnl"/>
              </w:rPr>
              <w:t>CASE</w:t>
            </w:r>
          </w:p>
        </w:tc>
        <w:tc>
          <w:tcPr>
            <w:tcW w:w="1125" w:type="dxa"/>
          </w:tcPr>
          <w:p w14:paraId="5CC2461C" w14:textId="77777777" w:rsidR="007A5442" w:rsidRPr="00524435" w:rsidRDefault="007A5442" w:rsidP="00C33359">
            <w:pPr>
              <w:jc w:val="center"/>
              <w:rPr>
                <w:rFonts w:ascii="Cambria" w:hAnsi="Cambria" w:cs="Cambria"/>
                <w:b w:val="0"/>
                <w:bCs w:val="0"/>
                <w:color w:val="000000" w:themeColor="text1"/>
                <w:sz w:val="18"/>
                <w:szCs w:val="18"/>
                <w:lang w:eastAsia="es-ES_tradnl"/>
              </w:rPr>
            </w:pPr>
            <w:r w:rsidRPr="00524435">
              <w:rPr>
                <w:rFonts w:ascii="Cambria" w:hAnsi="Cambria" w:cs="Cambria"/>
                <w:color w:val="000000" w:themeColor="text1"/>
                <w:sz w:val="18"/>
                <w:szCs w:val="18"/>
                <w:lang w:eastAsia="es-ES_tradnl"/>
              </w:rPr>
              <w:t>Link to the follow-up factsheet</w:t>
            </w:r>
          </w:p>
        </w:tc>
        <w:tc>
          <w:tcPr>
            <w:tcW w:w="1275" w:type="dxa"/>
          </w:tcPr>
          <w:p w14:paraId="67EE35B7" w14:textId="1E7A9385" w:rsidR="007A5442" w:rsidRPr="00524435" w:rsidRDefault="007A5442" w:rsidP="00C33359">
            <w:pPr>
              <w:jc w:val="center"/>
              <w:rPr>
                <w:rFonts w:ascii="Cambria" w:hAnsi="Cambria" w:cs="Cambria"/>
                <w:color w:val="000000" w:themeColor="text1"/>
                <w:sz w:val="18"/>
                <w:szCs w:val="18"/>
                <w:lang w:eastAsia="es-ES_tradnl"/>
              </w:rPr>
            </w:pPr>
            <w:r w:rsidRPr="007A5442">
              <w:rPr>
                <w:rFonts w:ascii="Cambria" w:hAnsi="Cambria" w:cs="Cambria"/>
                <w:color w:val="000000" w:themeColor="text1"/>
                <w:sz w:val="18"/>
                <w:szCs w:val="18"/>
                <w:lang w:eastAsia="es-ES_tradnl"/>
              </w:rPr>
              <w:t>In process of determining level of compliance</w:t>
            </w:r>
          </w:p>
        </w:tc>
        <w:tc>
          <w:tcPr>
            <w:tcW w:w="1275" w:type="dxa"/>
          </w:tcPr>
          <w:p w14:paraId="240895E3" w14:textId="6E69B268" w:rsidR="007A5442" w:rsidRPr="00524435" w:rsidRDefault="007A5442" w:rsidP="00C33359">
            <w:pPr>
              <w:jc w:val="center"/>
              <w:rPr>
                <w:rFonts w:ascii="Cambria" w:hAnsi="Cambria" w:cs="Cambria"/>
                <w:b w:val="0"/>
                <w:bCs w:val="0"/>
                <w:color w:val="000000" w:themeColor="text1"/>
                <w:sz w:val="18"/>
                <w:szCs w:val="18"/>
                <w:lang w:eastAsia="es-ES_tradnl"/>
              </w:rPr>
            </w:pPr>
            <w:r w:rsidRPr="00524435">
              <w:rPr>
                <w:rFonts w:ascii="Cambria" w:hAnsi="Cambria" w:cs="Cambria"/>
                <w:color w:val="000000" w:themeColor="text1"/>
                <w:sz w:val="18"/>
                <w:szCs w:val="18"/>
                <w:lang w:eastAsia="es-ES_tradnl"/>
              </w:rPr>
              <w:t>TOTAL COMPLIANCE</w:t>
            </w:r>
          </w:p>
        </w:tc>
        <w:tc>
          <w:tcPr>
            <w:tcW w:w="1275" w:type="dxa"/>
          </w:tcPr>
          <w:p w14:paraId="786AE6A6" w14:textId="77777777" w:rsidR="007A5442" w:rsidRPr="00524435" w:rsidRDefault="007A5442" w:rsidP="00C33359">
            <w:pPr>
              <w:jc w:val="center"/>
              <w:rPr>
                <w:rFonts w:ascii="Cambria" w:hAnsi="Cambria" w:cs="Cambria"/>
                <w:b w:val="0"/>
                <w:bCs w:val="0"/>
                <w:color w:val="000000" w:themeColor="text1"/>
                <w:sz w:val="18"/>
                <w:szCs w:val="18"/>
                <w:lang w:eastAsia="es-ES_tradnl"/>
              </w:rPr>
            </w:pPr>
            <w:r w:rsidRPr="00524435">
              <w:rPr>
                <w:rFonts w:ascii="Cambria" w:hAnsi="Cambria" w:cs="Cambria"/>
                <w:color w:val="000000" w:themeColor="text1"/>
                <w:sz w:val="18"/>
                <w:szCs w:val="18"/>
                <w:lang w:eastAsia="es-ES_tradnl"/>
              </w:rPr>
              <w:t>PARTIAL COMPLIANCE</w:t>
            </w:r>
          </w:p>
        </w:tc>
        <w:tc>
          <w:tcPr>
            <w:tcW w:w="1275" w:type="dxa"/>
          </w:tcPr>
          <w:p w14:paraId="381F6F8F" w14:textId="77777777" w:rsidR="007A5442" w:rsidRPr="00524435" w:rsidRDefault="007A5442" w:rsidP="00C33359">
            <w:pPr>
              <w:jc w:val="center"/>
              <w:rPr>
                <w:rFonts w:ascii="Cambria" w:hAnsi="Cambria" w:cs="Cambria"/>
                <w:b w:val="0"/>
                <w:bCs w:val="0"/>
                <w:color w:val="000000" w:themeColor="text1"/>
                <w:sz w:val="18"/>
                <w:szCs w:val="18"/>
                <w:lang w:eastAsia="es-ES_tradnl"/>
              </w:rPr>
            </w:pPr>
            <w:r w:rsidRPr="00524435">
              <w:rPr>
                <w:rFonts w:ascii="Cambria" w:hAnsi="Cambria" w:cs="Cambria"/>
                <w:color w:val="000000" w:themeColor="text1"/>
                <w:sz w:val="18"/>
                <w:szCs w:val="18"/>
                <w:lang w:eastAsia="es-ES_tradnl"/>
              </w:rPr>
              <w:t>PENDING COMPLIANCE</w:t>
            </w:r>
          </w:p>
        </w:tc>
        <w:tc>
          <w:tcPr>
            <w:tcW w:w="1275" w:type="dxa"/>
          </w:tcPr>
          <w:p w14:paraId="2907812A" w14:textId="77777777" w:rsidR="007A5442" w:rsidRPr="00524435" w:rsidRDefault="007A5442" w:rsidP="00C33359">
            <w:pPr>
              <w:jc w:val="center"/>
              <w:rPr>
                <w:rFonts w:ascii="Cambria" w:hAnsi="Cambria" w:cs="Cambria"/>
                <w:b w:val="0"/>
                <w:bCs w:val="0"/>
                <w:color w:val="000000" w:themeColor="text1"/>
                <w:sz w:val="18"/>
                <w:szCs w:val="18"/>
                <w:lang w:eastAsia="es-ES_tradnl"/>
              </w:rPr>
            </w:pPr>
            <w:r w:rsidRPr="00524435">
              <w:rPr>
                <w:rFonts w:ascii="Cambria" w:hAnsi="Cambria" w:cs="Cambria"/>
                <w:color w:val="000000" w:themeColor="text1"/>
                <w:sz w:val="18"/>
                <w:szCs w:val="18"/>
                <w:lang w:eastAsia="es-ES_tradnl"/>
              </w:rPr>
              <w:t>STATUS OF COMPLIANCE</w:t>
            </w:r>
          </w:p>
        </w:tc>
      </w:tr>
      <w:tr w:rsidR="00796A41" w:rsidRPr="00524435" w14:paraId="63FF06E7" w14:textId="77777777" w:rsidTr="00D300E5">
        <w:trPr>
          <w:cnfStyle w:val="000000100000" w:firstRow="0" w:lastRow="0" w:firstColumn="0" w:lastColumn="0" w:oddVBand="0" w:evenVBand="0" w:oddHBand="1" w:evenHBand="0" w:firstRowFirstColumn="0" w:firstRowLastColumn="0" w:lastRowFirstColumn="0" w:lastRowLastColumn="0"/>
          <w:trHeight w:val="468"/>
        </w:trPr>
        <w:tc>
          <w:tcPr>
            <w:tcW w:w="2251" w:type="dxa"/>
          </w:tcPr>
          <w:p w14:paraId="46B8C0DE"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11.732, Report No. 83/09, Horacio </w:t>
            </w:r>
            <w:proofErr w:type="spellStart"/>
            <w:r w:rsidRPr="00524435">
              <w:rPr>
                <w:rFonts w:ascii="Cambria" w:hAnsi="Cambria" w:cs="Cambria"/>
                <w:color w:val="000000" w:themeColor="text1"/>
                <w:sz w:val="18"/>
                <w:szCs w:val="18"/>
              </w:rPr>
              <w:t>Aníbal</w:t>
            </w:r>
            <w:proofErr w:type="spellEnd"/>
            <w:r w:rsidRPr="00524435">
              <w:rPr>
                <w:rFonts w:ascii="Cambria" w:hAnsi="Cambria" w:cs="Cambria"/>
                <w:color w:val="000000" w:themeColor="text1"/>
                <w:sz w:val="18"/>
                <w:szCs w:val="18"/>
              </w:rPr>
              <w:t xml:space="preserve"> </w:t>
            </w:r>
            <w:proofErr w:type="spellStart"/>
            <w:r w:rsidRPr="00524435">
              <w:rPr>
                <w:rFonts w:ascii="Cambria" w:hAnsi="Cambria" w:cs="Cambria"/>
                <w:color w:val="000000" w:themeColor="text1"/>
                <w:sz w:val="18"/>
                <w:szCs w:val="18"/>
              </w:rPr>
              <w:t>Schillizzi</w:t>
            </w:r>
            <w:proofErr w:type="spellEnd"/>
            <w:r w:rsidRPr="00524435">
              <w:rPr>
                <w:rFonts w:ascii="Cambria" w:hAnsi="Cambria" w:cs="Cambria"/>
                <w:color w:val="000000" w:themeColor="text1"/>
                <w:sz w:val="18"/>
                <w:szCs w:val="18"/>
              </w:rPr>
              <w:t xml:space="preserve"> (Argentina)</w:t>
            </w:r>
            <w:r w:rsidRPr="00524435">
              <w:rPr>
                <w:rFonts w:ascii="Cambria" w:hAnsi="Cambria"/>
                <w:color w:val="000000" w:themeColor="text1"/>
                <w:sz w:val="18"/>
                <w:szCs w:val="18"/>
                <w:vertAlign w:val="superscript"/>
              </w:rPr>
              <w:footnoteReference w:id="131"/>
            </w:r>
            <w:r w:rsidRPr="00524435">
              <w:rPr>
                <w:rFonts w:ascii="Cambria" w:hAnsi="Cambria" w:cs="Cambria"/>
                <w:color w:val="000000" w:themeColor="text1"/>
                <w:sz w:val="18"/>
                <w:szCs w:val="18"/>
              </w:rPr>
              <w:t xml:space="preserve"> </w:t>
            </w:r>
          </w:p>
        </w:tc>
        <w:tc>
          <w:tcPr>
            <w:tcW w:w="1125" w:type="dxa"/>
          </w:tcPr>
          <w:p w14:paraId="38CBEC33"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7A7CEA73"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02313B6B" w14:textId="388FAA16"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35C13803"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508E9126" w14:textId="77777777" w:rsidR="007A5442" w:rsidRPr="00524435" w:rsidRDefault="007A5442" w:rsidP="00C33359">
            <w:pPr>
              <w:keepNext/>
              <w:ind w:firstLine="720"/>
              <w:jc w:val="center"/>
              <w:outlineLvl w:val="2"/>
              <w:rPr>
                <w:rFonts w:ascii="Cambria" w:hAnsi="Cambria"/>
                <w:color w:val="000000" w:themeColor="text1"/>
                <w:sz w:val="18"/>
                <w:szCs w:val="18"/>
              </w:rPr>
            </w:pPr>
          </w:p>
        </w:tc>
        <w:tc>
          <w:tcPr>
            <w:tcW w:w="1275" w:type="dxa"/>
          </w:tcPr>
          <w:p w14:paraId="08634948" w14:textId="77777777" w:rsidR="007A5442" w:rsidRPr="00524435" w:rsidRDefault="007A5442" w:rsidP="00C33359">
            <w:pPr>
              <w:keepNext/>
              <w:jc w:val="center"/>
              <w:outlineLvl w:val="2"/>
              <w:rPr>
                <w:rFonts w:ascii="Cambria" w:hAnsi="Cambria" w:cs="Cambria"/>
                <w:color w:val="000000" w:themeColor="text1"/>
                <w:sz w:val="18"/>
                <w:szCs w:val="18"/>
              </w:rPr>
            </w:pPr>
            <w:r w:rsidRPr="00524435">
              <w:rPr>
                <w:rFonts w:ascii="Cambria" w:hAnsi="Cambria" w:cs="Cambria"/>
                <w:color w:val="000000" w:themeColor="text1"/>
                <w:sz w:val="18"/>
                <w:szCs w:val="18"/>
              </w:rPr>
              <w:t>Closed</w:t>
            </w:r>
          </w:p>
        </w:tc>
      </w:tr>
      <w:tr w:rsidR="00796A41" w:rsidRPr="00524435" w14:paraId="3928E350" w14:textId="77777777" w:rsidTr="00D300E5">
        <w:trPr>
          <w:cnfStyle w:val="000000010000" w:firstRow="0" w:lastRow="0" w:firstColumn="0" w:lastColumn="0" w:oddVBand="0" w:evenVBand="0" w:oddHBand="0" w:evenHBand="1" w:firstRowFirstColumn="0" w:firstRowLastColumn="0" w:lastRowFirstColumn="0" w:lastRowLastColumn="0"/>
          <w:trHeight w:val="37"/>
        </w:trPr>
        <w:tc>
          <w:tcPr>
            <w:tcW w:w="2251" w:type="dxa"/>
          </w:tcPr>
          <w:p w14:paraId="49B8AB27"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Case 12.324, Report No. 66/12, Rubén Luis Godoy (Argentina)</w:t>
            </w:r>
          </w:p>
        </w:tc>
        <w:tc>
          <w:tcPr>
            <w:tcW w:w="1125" w:type="dxa"/>
          </w:tcPr>
          <w:p w14:paraId="4C8ACBD6" w14:textId="1AFFCD88" w:rsidR="007A5442" w:rsidRPr="00524435" w:rsidRDefault="006B7403" w:rsidP="00C33359">
            <w:pPr>
              <w:ind w:left="72"/>
              <w:jc w:val="center"/>
              <w:rPr>
                <w:rFonts w:ascii="Cambria" w:hAnsi="Cambria"/>
                <w:color w:val="000000" w:themeColor="text1"/>
                <w:sz w:val="18"/>
                <w:szCs w:val="18"/>
                <w:lang w:eastAsia="es-ES_tradnl"/>
              </w:rPr>
            </w:pPr>
            <w:hyperlink r:id="rId79"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6D9A4E5C"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3BAB453" w14:textId="253B438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CA496FD"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414142A6"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7FA6B2DE" w14:textId="77777777" w:rsidR="007A5442" w:rsidRPr="00524435" w:rsidRDefault="007A5442" w:rsidP="00C33359">
            <w:pPr>
              <w:keepNext/>
              <w:jc w:val="center"/>
              <w:outlineLvl w:val="2"/>
              <w:rPr>
                <w:rFonts w:ascii="Cambria" w:hAnsi="Cambria" w:cs="Cambria"/>
                <w:color w:val="000000" w:themeColor="text1"/>
                <w:sz w:val="18"/>
                <w:szCs w:val="18"/>
              </w:rPr>
            </w:pPr>
            <w:r w:rsidRPr="00524435">
              <w:rPr>
                <w:rFonts w:ascii="Cambria" w:hAnsi="Cambria" w:cs="Cambria"/>
                <w:color w:val="000000" w:themeColor="text1"/>
                <w:sz w:val="18"/>
                <w:szCs w:val="18"/>
              </w:rPr>
              <w:t>Open</w:t>
            </w:r>
          </w:p>
        </w:tc>
      </w:tr>
      <w:tr w:rsidR="00796A41" w:rsidRPr="00524435" w14:paraId="3334A491" w14:textId="77777777" w:rsidTr="00D300E5">
        <w:trPr>
          <w:cnfStyle w:val="000000100000" w:firstRow="0" w:lastRow="0" w:firstColumn="0" w:lastColumn="0" w:oddVBand="0" w:evenVBand="0" w:oddHBand="1" w:evenHBand="0" w:firstRowFirstColumn="0" w:firstRowLastColumn="0" w:lastRowFirstColumn="0" w:lastRowLastColumn="0"/>
          <w:trHeight w:val="37"/>
        </w:trPr>
        <w:tc>
          <w:tcPr>
            <w:tcW w:w="2251" w:type="dxa"/>
          </w:tcPr>
          <w:p w14:paraId="70A546DB"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12.632, Report No. 43/15, Adriana Beatriz Gallo, Ana María </w:t>
            </w:r>
            <w:proofErr w:type="spellStart"/>
            <w:r w:rsidRPr="00524435">
              <w:rPr>
                <w:rFonts w:ascii="Cambria" w:hAnsi="Cambria" w:cs="Cambria"/>
                <w:color w:val="000000" w:themeColor="text1"/>
                <w:sz w:val="18"/>
                <w:szCs w:val="18"/>
              </w:rPr>
              <w:t>Careaga</w:t>
            </w:r>
            <w:proofErr w:type="spellEnd"/>
            <w:r w:rsidRPr="00524435">
              <w:rPr>
                <w:rFonts w:ascii="Cambria" w:hAnsi="Cambria" w:cs="Cambria"/>
                <w:color w:val="000000" w:themeColor="text1"/>
                <w:sz w:val="18"/>
                <w:szCs w:val="18"/>
              </w:rPr>
              <w:t xml:space="preserve">, and Silvia </w:t>
            </w:r>
            <w:proofErr w:type="spellStart"/>
            <w:r w:rsidRPr="00524435">
              <w:rPr>
                <w:rFonts w:ascii="Cambria" w:hAnsi="Cambria" w:cs="Cambria"/>
                <w:color w:val="000000" w:themeColor="text1"/>
                <w:sz w:val="18"/>
                <w:szCs w:val="18"/>
              </w:rPr>
              <w:t>Maluf</w:t>
            </w:r>
            <w:proofErr w:type="spellEnd"/>
            <w:r w:rsidRPr="00524435">
              <w:rPr>
                <w:rFonts w:ascii="Cambria" w:hAnsi="Cambria" w:cs="Cambria"/>
                <w:color w:val="000000" w:themeColor="text1"/>
                <w:sz w:val="18"/>
                <w:szCs w:val="18"/>
              </w:rPr>
              <w:t xml:space="preserve"> de Christian (Argentina) </w:t>
            </w:r>
          </w:p>
        </w:tc>
        <w:tc>
          <w:tcPr>
            <w:tcW w:w="1125" w:type="dxa"/>
          </w:tcPr>
          <w:p w14:paraId="0F9C34C0" w14:textId="2DF3D25A" w:rsidR="007A5442" w:rsidRPr="00524435" w:rsidRDefault="006B7403" w:rsidP="00C33359">
            <w:pPr>
              <w:ind w:left="72"/>
              <w:jc w:val="center"/>
              <w:rPr>
                <w:rFonts w:ascii="Cambria" w:hAnsi="Cambria"/>
                <w:color w:val="000000" w:themeColor="text1"/>
                <w:sz w:val="18"/>
                <w:szCs w:val="18"/>
                <w:lang w:eastAsia="es-ES_tradnl"/>
              </w:rPr>
            </w:pPr>
            <w:hyperlink r:id="rId80"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14F82267"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6A06085" w14:textId="53BD01BA"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1A3C60E"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02F1C4C2"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1015E667"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567AC54D" w14:textId="77777777" w:rsidTr="00D300E5">
        <w:trPr>
          <w:cnfStyle w:val="000000010000" w:firstRow="0" w:lastRow="0" w:firstColumn="0" w:lastColumn="0" w:oddVBand="0" w:evenVBand="0" w:oddHBand="0" w:evenHBand="1" w:firstRowFirstColumn="0" w:firstRowLastColumn="0" w:lastRowFirstColumn="0" w:lastRowLastColumn="0"/>
          <w:trHeight w:val="37"/>
        </w:trPr>
        <w:tc>
          <w:tcPr>
            <w:tcW w:w="2251" w:type="dxa"/>
          </w:tcPr>
          <w:p w14:paraId="059A2123"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 xml:space="preserve">Cases </w:t>
            </w:r>
            <w:bookmarkStart w:id="8" w:name="BM12_067"/>
            <w:r w:rsidRPr="00524435">
              <w:rPr>
                <w:rFonts w:ascii="Cambria" w:hAnsi="Cambria" w:cs="Cambria"/>
                <w:color w:val="000000" w:themeColor="text1"/>
                <w:sz w:val="18"/>
                <w:szCs w:val="18"/>
              </w:rPr>
              <w:t>12.067</w:t>
            </w:r>
            <w:bookmarkEnd w:id="8"/>
            <w:r w:rsidRPr="00524435">
              <w:rPr>
                <w:rFonts w:ascii="Cambria" w:hAnsi="Cambria" w:cs="Cambria"/>
                <w:color w:val="000000" w:themeColor="text1"/>
                <w:sz w:val="18"/>
                <w:szCs w:val="18"/>
              </w:rPr>
              <w:t xml:space="preserve">, 12.068 &amp; 12.086, Report </w:t>
            </w:r>
            <w:r w:rsidRPr="00524435">
              <w:rPr>
                <w:rFonts w:ascii="Cambria" w:hAnsi="Cambria" w:cs="Cambria"/>
                <w:color w:val="000000" w:themeColor="text1"/>
                <w:sz w:val="18"/>
                <w:szCs w:val="18"/>
              </w:rPr>
              <w:br/>
              <w:t xml:space="preserve">No. 48/01, Michael </w:t>
            </w:r>
            <w:r w:rsidRPr="00524435">
              <w:rPr>
                <w:rFonts w:ascii="Cambria" w:hAnsi="Cambria" w:cs="Cambria"/>
                <w:color w:val="000000" w:themeColor="text1"/>
                <w:sz w:val="18"/>
                <w:szCs w:val="18"/>
              </w:rPr>
              <w:lastRenderedPageBreak/>
              <w:t xml:space="preserve">Edwards, Omar Hall, Brian </w:t>
            </w:r>
            <w:proofErr w:type="spellStart"/>
            <w:r w:rsidRPr="00524435">
              <w:rPr>
                <w:rFonts w:ascii="Cambria" w:hAnsi="Cambria" w:cs="Cambria"/>
                <w:color w:val="000000" w:themeColor="text1"/>
                <w:sz w:val="18"/>
                <w:szCs w:val="18"/>
              </w:rPr>
              <w:t>Schroeter</w:t>
            </w:r>
            <w:proofErr w:type="spellEnd"/>
            <w:r w:rsidRPr="00524435">
              <w:rPr>
                <w:rFonts w:ascii="Cambria" w:hAnsi="Cambria" w:cs="Cambria"/>
                <w:color w:val="000000" w:themeColor="text1"/>
                <w:sz w:val="18"/>
                <w:szCs w:val="18"/>
              </w:rPr>
              <w:t xml:space="preserve"> and Jeronimo Bowleg (Bahamas)</w:t>
            </w:r>
          </w:p>
        </w:tc>
        <w:tc>
          <w:tcPr>
            <w:tcW w:w="1125" w:type="dxa"/>
          </w:tcPr>
          <w:p w14:paraId="04F5FE5E" w14:textId="77777777" w:rsidR="007A5442" w:rsidRPr="00524435" w:rsidRDefault="007A5442" w:rsidP="00C33359">
            <w:pPr>
              <w:jc w:val="center"/>
              <w:rPr>
                <w:rFonts w:ascii="Cambria" w:hAnsi="Cambria" w:cs="Cambria"/>
                <w:color w:val="000000" w:themeColor="text1"/>
                <w:sz w:val="18"/>
                <w:szCs w:val="18"/>
                <w:lang w:eastAsia="es-ES_tradnl"/>
              </w:rPr>
            </w:pPr>
          </w:p>
          <w:p w14:paraId="6C2C1248" w14:textId="1CEE479D" w:rsidR="007A5442" w:rsidRPr="00524435" w:rsidRDefault="006B7403" w:rsidP="00C33359">
            <w:pPr>
              <w:jc w:val="center"/>
              <w:rPr>
                <w:rFonts w:ascii="Cambria" w:hAnsi="Cambria"/>
                <w:color w:val="000000" w:themeColor="text1"/>
                <w:sz w:val="18"/>
                <w:szCs w:val="18"/>
              </w:rPr>
            </w:pPr>
            <w:hyperlink r:id="rId81"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2682D8D3"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1C64A34" w14:textId="0E4C7721"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5F19A0A7"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753518EE"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110A62BE"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64492736" w14:textId="77777777" w:rsidTr="00D300E5">
        <w:trPr>
          <w:cnfStyle w:val="000000100000" w:firstRow="0" w:lastRow="0" w:firstColumn="0" w:lastColumn="0" w:oddVBand="0" w:evenVBand="0" w:oddHBand="1" w:evenHBand="0" w:firstRowFirstColumn="0" w:firstRowLastColumn="0" w:lastRowFirstColumn="0" w:lastRowLastColumn="0"/>
          <w:trHeight w:val="30"/>
        </w:trPr>
        <w:tc>
          <w:tcPr>
            <w:tcW w:w="2251" w:type="dxa"/>
          </w:tcPr>
          <w:p w14:paraId="3EEFF03E"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 xml:space="preserve">Case 12.265, Report No. 78/07, Chad Roger </w:t>
            </w:r>
            <w:r w:rsidRPr="00524435">
              <w:rPr>
                <w:rFonts w:ascii="Cambria" w:hAnsi="Cambria" w:cs="Cambria"/>
                <w:color w:val="000000" w:themeColor="text1"/>
                <w:sz w:val="18"/>
                <w:szCs w:val="18"/>
              </w:rPr>
              <w:br/>
              <w:t>Goodman (Bahamas)</w:t>
            </w:r>
          </w:p>
        </w:tc>
        <w:tc>
          <w:tcPr>
            <w:tcW w:w="1125" w:type="dxa"/>
          </w:tcPr>
          <w:p w14:paraId="15E04920" w14:textId="745A6DC2" w:rsidR="007A5442" w:rsidRPr="00524435" w:rsidRDefault="006B7403" w:rsidP="00C33359">
            <w:pPr>
              <w:jc w:val="center"/>
              <w:rPr>
                <w:rFonts w:ascii="Cambria" w:hAnsi="Cambria"/>
                <w:color w:val="000000" w:themeColor="text1"/>
                <w:sz w:val="18"/>
                <w:szCs w:val="18"/>
              </w:rPr>
            </w:pPr>
            <w:hyperlink r:id="rId82"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0E097477"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586218DB" w14:textId="04C4D419"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660674B"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7B678B00"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4E4C6846"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6893A2EA" w14:textId="77777777" w:rsidTr="00D300E5">
        <w:trPr>
          <w:cnfStyle w:val="000000010000" w:firstRow="0" w:lastRow="0" w:firstColumn="0" w:lastColumn="0" w:oddVBand="0" w:evenVBand="0" w:oddHBand="0" w:evenHBand="1" w:firstRowFirstColumn="0" w:firstRowLastColumn="0" w:lastRowFirstColumn="0" w:lastRowLastColumn="0"/>
          <w:trHeight w:val="35"/>
        </w:trPr>
        <w:tc>
          <w:tcPr>
            <w:tcW w:w="2251" w:type="dxa"/>
          </w:tcPr>
          <w:p w14:paraId="65721E07"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 xml:space="preserve">Case 12.513, Report No. 79/07, Prince Pinder </w:t>
            </w:r>
            <w:r w:rsidRPr="00524435">
              <w:rPr>
                <w:rFonts w:ascii="Cambria" w:hAnsi="Cambria" w:cs="Cambria"/>
                <w:color w:val="000000" w:themeColor="text1"/>
                <w:sz w:val="18"/>
                <w:szCs w:val="18"/>
              </w:rPr>
              <w:br/>
              <w:t>(Bahamas)</w:t>
            </w:r>
          </w:p>
        </w:tc>
        <w:tc>
          <w:tcPr>
            <w:tcW w:w="1125" w:type="dxa"/>
          </w:tcPr>
          <w:p w14:paraId="65F6E375" w14:textId="24893284" w:rsidR="007A5442" w:rsidRPr="00524435" w:rsidRDefault="006B7403" w:rsidP="00C33359">
            <w:pPr>
              <w:jc w:val="center"/>
              <w:rPr>
                <w:rFonts w:ascii="Cambria" w:hAnsi="Cambria"/>
                <w:color w:val="000000" w:themeColor="text1"/>
                <w:sz w:val="18"/>
                <w:szCs w:val="18"/>
              </w:rPr>
            </w:pPr>
            <w:hyperlink r:id="rId83"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07C7A137"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B80F571" w14:textId="1BC5A13F"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D54C625"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284247F8"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11CFB65C"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17EA514C" w14:textId="77777777" w:rsidTr="00D300E5">
        <w:trPr>
          <w:cnfStyle w:val="000000100000" w:firstRow="0" w:lastRow="0" w:firstColumn="0" w:lastColumn="0" w:oddVBand="0" w:evenVBand="0" w:oddHBand="1" w:evenHBand="0" w:firstRowFirstColumn="0" w:firstRowLastColumn="0" w:lastRowFirstColumn="0" w:lastRowLastColumn="0"/>
          <w:trHeight w:val="30"/>
        </w:trPr>
        <w:tc>
          <w:tcPr>
            <w:tcW w:w="2251" w:type="dxa"/>
          </w:tcPr>
          <w:p w14:paraId="02DDCD65"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Case 12.231, Report No. 12/14, Peter Cash (Bahamas)</w:t>
            </w:r>
          </w:p>
        </w:tc>
        <w:tc>
          <w:tcPr>
            <w:tcW w:w="1125" w:type="dxa"/>
          </w:tcPr>
          <w:p w14:paraId="121D3BC4" w14:textId="14A526E5" w:rsidR="007A5442" w:rsidRPr="00524435" w:rsidRDefault="006B7403" w:rsidP="00C33359">
            <w:pPr>
              <w:jc w:val="center"/>
              <w:rPr>
                <w:rFonts w:ascii="Cambria" w:hAnsi="Cambria"/>
                <w:color w:val="000000" w:themeColor="text1"/>
                <w:sz w:val="18"/>
                <w:szCs w:val="18"/>
              </w:rPr>
            </w:pPr>
            <w:hyperlink r:id="rId84"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2C8A141D"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68A77CB" w14:textId="10807EB8"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92269F6"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0847B339"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41B355AB"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30556A82" w14:textId="77777777" w:rsidTr="00D300E5">
        <w:trPr>
          <w:cnfStyle w:val="000000010000" w:firstRow="0" w:lastRow="0" w:firstColumn="0" w:lastColumn="0" w:oddVBand="0" w:evenVBand="0" w:oddHBand="0" w:evenHBand="1" w:firstRowFirstColumn="0" w:firstRowLastColumn="0" w:lastRowFirstColumn="0" w:lastRowLastColumn="0"/>
          <w:trHeight w:val="29"/>
        </w:trPr>
        <w:tc>
          <w:tcPr>
            <w:tcW w:w="2251" w:type="dxa"/>
          </w:tcPr>
          <w:p w14:paraId="133D91BA" w14:textId="77777777" w:rsidR="007A5442" w:rsidRPr="00524435" w:rsidRDefault="007A5442" w:rsidP="00C33359">
            <w:pPr>
              <w:ind w:right="72"/>
              <w:rPr>
                <w:rFonts w:ascii="Cambria" w:hAnsi="Cambria"/>
                <w:color w:val="000000" w:themeColor="text1"/>
                <w:sz w:val="18"/>
                <w:szCs w:val="18"/>
              </w:rPr>
            </w:pPr>
            <w:r w:rsidRPr="00524435">
              <w:rPr>
                <w:rFonts w:ascii="Cambria" w:hAnsi="Cambria" w:cs="Cambria"/>
                <w:color w:val="000000" w:themeColor="text1"/>
                <w:sz w:val="18"/>
                <w:szCs w:val="18"/>
              </w:rPr>
              <w:t xml:space="preserve">Case </w:t>
            </w:r>
            <w:bookmarkStart w:id="9" w:name="BM12_053_"/>
            <w:r w:rsidRPr="00524435">
              <w:rPr>
                <w:rFonts w:ascii="Cambria" w:hAnsi="Cambria" w:cs="Cambria"/>
                <w:color w:val="000000" w:themeColor="text1"/>
                <w:sz w:val="18"/>
                <w:szCs w:val="18"/>
              </w:rPr>
              <w:t>12.053,</w:t>
            </w:r>
            <w:bookmarkEnd w:id="9"/>
            <w:r w:rsidRPr="00524435">
              <w:rPr>
                <w:rFonts w:ascii="Cambria" w:hAnsi="Cambria" w:cs="Cambria"/>
                <w:color w:val="000000" w:themeColor="text1"/>
                <w:sz w:val="18"/>
                <w:szCs w:val="18"/>
              </w:rPr>
              <w:t xml:space="preserve"> Report No. 40/04, Mayan Indigenous Community of the Toledo District (Belize)</w:t>
            </w:r>
          </w:p>
        </w:tc>
        <w:tc>
          <w:tcPr>
            <w:tcW w:w="1125" w:type="dxa"/>
          </w:tcPr>
          <w:p w14:paraId="3C0C3A21" w14:textId="76826E23" w:rsidR="007A5442" w:rsidRPr="00524435" w:rsidRDefault="006B7403" w:rsidP="00C33359">
            <w:pPr>
              <w:jc w:val="center"/>
              <w:rPr>
                <w:rFonts w:ascii="Cambria" w:hAnsi="Cambria"/>
                <w:color w:val="000000" w:themeColor="text1"/>
                <w:sz w:val="18"/>
                <w:szCs w:val="18"/>
              </w:rPr>
            </w:pPr>
            <w:hyperlink r:id="rId85"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5119C7E3"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C1EC840" w14:textId="48326A03"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3F504F0"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69CB1BD0"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2FF6F658"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48AEE39E" w14:textId="77777777" w:rsidTr="00D300E5">
        <w:trPr>
          <w:cnfStyle w:val="000000100000" w:firstRow="0" w:lastRow="0" w:firstColumn="0" w:lastColumn="0" w:oddVBand="0" w:evenVBand="0" w:oddHBand="1" w:evenHBand="0" w:firstRowFirstColumn="0" w:firstRowLastColumn="0" w:lastRowFirstColumn="0" w:lastRowLastColumn="0"/>
          <w:trHeight w:val="35"/>
        </w:trPr>
        <w:tc>
          <w:tcPr>
            <w:tcW w:w="2251" w:type="dxa"/>
          </w:tcPr>
          <w:p w14:paraId="57E3BD37" w14:textId="77777777" w:rsidR="007A5442" w:rsidRPr="007A5442" w:rsidRDefault="007A5442" w:rsidP="00C33359">
            <w:pPr>
              <w:rPr>
                <w:rFonts w:ascii="Cambria" w:hAnsi="Cambria"/>
                <w:color w:val="000000" w:themeColor="text1"/>
                <w:sz w:val="18"/>
                <w:szCs w:val="18"/>
                <w:lang w:val="pt-PT"/>
              </w:rPr>
            </w:pPr>
            <w:r w:rsidRPr="007A5442">
              <w:rPr>
                <w:rFonts w:ascii="Cambria" w:hAnsi="Cambria" w:cs="Cambria"/>
                <w:color w:val="000000" w:themeColor="text1"/>
                <w:sz w:val="18"/>
                <w:szCs w:val="18"/>
                <w:lang w:val="pt-PT"/>
              </w:rPr>
              <w:t xml:space="preserve">Case </w:t>
            </w:r>
            <w:bookmarkStart w:id="10" w:name="BM12_051"/>
            <w:r w:rsidRPr="007A5442">
              <w:rPr>
                <w:rFonts w:ascii="Cambria" w:hAnsi="Cambria" w:cs="Cambria"/>
                <w:color w:val="000000" w:themeColor="text1"/>
                <w:sz w:val="18"/>
                <w:szCs w:val="18"/>
                <w:lang w:val="pt-PT"/>
              </w:rPr>
              <w:t>12.051</w:t>
            </w:r>
            <w:bookmarkEnd w:id="10"/>
            <w:r w:rsidRPr="007A5442">
              <w:rPr>
                <w:rFonts w:ascii="Cambria" w:hAnsi="Cambria" w:cs="Cambria"/>
                <w:color w:val="000000" w:themeColor="text1"/>
                <w:sz w:val="18"/>
                <w:szCs w:val="18"/>
                <w:lang w:val="pt-PT"/>
              </w:rPr>
              <w:t>, Report No. 54/01, Maria da Penha Maia Fernandes (Brazil)</w:t>
            </w:r>
          </w:p>
        </w:tc>
        <w:tc>
          <w:tcPr>
            <w:tcW w:w="1125" w:type="dxa"/>
          </w:tcPr>
          <w:p w14:paraId="56DEC577" w14:textId="100788AB" w:rsidR="007A5442" w:rsidRPr="00524435" w:rsidRDefault="006B7403" w:rsidP="00C33359">
            <w:pPr>
              <w:jc w:val="center"/>
              <w:rPr>
                <w:rFonts w:ascii="Cambria" w:hAnsi="Cambria"/>
                <w:color w:val="000000" w:themeColor="text1"/>
                <w:sz w:val="18"/>
                <w:szCs w:val="18"/>
              </w:rPr>
            </w:pPr>
            <w:hyperlink r:id="rId86"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1C94DA05"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B4A41F1" w14:textId="65161E4A"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AD0A0FB"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20BC7C47"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79F86105"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4AAB7BD3" w14:textId="77777777" w:rsidTr="00D300E5">
        <w:trPr>
          <w:cnfStyle w:val="000000010000" w:firstRow="0" w:lastRow="0" w:firstColumn="0" w:lastColumn="0" w:oddVBand="0" w:evenVBand="0" w:oddHBand="0" w:evenHBand="1" w:firstRowFirstColumn="0" w:firstRowLastColumn="0" w:lastRowFirstColumn="0" w:lastRowLastColumn="0"/>
          <w:trHeight w:val="37"/>
        </w:trPr>
        <w:tc>
          <w:tcPr>
            <w:tcW w:w="2251" w:type="dxa"/>
          </w:tcPr>
          <w:p w14:paraId="785F0654"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 xml:space="preserve">Cases </w:t>
            </w:r>
            <w:bookmarkStart w:id="11" w:name="BM11_286"/>
            <w:r w:rsidRPr="00524435">
              <w:rPr>
                <w:rFonts w:ascii="Cambria" w:hAnsi="Cambria" w:cs="Cambria"/>
                <w:color w:val="000000" w:themeColor="text1"/>
                <w:sz w:val="18"/>
                <w:szCs w:val="18"/>
              </w:rPr>
              <w:t>11.286</w:t>
            </w:r>
            <w:bookmarkEnd w:id="11"/>
            <w:r w:rsidRPr="00524435">
              <w:rPr>
                <w:rFonts w:ascii="Cambria" w:hAnsi="Cambria" w:cs="Cambria"/>
                <w:color w:val="000000" w:themeColor="text1"/>
                <w:sz w:val="18"/>
                <w:szCs w:val="18"/>
              </w:rPr>
              <w:t xml:space="preserve">, 11.406, 11.407, 11.412, 11.413, 11.415, 11.416 &amp; 11.417, Report No. 55/01, </w:t>
            </w:r>
            <w:proofErr w:type="spellStart"/>
            <w:r w:rsidRPr="00524435">
              <w:rPr>
                <w:rFonts w:ascii="Cambria" w:hAnsi="Cambria" w:cs="Cambria"/>
                <w:color w:val="000000" w:themeColor="text1"/>
                <w:sz w:val="18"/>
                <w:szCs w:val="18"/>
              </w:rPr>
              <w:t>Aluísio</w:t>
            </w:r>
            <w:proofErr w:type="spellEnd"/>
            <w:r w:rsidRPr="00524435">
              <w:rPr>
                <w:rFonts w:ascii="Cambria" w:hAnsi="Cambria" w:cs="Cambria"/>
                <w:color w:val="000000" w:themeColor="text1"/>
                <w:sz w:val="18"/>
                <w:szCs w:val="18"/>
              </w:rPr>
              <w:t xml:space="preserve"> Cavalcante and others (Brazil)</w:t>
            </w:r>
          </w:p>
        </w:tc>
        <w:tc>
          <w:tcPr>
            <w:tcW w:w="1125" w:type="dxa"/>
          </w:tcPr>
          <w:p w14:paraId="7082ADDD" w14:textId="491AA711" w:rsidR="007A5442" w:rsidRPr="00524435" w:rsidRDefault="006B7403" w:rsidP="00C33359">
            <w:pPr>
              <w:jc w:val="center"/>
              <w:rPr>
                <w:rFonts w:ascii="Cambria" w:hAnsi="Cambria"/>
                <w:color w:val="000000" w:themeColor="text1"/>
                <w:sz w:val="18"/>
                <w:szCs w:val="18"/>
              </w:rPr>
            </w:pPr>
            <w:hyperlink r:id="rId87"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6E58EC50"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6054E01C" w14:textId="157CC331"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3267082"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64B6F900"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5A7B63AB"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46C02D4E" w14:textId="77777777" w:rsidTr="00D300E5">
        <w:trPr>
          <w:cnfStyle w:val="000000100000" w:firstRow="0" w:lastRow="0" w:firstColumn="0" w:lastColumn="0" w:oddVBand="0" w:evenVBand="0" w:oddHBand="1" w:evenHBand="0" w:firstRowFirstColumn="0" w:firstRowLastColumn="0" w:lastRowFirstColumn="0" w:lastRowLastColumn="0"/>
          <w:trHeight w:val="33"/>
        </w:trPr>
        <w:tc>
          <w:tcPr>
            <w:tcW w:w="2251" w:type="dxa"/>
          </w:tcPr>
          <w:p w14:paraId="2FBA2C4A" w14:textId="77777777" w:rsidR="007A5442" w:rsidRPr="007A5442" w:rsidRDefault="007A5442" w:rsidP="00C33359">
            <w:pPr>
              <w:rPr>
                <w:rFonts w:ascii="Cambria" w:hAnsi="Cambria"/>
                <w:color w:val="000000" w:themeColor="text1"/>
                <w:sz w:val="18"/>
                <w:szCs w:val="18"/>
                <w:lang w:val="pt-PT"/>
              </w:rPr>
            </w:pPr>
            <w:r w:rsidRPr="007A5442">
              <w:rPr>
                <w:rFonts w:ascii="Cambria" w:hAnsi="Cambria" w:cs="Cambria"/>
                <w:color w:val="000000" w:themeColor="text1"/>
                <w:sz w:val="18"/>
                <w:szCs w:val="18"/>
                <w:lang w:val="pt-PT"/>
              </w:rPr>
              <w:t xml:space="preserve">Case </w:t>
            </w:r>
            <w:bookmarkStart w:id="12" w:name="BM11_517"/>
            <w:r w:rsidRPr="007A5442">
              <w:rPr>
                <w:rFonts w:ascii="Cambria" w:hAnsi="Cambria" w:cs="Cambria"/>
                <w:color w:val="000000" w:themeColor="text1"/>
                <w:sz w:val="18"/>
                <w:szCs w:val="18"/>
                <w:lang w:val="pt-PT"/>
              </w:rPr>
              <w:t>11.517</w:t>
            </w:r>
            <w:bookmarkEnd w:id="12"/>
            <w:r w:rsidRPr="007A5442">
              <w:rPr>
                <w:rFonts w:ascii="Cambria" w:hAnsi="Cambria" w:cs="Cambria"/>
                <w:color w:val="000000" w:themeColor="text1"/>
                <w:sz w:val="18"/>
                <w:szCs w:val="18"/>
                <w:lang w:val="pt-PT"/>
              </w:rPr>
              <w:t>, Report No. 23/02, Diniz Bento da Silva (Brazil)</w:t>
            </w:r>
          </w:p>
        </w:tc>
        <w:tc>
          <w:tcPr>
            <w:tcW w:w="1125" w:type="dxa"/>
          </w:tcPr>
          <w:p w14:paraId="1441D62C" w14:textId="67885B06" w:rsidR="007A5442" w:rsidRPr="00524435" w:rsidRDefault="006B7403" w:rsidP="00C33359">
            <w:pPr>
              <w:jc w:val="center"/>
              <w:rPr>
                <w:rFonts w:ascii="Cambria" w:hAnsi="Cambria"/>
                <w:color w:val="000000" w:themeColor="text1"/>
                <w:sz w:val="18"/>
                <w:szCs w:val="18"/>
              </w:rPr>
            </w:pPr>
            <w:hyperlink r:id="rId88"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07810EF9"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CC20DCE" w14:textId="646EBE22"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B987E09"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2428162F"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30E7C6BE"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483E659B" w14:textId="77777777" w:rsidTr="00D300E5">
        <w:trPr>
          <w:cnfStyle w:val="000000010000" w:firstRow="0" w:lastRow="0" w:firstColumn="0" w:lastColumn="0" w:oddVBand="0" w:evenVBand="0" w:oddHBand="0" w:evenHBand="1" w:firstRowFirstColumn="0" w:firstRowLastColumn="0" w:lastRowFirstColumn="0" w:lastRowLastColumn="0"/>
          <w:trHeight w:val="30"/>
        </w:trPr>
        <w:tc>
          <w:tcPr>
            <w:tcW w:w="2251" w:type="dxa"/>
          </w:tcPr>
          <w:p w14:paraId="5596F1B6" w14:textId="77777777" w:rsidR="007A5442" w:rsidRPr="007A5442" w:rsidRDefault="007A5442" w:rsidP="00C33359">
            <w:pPr>
              <w:rPr>
                <w:rFonts w:ascii="Cambria" w:hAnsi="Cambria"/>
                <w:color w:val="000000" w:themeColor="text1"/>
                <w:sz w:val="18"/>
                <w:szCs w:val="18"/>
                <w:lang w:val="pt-PT"/>
              </w:rPr>
            </w:pPr>
            <w:r w:rsidRPr="007A5442">
              <w:rPr>
                <w:rFonts w:ascii="Cambria" w:hAnsi="Cambria" w:cs="Cambria"/>
                <w:color w:val="000000" w:themeColor="text1"/>
                <w:sz w:val="18"/>
                <w:szCs w:val="18"/>
                <w:lang w:val="pt-PT"/>
              </w:rPr>
              <w:t xml:space="preserve">Case </w:t>
            </w:r>
            <w:bookmarkStart w:id="13" w:name="BM10_301"/>
            <w:r w:rsidRPr="007A5442">
              <w:rPr>
                <w:rFonts w:ascii="Cambria" w:hAnsi="Cambria" w:cs="Cambria"/>
                <w:color w:val="000000" w:themeColor="text1"/>
                <w:sz w:val="18"/>
                <w:szCs w:val="18"/>
                <w:lang w:val="pt-PT"/>
              </w:rPr>
              <w:t>10.301</w:t>
            </w:r>
            <w:bookmarkEnd w:id="13"/>
            <w:r w:rsidRPr="007A5442">
              <w:rPr>
                <w:rFonts w:ascii="Cambria" w:hAnsi="Cambria" w:cs="Cambria"/>
                <w:color w:val="000000" w:themeColor="text1"/>
                <w:sz w:val="18"/>
                <w:szCs w:val="18"/>
                <w:lang w:val="pt-PT"/>
              </w:rPr>
              <w:t>, Report No. 40/03, Parque São Lucas (Brazil)</w:t>
            </w:r>
          </w:p>
        </w:tc>
        <w:tc>
          <w:tcPr>
            <w:tcW w:w="1125" w:type="dxa"/>
          </w:tcPr>
          <w:p w14:paraId="1AC3ADEF" w14:textId="587F2E4D" w:rsidR="007A5442" w:rsidRPr="00524435" w:rsidRDefault="006B7403" w:rsidP="00C33359">
            <w:pPr>
              <w:jc w:val="center"/>
              <w:rPr>
                <w:rFonts w:ascii="Cambria" w:hAnsi="Cambria"/>
                <w:color w:val="000000" w:themeColor="text1"/>
                <w:sz w:val="18"/>
                <w:szCs w:val="18"/>
              </w:rPr>
            </w:pPr>
            <w:hyperlink r:id="rId89"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0680571D"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5FF462FE" w14:textId="7D281A2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D869AD1"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6FEE1705"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1BF60584"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5A3B1A55" w14:textId="77777777" w:rsidTr="00D300E5">
        <w:trPr>
          <w:cnfStyle w:val="000000100000" w:firstRow="0" w:lastRow="0" w:firstColumn="0" w:lastColumn="0" w:oddVBand="0" w:evenVBand="0" w:oddHBand="1" w:evenHBand="0" w:firstRowFirstColumn="0" w:firstRowLastColumn="0" w:lastRowFirstColumn="0" w:lastRowLastColumn="0"/>
          <w:trHeight w:val="29"/>
        </w:trPr>
        <w:tc>
          <w:tcPr>
            <w:tcW w:w="2251" w:type="dxa"/>
          </w:tcPr>
          <w:p w14:paraId="1CCCBE2F"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 xml:space="preserve">Case 11.556, Report No. 32/04, </w:t>
            </w:r>
            <w:proofErr w:type="spellStart"/>
            <w:r w:rsidRPr="00524435">
              <w:rPr>
                <w:rFonts w:ascii="Cambria" w:hAnsi="Cambria" w:cs="Cambria"/>
                <w:color w:val="000000" w:themeColor="text1"/>
                <w:sz w:val="18"/>
                <w:szCs w:val="18"/>
              </w:rPr>
              <w:t>Corumbiara</w:t>
            </w:r>
            <w:proofErr w:type="spellEnd"/>
            <w:r w:rsidRPr="00524435">
              <w:rPr>
                <w:rFonts w:ascii="Cambria" w:hAnsi="Cambria" w:cs="Cambria"/>
                <w:color w:val="000000" w:themeColor="text1"/>
                <w:sz w:val="18"/>
                <w:szCs w:val="18"/>
              </w:rPr>
              <w:t xml:space="preserve"> (Brazil)</w:t>
            </w:r>
          </w:p>
        </w:tc>
        <w:tc>
          <w:tcPr>
            <w:tcW w:w="1125" w:type="dxa"/>
          </w:tcPr>
          <w:p w14:paraId="75A8C080" w14:textId="446E5387" w:rsidR="007A5442" w:rsidRPr="00524435" w:rsidRDefault="006B7403" w:rsidP="00C33359">
            <w:pPr>
              <w:jc w:val="center"/>
              <w:rPr>
                <w:rFonts w:ascii="Cambria" w:hAnsi="Cambria"/>
                <w:color w:val="000000" w:themeColor="text1"/>
                <w:sz w:val="18"/>
                <w:szCs w:val="18"/>
              </w:rPr>
            </w:pPr>
            <w:hyperlink r:id="rId90"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3A1D45BF"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65EDEDE0" w14:textId="049A9A4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3CBA27B"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66254F67"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40641309"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6906FC79" w14:textId="77777777" w:rsidTr="00D300E5">
        <w:trPr>
          <w:cnfStyle w:val="000000010000" w:firstRow="0" w:lastRow="0" w:firstColumn="0" w:lastColumn="0" w:oddVBand="0" w:evenVBand="0" w:oddHBand="0" w:evenHBand="1" w:firstRowFirstColumn="0" w:firstRowLastColumn="0" w:lastRowFirstColumn="0" w:lastRowLastColumn="0"/>
          <w:trHeight w:val="30"/>
        </w:trPr>
        <w:tc>
          <w:tcPr>
            <w:tcW w:w="2251" w:type="dxa"/>
          </w:tcPr>
          <w:p w14:paraId="286E1575" w14:textId="77777777" w:rsidR="007A5442" w:rsidRPr="006B7403" w:rsidRDefault="007A5442" w:rsidP="00C33359">
            <w:pPr>
              <w:rPr>
                <w:rFonts w:ascii="Cambria" w:hAnsi="Cambria"/>
                <w:color w:val="000000" w:themeColor="text1"/>
                <w:sz w:val="18"/>
                <w:szCs w:val="18"/>
                <w:lang w:val="pt-BR"/>
              </w:rPr>
            </w:pPr>
            <w:r w:rsidRPr="006B7403">
              <w:rPr>
                <w:rFonts w:ascii="Cambria" w:hAnsi="Cambria" w:cs="Cambria"/>
                <w:color w:val="000000" w:themeColor="text1"/>
                <w:sz w:val="18"/>
                <w:szCs w:val="18"/>
                <w:lang w:val="pt-BR"/>
              </w:rPr>
              <w:t xml:space="preserve">Case </w:t>
            </w:r>
            <w:bookmarkStart w:id="14" w:name="BM11_634"/>
            <w:r w:rsidRPr="006B7403">
              <w:rPr>
                <w:rFonts w:ascii="Cambria" w:hAnsi="Cambria" w:cs="Cambria"/>
                <w:color w:val="000000" w:themeColor="text1"/>
                <w:sz w:val="18"/>
                <w:szCs w:val="18"/>
                <w:lang w:val="pt-BR"/>
              </w:rPr>
              <w:t>11.634</w:t>
            </w:r>
            <w:bookmarkEnd w:id="14"/>
            <w:r w:rsidRPr="006B7403">
              <w:rPr>
                <w:rFonts w:ascii="Cambria" w:hAnsi="Cambria" w:cs="Cambria"/>
                <w:color w:val="000000" w:themeColor="text1"/>
                <w:sz w:val="18"/>
                <w:szCs w:val="18"/>
                <w:lang w:val="pt-BR"/>
              </w:rPr>
              <w:t>, Report No. 33/04, Jailton Neri da Fonseca (Brazil)</w:t>
            </w:r>
          </w:p>
        </w:tc>
        <w:tc>
          <w:tcPr>
            <w:tcW w:w="1125" w:type="dxa"/>
          </w:tcPr>
          <w:p w14:paraId="2239F688" w14:textId="7A6D1AA2" w:rsidR="007A5442" w:rsidRPr="00524435" w:rsidRDefault="006B7403" w:rsidP="00C33359">
            <w:pPr>
              <w:jc w:val="center"/>
              <w:rPr>
                <w:rFonts w:ascii="Cambria" w:hAnsi="Cambria"/>
                <w:color w:val="000000" w:themeColor="text1"/>
                <w:sz w:val="18"/>
                <w:szCs w:val="18"/>
              </w:rPr>
            </w:pPr>
            <w:r>
              <w:fldChar w:fldCharType="begin"/>
            </w:r>
            <w:r>
              <w:instrText xml:space="preserve"> HYPERLINK "https://www.oas.org/en/iachr/docs/annual/2021/docs/IA2021cap.2.g.B</w:instrText>
            </w:r>
            <w:r>
              <w:instrText xml:space="preserve">R11.634-en.docx" </w:instrText>
            </w:r>
            <w:r>
              <w:fldChar w:fldCharType="separate"/>
            </w:r>
            <w:r w:rsidR="007A5442" w:rsidRPr="00524435">
              <w:rPr>
                <w:rStyle w:val="Hyperlink"/>
                <w:rFonts w:ascii="Cambria" w:hAnsi="Cambria" w:cs="Cambria"/>
                <w:color w:val="000000" w:themeColor="text1"/>
                <w:sz w:val="18"/>
                <w:szCs w:val="18"/>
                <w:lang w:eastAsia="es-ES_tradnl"/>
              </w:rPr>
              <w:t>Link</w:t>
            </w:r>
            <w:r>
              <w:rPr>
                <w:rStyle w:val="Hyperlink"/>
                <w:rFonts w:ascii="Cambria" w:hAnsi="Cambria" w:cs="Cambria"/>
                <w:color w:val="000000" w:themeColor="text1"/>
                <w:sz w:val="18"/>
                <w:szCs w:val="18"/>
                <w:lang w:eastAsia="es-ES_tradnl"/>
              </w:rPr>
              <w:fldChar w:fldCharType="end"/>
            </w:r>
          </w:p>
        </w:tc>
        <w:tc>
          <w:tcPr>
            <w:tcW w:w="1275" w:type="dxa"/>
          </w:tcPr>
          <w:p w14:paraId="5A789430"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4B38EC2" w14:textId="100993D2"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177869AB"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017A79A6"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52999571"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564515AB" w14:textId="77777777" w:rsidTr="00D300E5">
        <w:trPr>
          <w:cnfStyle w:val="000000100000" w:firstRow="0" w:lastRow="0" w:firstColumn="0" w:lastColumn="0" w:oddVBand="0" w:evenVBand="0" w:oddHBand="1" w:evenHBand="0" w:firstRowFirstColumn="0" w:firstRowLastColumn="0" w:lastRowFirstColumn="0" w:lastRowLastColumn="0"/>
          <w:trHeight w:val="29"/>
        </w:trPr>
        <w:tc>
          <w:tcPr>
            <w:tcW w:w="2251" w:type="dxa"/>
          </w:tcPr>
          <w:p w14:paraId="4C108CE4"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 xml:space="preserve">Case 12.001, Report No. 66/06, Simone André </w:t>
            </w:r>
            <w:proofErr w:type="spellStart"/>
            <w:r w:rsidRPr="00524435">
              <w:rPr>
                <w:rFonts w:ascii="Cambria" w:hAnsi="Cambria" w:cs="Cambria"/>
                <w:color w:val="000000" w:themeColor="text1"/>
                <w:sz w:val="18"/>
                <w:szCs w:val="18"/>
              </w:rPr>
              <w:t>Diniz</w:t>
            </w:r>
            <w:proofErr w:type="spellEnd"/>
            <w:r w:rsidRPr="00524435">
              <w:rPr>
                <w:rFonts w:ascii="Cambria" w:hAnsi="Cambria" w:cs="Cambria"/>
                <w:color w:val="000000" w:themeColor="text1"/>
                <w:sz w:val="18"/>
                <w:szCs w:val="18"/>
              </w:rPr>
              <w:t xml:space="preserve"> (Brazil)</w:t>
            </w:r>
          </w:p>
        </w:tc>
        <w:tc>
          <w:tcPr>
            <w:tcW w:w="1125" w:type="dxa"/>
          </w:tcPr>
          <w:p w14:paraId="31F9E5FD" w14:textId="0F69FD95" w:rsidR="007A5442" w:rsidRPr="00524435" w:rsidRDefault="006B7403" w:rsidP="00C33359">
            <w:pPr>
              <w:jc w:val="center"/>
              <w:rPr>
                <w:rFonts w:ascii="Cambria" w:hAnsi="Cambria"/>
                <w:color w:val="000000" w:themeColor="text1"/>
                <w:sz w:val="18"/>
                <w:szCs w:val="18"/>
              </w:rPr>
            </w:pPr>
            <w:hyperlink r:id="rId91"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665058AF"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5AF8E89C" w14:textId="5ED9D86B"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1A009060"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22AF7557"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40354281"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799E7DB3" w14:textId="77777777" w:rsidTr="00D300E5">
        <w:trPr>
          <w:cnfStyle w:val="000000010000" w:firstRow="0" w:lastRow="0" w:firstColumn="0" w:lastColumn="0" w:oddVBand="0" w:evenVBand="0" w:oddHBand="0" w:evenHBand="1" w:firstRowFirstColumn="0" w:firstRowLastColumn="0" w:lastRowFirstColumn="0" w:lastRowLastColumn="0"/>
          <w:trHeight w:val="29"/>
        </w:trPr>
        <w:tc>
          <w:tcPr>
            <w:tcW w:w="2251" w:type="dxa"/>
          </w:tcPr>
          <w:p w14:paraId="335D33EA" w14:textId="77777777" w:rsidR="007A5442" w:rsidRPr="007A5442" w:rsidRDefault="007A5442" w:rsidP="00C33359">
            <w:pPr>
              <w:rPr>
                <w:rFonts w:ascii="Cambria" w:hAnsi="Cambria"/>
                <w:color w:val="000000" w:themeColor="text1"/>
                <w:sz w:val="18"/>
                <w:szCs w:val="18"/>
                <w:lang w:val="pt-PT"/>
              </w:rPr>
            </w:pPr>
            <w:r w:rsidRPr="007A5442">
              <w:rPr>
                <w:rFonts w:ascii="Cambria" w:hAnsi="Cambria" w:cs="Cambria"/>
                <w:color w:val="000000" w:themeColor="text1"/>
                <w:sz w:val="18"/>
                <w:szCs w:val="18"/>
                <w:lang w:val="pt-PT"/>
              </w:rPr>
              <w:t>Case 12.019, Report No. 35/08, Antonio Ferreira Braga (Brazil)</w:t>
            </w:r>
          </w:p>
        </w:tc>
        <w:tc>
          <w:tcPr>
            <w:tcW w:w="1125" w:type="dxa"/>
          </w:tcPr>
          <w:p w14:paraId="199D55FA" w14:textId="46332421" w:rsidR="007A5442" w:rsidRPr="00524435" w:rsidRDefault="006B7403" w:rsidP="00C33359">
            <w:pPr>
              <w:jc w:val="center"/>
              <w:rPr>
                <w:rFonts w:ascii="Cambria" w:hAnsi="Cambria"/>
                <w:color w:val="000000" w:themeColor="text1"/>
                <w:sz w:val="18"/>
                <w:szCs w:val="18"/>
              </w:rPr>
            </w:pPr>
            <w:hyperlink r:id="rId92"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1840F8BA"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3F8139D" w14:textId="33672D48"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1F1545EE"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0E28716A"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40939A98"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69C69E75" w14:textId="77777777" w:rsidTr="00D300E5">
        <w:trPr>
          <w:cnfStyle w:val="000000100000" w:firstRow="0" w:lastRow="0" w:firstColumn="0" w:lastColumn="0" w:oddVBand="0" w:evenVBand="0" w:oddHBand="1" w:evenHBand="0" w:firstRowFirstColumn="0" w:firstRowLastColumn="0" w:lastRowFirstColumn="0" w:lastRowLastColumn="0"/>
          <w:trHeight w:val="33"/>
        </w:trPr>
        <w:tc>
          <w:tcPr>
            <w:tcW w:w="2251" w:type="dxa"/>
          </w:tcPr>
          <w:p w14:paraId="50493CFA" w14:textId="77777777" w:rsidR="007A5442" w:rsidRPr="007A5442" w:rsidRDefault="007A5442" w:rsidP="00C33359">
            <w:pPr>
              <w:rPr>
                <w:rFonts w:ascii="Cambria" w:hAnsi="Cambria"/>
                <w:color w:val="000000" w:themeColor="text1"/>
                <w:sz w:val="18"/>
                <w:szCs w:val="18"/>
                <w:lang w:val="pt-PT"/>
              </w:rPr>
            </w:pPr>
            <w:r w:rsidRPr="007A5442">
              <w:rPr>
                <w:rFonts w:ascii="Cambria" w:hAnsi="Cambria" w:cs="Cambria"/>
                <w:color w:val="000000" w:themeColor="text1"/>
                <w:sz w:val="18"/>
                <w:szCs w:val="18"/>
                <w:lang w:val="pt-PT"/>
              </w:rPr>
              <w:t>Case 12.310, Report No. 25/09, Sebastião Camargo Filho (Brazil)</w:t>
            </w:r>
          </w:p>
        </w:tc>
        <w:tc>
          <w:tcPr>
            <w:tcW w:w="1125" w:type="dxa"/>
          </w:tcPr>
          <w:p w14:paraId="24B533E4" w14:textId="4F1C29B9" w:rsidR="007A5442" w:rsidRPr="00524435" w:rsidRDefault="006B7403" w:rsidP="00C33359">
            <w:pPr>
              <w:jc w:val="center"/>
              <w:rPr>
                <w:rFonts w:ascii="Cambria" w:hAnsi="Cambria"/>
                <w:color w:val="000000" w:themeColor="text1"/>
                <w:sz w:val="18"/>
                <w:szCs w:val="18"/>
              </w:rPr>
            </w:pPr>
            <w:hyperlink r:id="rId93"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0B36E053"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569468F9" w14:textId="0F92BBAF"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168C0CAC"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15CEF1C3"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3F1D800F"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0AC2322D" w14:textId="77777777" w:rsidTr="00D300E5">
        <w:trPr>
          <w:cnfStyle w:val="000000010000" w:firstRow="0" w:lastRow="0" w:firstColumn="0" w:lastColumn="0" w:oddVBand="0" w:evenVBand="0" w:oddHBand="0" w:evenHBand="1" w:firstRowFirstColumn="0" w:firstRowLastColumn="0" w:lastRowFirstColumn="0" w:lastRowLastColumn="0"/>
          <w:trHeight w:val="31"/>
        </w:trPr>
        <w:tc>
          <w:tcPr>
            <w:tcW w:w="2251" w:type="dxa"/>
          </w:tcPr>
          <w:p w14:paraId="03B9D4A3"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Case 12.440, Report No. 26/09, Wallace de Almeida (Brazil)</w:t>
            </w:r>
          </w:p>
        </w:tc>
        <w:tc>
          <w:tcPr>
            <w:tcW w:w="1125" w:type="dxa"/>
          </w:tcPr>
          <w:p w14:paraId="0B1F146F" w14:textId="7EC56198" w:rsidR="007A5442" w:rsidRPr="00524435" w:rsidRDefault="006B7403" w:rsidP="00C33359">
            <w:pPr>
              <w:jc w:val="center"/>
              <w:rPr>
                <w:rFonts w:ascii="Cambria" w:hAnsi="Cambria"/>
                <w:color w:val="000000" w:themeColor="text1"/>
                <w:sz w:val="18"/>
                <w:szCs w:val="18"/>
              </w:rPr>
            </w:pPr>
            <w:hyperlink r:id="rId94"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20BD7FDA"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25FA809" w14:textId="53488906"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6ABE4692"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20A63F0F"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24CDEB22"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47ADEFAA" w14:textId="77777777" w:rsidTr="00D300E5">
        <w:trPr>
          <w:cnfStyle w:val="000000100000" w:firstRow="0" w:lastRow="0" w:firstColumn="0" w:lastColumn="0" w:oddVBand="0" w:evenVBand="0" w:oddHBand="1" w:evenHBand="0" w:firstRowFirstColumn="0" w:firstRowLastColumn="0" w:lastRowFirstColumn="0" w:lastRowLastColumn="0"/>
          <w:trHeight w:val="29"/>
        </w:trPr>
        <w:tc>
          <w:tcPr>
            <w:tcW w:w="2251" w:type="dxa"/>
          </w:tcPr>
          <w:p w14:paraId="570B8C03" w14:textId="77777777" w:rsidR="007A5442" w:rsidRPr="007A5442" w:rsidRDefault="007A5442" w:rsidP="00C33359">
            <w:pPr>
              <w:rPr>
                <w:rFonts w:ascii="Cambria" w:hAnsi="Cambria"/>
                <w:color w:val="000000" w:themeColor="text1"/>
                <w:sz w:val="18"/>
                <w:szCs w:val="18"/>
                <w:lang w:val="pt-PT"/>
              </w:rPr>
            </w:pPr>
            <w:r w:rsidRPr="007A5442">
              <w:rPr>
                <w:rFonts w:ascii="Cambria" w:hAnsi="Cambria" w:cs="Cambria"/>
                <w:color w:val="000000" w:themeColor="text1"/>
                <w:sz w:val="18"/>
                <w:szCs w:val="18"/>
                <w:lang w:val="pt-PT"/>
              </w:rPr>
              <w:t>Case 12.308, Report No. 37/10, Manoel Leal de Oliveira (Brazil)</w:t>
            </w:r>
          </w:p>
        </w:tc>
        <w:tc>
          <w:tcPr>
            <w:tcW w:w="1125" w:type="dxa"/>
          </w:tcPr>
          <w:p w14:paraId="71073A9C" w14:textId="675373F2" w:rsidR="007A5442" w:rsidRPr="00524435" w:rsidRDefault="006B7403" w:rsidP="00C33359">
            <w:pPr>
              <w:jc w:val="center"/>
              <w:rPr>
                <w:rFonts w:ascii="Cambria" w:hAnsi="Cambria"/>
                <w:color w:val="000000" w:themeColor="text1"/>
                <w:sz w:val="18"/>
                <w:szCs w:val="18"/>
              </w:rPr>
            </w:pPr>
            <w:hyperlink r:id="rId95"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14972459"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D60659D" w14:textId="20DE8B6A"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6270417"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11D4A7D9"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2637D9DE"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45FAF552" w14:textId="77777777" w:rsidTr="00D300E5">
        <w:trPr>
          <w:cnfStyle w:val="000000010000" w:firstRow="0" w:lastRow="0" w:firstColumn="0" w:lastColumn="0" w:oddVBand="0" w:evenVBand="0" w:oddHBand="0" w:evenHBand="1" w:firstRowFirstColumn="0" w:firstRowLastColumn="0" w:lastRowFirstColumn="0" w:lastRowLastColumn="0"/>
          <w:trHeight w:val="32"/>
        </w:trPr>
        <w:tc>
          <w:tcPr>
            <w:tcW w:w="2251" w:type="dxa"/>
          </w:tcPr>
          <w:p w14:paraId="76D03AAD"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 xml:space="preserve">Case 12.213, Report No. 7/16, </w:t>
            </w:r>
            <w:proofErr w:type="spellStart"/>
            <w:r w:rsidRPr="00524435">
              <w:rPr>
                <w:rFonts w:ascii="Cambria" w:hAnsi="Cambria" w:cs="Cambria"/>
                <w:color w:val="000000" w:themeColor="text1"/>
                <w:sz w:val="18"/>
                <w:szCs w:val="18"/>
              </w:rPr>
              <w:t>Aristeu</w:t>
            </w:r>
            <w:proofErr w:type="spellEnd"/>
            <w:r w:rsidRPr="00524435">
              <w:rPr>
                <w:rFonts w:ascii="Cambria" w:hAnsi="Cambria" w:cs="Cambria"/>
                <w:color w:val="000000" w:themeColor="text1"/>
                <w:sz w:val="18"/>
                <w:szCs w:val="18"/>
              </w:rPr>
              <w:t xml:space="preserve"> </w:t>
            </w:r>
            <w:proofErr w:type="spellStart"/>
            <w:r w:rsidRPr="00524435">
              <w:rPr>
                <w:rFonts w:ascii="Cambria" w:hAnsi="Cambria" w:cs="Cambria"/>
                <w:color w:val="000000" w:themeColor="text1"/>
                <w:sz w:val="18"/>
                <w:szCs w:val="18"/>
              </w:rPr>
              <w:t>Guida</w:t>
            </w:r>
            <w:proofErr w:type="spellEnd"/>
            <w:r w:rsidRPr="00524435">
              <w:rPr>
                <w:rFonts w:ascii="Cambria" w:hAnsi="Cambria" w:cs="Cambria"/>
                <w:color w:val="000000" w:themeColor="text1"/>
                <w:sz w:val="18"/>
                <w:szCs w:val="18"/>
              </w:rPr>
              <w:t xml:space="preserve"> da </w:t>
            </w:r>
            <w:proofErr w:type="gramStart"/>
            <w:r w:rsidRPr="00524435">
              <w:rPr>
                <w:rFonts w:ascii="Cambria" w:hAnsi="Cambria" w:cs="Cambria"/>
                <w:color w:val="000000" w:themeColor="text1"/>
                <w:sz w:val="18"/>
                <w:szCs w:val="18"/>
              </w:rPr>
              <w:t>Silva</w:t>
            </w:r>
            <w:proofErr w:type="gramEnd"/>
            <w:r w:rsidRPr="00524435">
              <w:rPr>
                <w:rFonts w:ascii="Cambria" w:hAnsi="Cambria" w:cs="Cambria"/>
                <w:color w:val="000000" w:themeColor="text1"/>
                <w:sz w:val="18"/>
                <w:szCs w:val="18"/>
              </w:rPr>
              <w:t xml:space="preserve"> and family members (Brazil)</w:t>
            </w:r>
          </w:p>
        </w:tc>
        <w:tc>
          <w:tcPr>
            <w:tcW w:w="1125" w:type="dxa"/>
          </w:tcPr>
          <w:p w14:paraId="2D67EA99" w14:textId="51877D18" w:rsidR="007A5442" w:rsidRPr="00524435" w:rsidRDefault="006B7403" w:rsidP="00C33359">
            <w:pPr>
              <w:jc w:val="center"/>
              <w:rPr>
                <w:rFonts w:ascii="Cambria" w:hAnsi="Cambria"/>
                <w:color w:val="000000" w:themeColor="text1"/>
                <w:sz w:val="18"/>
                <w:szCs w:val="18"/>
              </w:rPr>
            </w:pPr>
            <w:hyperlink r:id="rId96"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6D58DE51"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69FAADB" w14:textId="055A1EB6"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66A3AAC"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2459AB48"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1F0CB7FC"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D300E5" w:rsidRPr="00524435" w14:paraId="3B1F894E" w14:textId="77777777" w:rsidTr="00D300E5">
        <w:trPr>
          <w:cnfStyle w:val="000000100000" w:firstRow="0" w:lastRow="0" w:firstColumn="0" w:lastColumn="0" w:oddVBand="0" w:evenVBand="0" w:oddHBand="1" w:evenHBand="0" w:firstRowFirstColumn="0" w:firstRowLastColumn="0" w:lastRowFirstColumn="0" w:lastRowLastColumn="0"/>
          <w:trHeight w:val="32"/>
        </w:trPr>
        <w:tc>
          <w:tcPr>
            <w:tcW w:w="2251" w:type="dxa"/>
          </w:tcPr>
          <w:p w14:paraId="47A21C29" w14:textId="103C30AF" w:rsidR="00D300E5" w:rsidRPr="007A5442" w:rsidRDefault="00D300E5" w:rsidP="00C33359">
            <w:pPr>
              <w:rPr>
                <w:rFonts w:ascii="Cambria" w:hAnsi="Cambria" w:cs="Cambria"/>
                <w:color w:val="000000" w:themeColor="text1"/>
                <w:sz w:val="18"/>
                <w:szCs w:val="18"/>
                <w:lang w:val="pt-PT"/>
              </w:rPr>
            </w:pPr>
            <w:bookmarkStart w:id="15" w:name="_Hlk90999639"/>
            <w:r w:rsidRPr="007A5442">
              <w:rPr>
                <w:rFonts w:ascii="Cambria" w:hAnsi="Cambria" w:cs="Cambria"/>
                <w:color w:val="000000" w:themeColor="text1"/>
                <w:sz w:val="18"/>
                <w:szCs w:val="18"/>
                <w:lang w:val="pt-PT"/>
              </w:rPr>
              <w:lastRenderedPageBreak/>
              <w:t>Case 12.332, Report Nº 31/20, Margarida Maria Alves y familiares</w:t>
            </w:r>
            <w:bookmarkEnd w:id="15"/>
          </w:p>
        </w:tc>
        <w:tc>
          <w:tcPr>
            <w:tcW w:w="1125" w:type="dxa"/>
          </w:tcPr>
          <w:p w14:paraId="311F34C6" w14:textId="75E1B8DC" w:rsidR="00D300E5" w:rsidRPr="00524435" w:rsidRDefault="006B7403" w:rsidP="00C33359">
            <w:pPr>
              <w:jc w:val="center"/>
              <w:rPr>
                <w:rFonts w:ascii="Cambria" w:hAnsi="Cambria" w:cs="Cambria"/>
                <w:color w:val="000000" w:themeColor="text1"/>
                <w:sz w:val="18"/>
                <w:szCs w:val="18"/>
              </w:rPr>
            </w:pPr>
            <w:hyperlink r:id="rId97" w:history="1">
              <w:r w:rsidR="00D300E5" w:rsidRPr="00524435">
                <w:rPr>
                  <w:rStyle w:val="Hyperlink"/>
                  <w:rFonts w:ascii="Cambria" w:hAnsi="Cambria" w:cs="Cambria"/>
                  <w:color w:val="000000" w:themeColor="text1"/>
                  <w:sz w:val="18"/>
                  <w:szCs w:val="18"/>
                </w:rPr>
                <w:t>Li</w:t>
              </w:r>
              <w:r w:rsidR="00D300E5" w:rsidRPr="00524435">
                <w:rPr>
                  <w:rStyle w:val="Hyperlink"/>
                  <w:rFonts w:ascii="Cambria" w:hAnsi="Cambria" w:cs="Cambria"/>
                  <w:color w:val="000000" w:themeColor="text1"/>
                  <w:sz w:val="18"/>
                  <w:szCs w:val="18"/>
                </w:rPr>
                <w:t>nk</w:t>
              </w:r>
            </w:hyperlink>
          </w:p>
        </w:tc>
        <w:tc>
          <w:tcPr>
            <w:tcW w:w="1275" w:type="dxa"/>
          </w:tcPr>
          <w:p w14:paraId="456A4B27" w14:textId="77777777" w:rsidR="00D300E5" w:rsidRPr="00524435" w:rsidRDefault="00D300E5" w:rsidP="00C33359">
            <w:pPr>
              <w:ind w:left="72"/>
              <w:jc w:val="center"/>
              <w:rPr>
                <w:rFonts w:ascii="Cambria" w:hAnsi="Cambria"/>
                <w:color w:val="000000" w:themeColor="text1"/>
                <w:sz w:val="18"/>
                <w:szCs w:val="18"/>
                <w:lang w:eastAsia="es-ES_tradnl"/>
              </w:rPr>
            </w:pPr>
          </w:p>
        </w:tc>
        <w:tc>
          <w:tcPr>
            <w:tcW w:w="1275" w:type="dxa"/>
          </w:tcPr>
          <w:p w14:paraId="15386EA4" w14:textId="0555BE18" w:rsidR="00D300E5" w:rsidRPr="00524435" w:rsidRDefault="00D300E5" w:rsidP="00C33359">
            <w:pPr>
              <w:ind w:left="72"/>
              <w:jc w:val="center"/>
              <w:rPr>
                <w:rFonts w:ascii="Cambria" w:hAnsi="Cambria"/>
                <w:color w:val="000000" w:themeColor="text1"/>
                <w:sz w:val="18"/>
                <w:szCs w:val="18"/>
                <w:lang w:eastAsia="es-ES_tradnl"/>
              </w:rPr>
            </w:pPr>
          </w:p>
        </w:tc>
        <w:tc>
          <w:tcPr>
            <w:tcW w:w="1275" w:type="dxa"/>
          </w:tcPr>
          <w:p w14:paraId="30F953D5" w14:textId="77777777" w:rsidR="00D300E5" w:rsidRPr="00524435" w:rsidRDefault="00D300E5"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6811EC71" w14:textId="77777777" w:rsidR="00D300E5" w:rsidRPr="00524435" w:rsidRDefault="00D300E5" w:rsidP="00C33359">
            <w:pPr>
              <w:jc w:val="center"/>
              <w:rPr>
                <w:rFonts w:ascii="Cambria" w:hAnsi="Cambria" w:cs="Cambria"/>
                <w:color w:val="000000" w:themeColor="text1"/>
                <w:sz w:val="18"/>
                <w:szCs w:val="18"/>
                <w:lang w:eastAsia="es-ES_tradnl"/>
              </w:rPr>
            </w:pPr>
          </w:p>
        </w:tc>
        <w:tc>
          <w:tcPr>
            <w:tcW w:w="1275" w:type="dxa"/>
          </w:tcPr>
          <w:p w14:paraId="12A891A1" w14:textId="77777777" w:rsidR="00D300E5" w:rsidRPr="00524435" w:rsidRDefault="00D300E5" w:rsidP="00C33359">
            <w:pPr>
              <w:jc w:val="center"/>
              <w:rPr>
                <w:rFonts w:ascii="Cambria" w:hAnsi="Cambria" w:cs="Cambria"/>
                <w:color w:val="000000" w:themeColor="text1"/>
                <w:sz w:val="18"/>
                <w:szCs w:val="18"/>
              </w:rPr>
            </w:pPr>
            <w:r w:rsidRPr="00524435">
              <w:rPr>
                <w:rFonts w:ascii="Cambria" w:hAnsi="Cambria" w:cs="Cambria"/>
                <w:color w:val="000000" w:themeColor="text1"/>
                <w:sz w:val="18"/>
                <w:szCs w:val="18"/>
              </w:rPr>
              <w:t>Open</w:t>
            </w:r>
          </w:p>
        </w:tc>
      </w:tr>
      <w:tr w:rsidR="00796A41" w:rsidRPr="00524435" w14:paraId="4E1060D3" w14:textId="77777777" w:rsidTr="00D300E5">
        <w:trPr>
          <w:cnfStyle w:val="000000010000" w:firstRow="0" w:lastRow="0" w:firstColumn="0" w:lastColumn="0" w:oddVBand="0" w:evenVBand="0" w:oddHBand="0" w:evenHBand="1" w:firstRowFirstColumn="0" w:firstRowLastColumn="0" w:lastRowFirstColumn="0" w:lastRowLastColumn="0"/>
          <w:trHeight w:val="17"/>
        </w:trPr>
        <w:tc>
          <w:tcPr>
            <w:tcW w:w="2251" w:type="dxa"/>
          </w:tcPr>
          <w:p w14:paraId="43E33686"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Case 12.586, Report No. 78/11, John Doe (Canada)</w:t>
            </w:r>
          </w:p>
        </w:tc>
        <w:tc>
          <w:tcPr>
            <w:tcW w:w="1125" w:type="dxa"/>
          </w:tcPr>
          <w:p w14:paraId="7EAF8D90" w14:textId="2D8C9BD0" w:rsidR="007A5442" w:rsidRPr="00524435" w:rsidRDefault="006B7403" w:rsidP="00C33359">
            <w:pPr>
              <w:jc w:val="center"/>
              <w:rPr>
                <w:rFonts w:ascii="Cambria" w:hAnsi="Cambria"/>
                <w:color w:val="000000" w:themeColor="text1"/>
                <w:sz w:val="18"/>
                <w:szCs w:val="18"/>
              </w:rPr>
            </w:pPr>
            <w:hyperlink r:id="rId98"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24711E69"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FD6DA2E" w14:textId="19D1E5FF"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607CDCC4"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312E450A"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571B5172"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3D6E7A58" w14:textId="77777777" w:rsidTr="00D300E5">
        <w:trPr>
          <w:cnfStyle w:val="000000100000" w:firstRow="0" w:lastRow="0" w:firstColumn="0" w:lastColumn="0" w:oddVBand="0" w:evenVBand="0" w:oddHBand="1" w:evenHBand="0" w:firstRowFirstColumn="0" w:firstRowLastColumn="0" w:lastRowFirstColumn="0" w:lastRowLastColumn="0"/>
          <w:trHeight w:val="37"/>
        </w:trPr>
        <w:tc>
          <w:tcPr>
            <w:tcW w:w="2251" w:type="dxa"/>
          </w:tcPr>
          <w:p w14:paraId="655F5365"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 xml:space="preserve">Case 11.661, Report No. 8/16, </w:t>
            </w:r>
            <w:proofErr w:type="spellStart"/>
            <w:r w:rsidRPr="00524435">
              <w:rPr>
                <w:rFonts w:ascii="Cambria" w:hAnsi="Cambria" w:cs="Cambria"/>
                <w:color w:val="000000" w:themeColor="text1"/>
                <w:sz w:val="18"/>
                <w:szCs w:val="18"/>
              </w:rPr>
              <w:t>Manickavasagam</w:t>
            </w:r>
            <w:proofErr w:type="spellEnd"/>
            <w:r w:rsidRPr="00524435">
              <w:rPr>
                <w:rFonts w:ascii="Cambria" w:hAnsi="Cambria" w:cs="Cambria"/>
                <w:color w:val="000000" w:themeColor="text1"/>
                <w:sz w:val="18"/>
                <w:szCs w:val="18"/>
              </w:rPr>
              <w:t xml:space="preserve"> Suresh (Canada)</w:t>
            </w:r>
          </w:p>
        </w:tc>
        <w:tc>
          <w:tcPr>
            <w:tcW w:w="1125" w:type="dxa"/>
          </w:tcPr>
          <w:p w14:paraId="150F343E" w14:textId="395C48B6" w:rsidR="007A5442" w:rsidRPr="00524435" w:rsidRDefault="006B7403" w:rsidP="00C33359">
            <w:pPr>
              <w:jc w:val="center"/>
              <w:rPr>
                <w:rFonts w:ascii="Cambria" w:hAnsi="Cambria"/>
                <w:color w:val="000000" w:themeColor="text1"/>
                <w:sz w:val="18"/>
                <w:szCs w:val="18"/>
              </w:rPr>
            </w:pPr>
            <w:hyperlink r:id="rId99"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336472D5"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353ED3E" w14:textId="22A87385"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5C11846"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1BCD0A7A"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2417BB05"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3B7E16D2" w14:textId="77777777" w:rsidTr="00D300E5">
        <w:trPr>
          <w:cnfStyle w:val="000000010000" w:firstRow="0" w:lastRow="0" w:firstColumn="0" w:lastColumn="0" w:oddVBand="0" w:evenVBand="0" w:oddHBand="0" w:evenHBand="1" w:firstRowFirstColumn="0" w:firstRowLastColumn="0" w:lastRowFirstColumn="0" w:lastRowLastColumn="0"/>
          <w:trHeight w:val="33"/>
        </w:trPr>
        <w:tc>
          <w:tcPr>
            <w:tcW w:w="2251" w:type="dxa"/>
          </w:tcPr>
          <w:p w14:paraId="52585F67"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 xml:space="preserve">Case 11.771, Report No. 61/01, Samuel Alfonso </w:t>
            </w:r>
            <w:proofErr w:type="spellStart"/>
            <w:r w:rsidRPr="00524435">
              <w:rPr>
                <w:rFonts w:ascii="Cambria" w:hAnsi="Cambria" w:cs="Cambria"/>
                <w:color w:val="000000" w:themeColor="text1"/>
                <w:sz w:val="18"/>
                <w:szCs w:val="18"/>
              </w:rPr>
              <w:t>Catalán</w:t>
            </w:r>
            <w:proofErr w:type="spellEnd"/>
            <w:r w:rsidRPr="00524435">
              <w:rPr>
                <w:rFonts w:ascii="Cambria" w:hAnsi="Cambria" w:cs="Cambria"/>
                <w:color w:val="000000" w:themeColor="text1"/>
                <w:sz w:val="18"/>
                <w:szCs w:val="18"/>
              </w:rPr>
              <w:t xml:space="preserve"> </w:t>
            </w:r>
            <w:proofErr w:type="spellStart"/>
            <w:r w:rsidRPr="00524435">
              <w:rPr>
                <w:rFonts w:ascii="Cambria" w:hAnsi="Cambria" w:cs="Cambria"/>
                <w:color w:val="000000" w:themeColor="text1"/>
                <w:sz w:val="18"/>
                <w:szCs w:val="18"/>
              </w:rPr>
              <w:t>Lincoleo</w:t>
            </w:r>
            <w:proofErr w:type="spellEnd"/>
            <w:r w:rsidRPr="00524435">
              <w:rPr>
                <w:rFonts w:ascii="Cambria" w:hAnsi="Cambria" w:cs="Cambria"/>
                <w:color w:val="000000" w:themeColor="text1"/>
                <w:sz w:val="18"/>
                <w:szCs w:val="18"/>
              </w:rPr>
              <w:t xml:space="preserve"> (Chile)</w:t>
            </w:r>
          </w:p>
        </w:tc>
        <w:tc>
          <w:tcPr>
            <w:tcW w:w="1125" w:type="dxa"/>
          </w:tcPr>
          <w:p w14:paraId="2350DFAA" w14:textId="4FF593EF" w:rsidR="007A5442" w:rsidRPr="00524435" w:rsidRDefault="006B7403" w:rsidP="00C33359">
            <w:pPr>
              <w:jc w:val="center"/>
              <w:rPr>
                <w:rFonts w:ascii="Cambria" w:hAnsi="Cambria"/>
                <w:color w:val="000000" w:themeColor="text1"/>
                <w:sz w:val="18"/>
                <w:szCs w:val="18"/>
              </w:rPr>
            </w:pPr>
            <w:hyperlink r:id="rId100"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3059209C"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0A15026" w14:textId="2F96341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78CC85F"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6EEFED67"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0573833B"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1089F762" w14:textId="77777777" w:rsidTr="00D300E5">
        <w:trPr>
          <w:cnfStyle w:val="000000100000" w:firstRow="0" w:lastRow="0" w:firstColumn="0" w:lastColumn="0" w:oddVBand="0" w:evenVBand="0" w:oddHBand="1" w:evenHBand="0" w:firstRowFirstColumn="0" w:firstRowLastColumn="0" w:lastRowFirstColumn="0" w:lastRowLastColumn="0"/>
          <w:trHeight w:val="30"/>
        </w:trPr>
        <w:tc>
          <w:tcPr>
            <w:tcW w:w="2251" w:type="dxa"/>
          </w:tcPr>
          <w:p w14:paraId="6F3E4C74"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 xml:space="preserve">Case </w:t>
            </w:r>
            <w:bookmarkStart w:id="16" w:name="BM11_725"/>
            <w:r w:rsidRPr="00524435">
              <w:rPr>
                <w:rFonts w:ascii="Cambria" w:hAnsi="Cambria" w:cs="Cambria"/>
                <w:color w:val="000000" w:themeColor="text1"/>
                <w:sz w:val="18"/>
                <w:szCs w:val="18"/>
              </w:rPr>
              <w:t>11.725</w:t>
            </w:r>
            <w:bookmarkEnd w:id="16"/>
            <w:r w:rsidRPr="00524435">
              <w:rPr>
                <w:rFonts w:ascii="Cambria" w:hAnsi="Cambria" w:cs="Cambria"/>
                <w:color w:val="000000" w:themeColor="text1"/>
                <w:sz w:val="18"/>
                <w:szCs w:val="18"/>
              </w:rPr>
              <w:t>, Report No. 139/99, Carmelo Soria Espinoza (Chile)</w:t>
            </w:r>
          </w:p>
        </w:tc>
        <w:tc>
          <w:tcPr>
            <w:tcW w:w="1125" w:type="dxa"/>
          </w:tcPr>
          <w:p w14:paraId="4407F9FF" w14:textId="78926AFA" w:rsidR="007A5442" w:rsidRPr="00524435" w:rsidRDefault="006B7403" w:rsidP="00C33359">
            <w:pPr>
              <w:jc w:val="center"/>
              <w:rPr>
                <w:rFonts w:ascii="Cambria" w:hAnsi="Cambria"/>
                <w:color w:val="000000" w:themeColor="text1"/>
                <w:sz w:val="18"/>
                <w:szCs w:val="18"/>
              </w:rPr>
            </w:pPr>
            <w:hyperlink r:id="rId101"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7A8844DF"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10E8F38" w14:textId="6644DABC"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6991A2F"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5A8E3173"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1C0BECD9"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1BA84ABC" w14:textId="77777777" w:rsidTr="00D300E5">
        <w:trPr>
          <w:cnfStyle w:val="000000010000" w:firstRow="0" w:lastRow="0" w:firstColumn="0" w:lastColumn="0" w:oddVBand="0" w:evenVBand="0" w:oddHBand="0" w:evenHBand="1" w:firstRowFirstColumn="0" w:firstRowLastColumn="0" w:lastRowFirstColumn="0" w:lastRowLastColumn="0"/>
          <w:trHeight w:val="30"/>
        </w:trPr>
        <w:tc>
          <w:tcPr>
            <w:tcW w:w="2251" w:type="dxa"/>
          </w:tcPr>
          <w:p w14:paraId="17E42712"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 xml:space="preserve">Case </w:t>
            </w:r>
            <w:bookmarkStart w:id="17" w:name="BM12_142"/>
            <w:r w:rsidRPr="00524435">
              <w:rPr>
                <w:rFonts w:ascii="Cambria" w:hAnsi="Cambria" w:cs="Cambria"/>
                <w:caps/>
                <w:color w:val="000000" w:themeColor="text1"/>
                <w:sz w:val="18"/>
                <w:szCs w:val="18"/>
              </w:rPr>
              <w:t>12.142</w:t>
            </w:r>
            <w:bookmarkEnd w:id="17"/>
            <w:r w:rsidRPr="00524435">
              <w:rPr>
                <w:rFonts w:ascii="Cambria" w:hAnsi="Cambria" w:cs="Cambria"/>
                <w:caps/>
                <w:color w:val="000000" w:themeColor="text1"/>
                <w:sz w:val="18"/>
                <w:szCs w:val="18"/>
              </w:rPr>
              <w:t>,</w:t>
            </w:r>
            <w:r w:rsidRPr="00524435">
              <w:rPr>
                <w:rFonts w:ascii="Cambria" w:hAnsi="Cambria" w:cs="Cambria"/>
                <w:color w:val="000000" w:themeColor="text1"/>
                <w:sz w:val="18"/>
                <w:szCs w:val="18"/>
              </w:rPr>
              <w:t xml:space="preserve"> Report No. 90/05, Alejandra Marcela </w:t>
            </w:r>
            <w:proofErr w:type="spellStart"/>
            <w:r w:rsidRPr="00524435">
              <w:rPr>
                <w:rFonts w:ascii="Cambria" w:hAnsi="Cambria" w:cs="Cambria"/>
                <w:color w:val="000000" w:themeColor="text1"/>
                <w:sz w:val="18"/>
                <w:szCs w:val="18"/>
              </w:rPr>
              <w:t>Matus</w:t>
            </w:r>
            <w:proofErr w:type="spellEnd"/>
            <w:r w:rsidRPr="00524435">
              <w:rPr>
                <w:rFonts w:ascii="Cambria" w:hAnsi="Cambria" w:cs="Cambria"/>
                <w:color w:val="000000" w:themeColor="text1"/>
                <w:sz w:val="18"/>
                <w:szCs w:val="18"/>
              </w:rPr>
              <w:t xml:space="preserve"> </w:t>
            </w:r>
            <w:proofErr w:type="spellStart"/>
            <w:proofErr w:type="gramStart"/>
            <w:r w:rsidRPr="00524435">
              <w:rPr>
                <w:rFonts w:ascii="Cambria" w:hAnsi="Cambria" w:cs="Cambria"/>
                <w:color w:val="000000" w:themeColor="text1"/>
                <w:sz w:val="18"/>
                <w:szCs w:val="18"/>
              </w:rPr>
              <w:t>Acuña</w:t>
            </w:r>
            <w:proofErr w:type="spellEnd"/>
            <w:proofErr w:type="gramEnd"/>
            <w:r w:rsidRPr="00524435">
              <w:rPr>
                <w:rFonts w:ascii="Cambria" w:hAnsi="Cambria" w:cs="Cambria"/>
                <w:color w:val="000000" w:themeColor="text1"/>
                <w:sz w:val="18"/>
                <w:szCs w:val="18"/>
              </w:rPr>
              <w:t xml:space="preserve"> and others (Chile)</w:t>
            </w:r>
            <w:r w:rsidRPr="00524435">
              <w:rPr>
                <w:rFonts w:ascii="Cambria" w:hAnsi="Cambria" w:cs="Cambria"/>
                <w:color w:val="000000" w:themeColor="text1"/>
                <w:sz w:val="18"/>
                <w:szCs w:val="18"/>
                <w:vertAlign w:val="superscript"/>
              </w:rPr>
              <w:footnoteReference w:id="132"/>
            </w:r>
          </w:p>
        </w:tc>
        <w:tc>
          <w:tcPr>
            <w:tcW w:w="1125" w:type="dxa"/>
          </w:tcPr>
          <w:p w14:paraId="26BBA76C" w14:textId="77777777" w:rsidR="007A5442" w:rsidRPr="00524435" w:rsidRDefault="007A5442" w:rsidP="00C33359">
            <w:pPr>
              <w:ind w:left="72"/>
              <w:jc w:val="center"/>
              <w:rPr>
                <w:rFonts w:ascii="Cambria" w:hAnsi="Cambria"/>
                <w:color w:val="000000" w:themeColor="text1"/>
                <w:sz w:val="18"/>
                <w:szCs w:val="18"/>
                <w:u w:val="single"/>
                <w:lang w:eastAsia="es-ES_tradnl"/>
              </w:rPr>
            </w:pPr>
          </w:p>
        </w:tc>
        <w:tc>
          <w:tcPr>
            <w:tcW w:w="1275" w:type="dxa"/>
          </w:tcPr>
          <w:p w14:paraId="6819C8C4" w14:textId="77777777" w:rsidR="007A5442" w:rsidRPr="00524435" w:rsidRDefault="007A5442" w:rsidP="00C33359">
            <w:pPr>
              <w:ind w:left="72"/>
              <w:jc w:val="center"/>
              <w:rPr>
                <w:rFonts w:ascii="Cambria" w:hAnsi="Cambria" w:cs="Cambria"/>
                <w:color w:val="000000" w:themeColor="text1"/>
                <w:sz w:val="18"/>
                <w:szCs w:val="18"/>
                <w:lang w:eastAsia="es-ES_tradnl"/>
              </w:rPr>
            </w:pPr>
          </w:p>
        </w:tc>
        <w:tc>
          <w:tcPr>
            <w:tcW w:w="1275" w:type="dxa"/>
          </w:tcPr>
          <w:p w14:paraId="08129176" w14:textId="58C71266" w:rsidR="007A5442" w:rsidRPr="00524435" w:rsidRDefault="007A5442" w:rsidP="00C33359">
            <w:pPr>
              <w:ind w:left="72"/>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4B630A53"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318FDD4E"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7729DA4A"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Closed</w:t>
            </w:r>
          </w:p>
        </w:tc>
      </w:tr>
      <w:tr w:rsidR="00796A41" w:rsidRPr="00524435" w14:paraId="0CB992AD" w14:textId="77777777" w:rsidTr="00D300E5">
        <w:trPr>
          <w:cnfStyle w:val="000000100000" w:firstRow="0" w:lastRow="0" w:firstColumn="0" w:lastColumn="0" w:oddVBand="0" w:evenVBand="0" w:oddHBand="1" w:evenHBand="0" w:firstRowFirstColumn="0" w:firstRowLastColumn="0" w:lastRowFirstColumn="0" w:lastRowLastColumn="0"/>
          <w:trHeight w:val="37"/>
        </w:trPr>
        <w:tc>
          <w:tcPr>
            <w:tcW w:w="2251" w:type="dxa"/>
          </w:tcPr>
          <w:p w14:paraId="2247DFE5"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 xml:space="preserve">Case 12.469, Report No. 56/10, Margarita </w:t>
            </w:r>
            <w:proofErr w:type="spellStart"/>
            <w:r w:rsidRPr="00524435">
              <w:rPr>
                <w:rFonts w:ascii="Cambria" w:hAnsi="Cambria" w:cs="Cambria"/>
                <w:color w:val="000000" w:themeColor="text1"/>
                <w:sz w:val="18"/>
                <w:szCs w:val="18"/>
              </w:rPr>
              <w:t>Barbería</w:t>
            </w:r>
            <w:proofErr w:type="spellEnd"/>
            <w:r w:rsidRPr="00524435">
              <w:rPr>
                <w:rFonts w:ascii="Cambria" w:hAnsi="Cambria" w:cs="Cambria"/>
                <w:color w:val="000000" w:themeColor="text1"/>
                <w:sz w:val="18"/>
                <w:szCs w:val="18"/>
              </w:rPr>
              <w:t xml:space="preserve"> Miranda (Chile)</w:t>
            </w:r>
          </w:p>
        </w:tc>
        <w:tc>
          <w:tcPr>
            <w:tcW w:w="1125" w:type="dxa"/>
          </w:tcPr>
          <w:p w14:paraId="3A65269D" w14:textId="5235F915" w:rsidR="007A5442" w:rsidRPr="00524435" w:rsidRDefault="006B7403" w:rsidP="00C33359">
            <w:pPr>
              <w:jc w:val="center"/>
              <w:rPr>
                <w:rFonts w:ascii="Cambria" w:hAnsi="Cambria"/>
                <w:color w:val="000000" w:themeColor="text1"/>
                <w:sz w:val="18"/>
                <w:szCs w:val="18"/>
              </w:rPr>
            </w:pPr>
            <w:hyperlink r:id="rId102"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3CCF3D00"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55872761" w14:textId="4037EEC1"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CFEA5FB"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10325DB0"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7740D1B2"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7F927243" w14:textId="77777777" w:rsidTr="00D300E5">
        <w:trPr>
          <w:cnfStyle w:val="000000010000" w:firstRow="0" w:lastRow="0" w:firstColumn="0" w:lastColumn="0" w:oddVBand="0" w:evenVBand="0" w:oddHBand="0" w:evenHBand="1" w:firstRowFirstColumn="0" w:firstRowLastColumn="0" w:lastRowFirstColumn="0" w:lastRowLastColumn="0"/>
          <w:trHeight w:val="37"/>
        </w:trPr>
        <w:tc>
          <w:tcPr>
            <w:tcW w:w="2251" w:type="dxa"/>
          </w:tcPr>
          <w:p w14:paraId="463CB7CF"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Case 12.799</w:t>
            </w:r>
            <w:proofErr w:type="gramStart"/>
            <w:r w:rsidRPr="00524435">
              <w:rPr>
                <w:rFonts w:ascii="Cambria" w:hAnsi="Cambria" w:cs="Cambria"/>
                <w:color w:val="000000" w:themeColor="text1"/>
                <w:sz w:val="18"/>
                <w:szCs w:val="18"/>
              </w:rPr>
              <w:t>,  Report</w:t>
            </w:r>
            <w:proofErr w:type="gramEnd"/>
            <w:r w:rsidRPr="00524435">
              <w:rPr>
                <w:rFonts w:ascii="Cambria" w:hAnsi="Cambria" w:cs="Cambria"/>
                <w:color w:val="000000" w:themeColor="text1"/>
                <w:sz w:val="18"/>
                <w:szCs w:val="18"/>
              </w:rPr>
              <w:t xml:space="preserve"> No. 48/16, Miguel </w:t>
            </w:r>
            <w:proofErr w:type="spellStart"/>
            <w:r w:rsidRPr="00524435">
              <w:rPr>
                <w:rFonts w:ascii="Cambria" w:hAnsi="Cambria" w:cs="Cambria"/>
                <w:color w:val="000000" w:themeColor="text1"/>
                <w:sz w:val="18"/>
                <w:szCs w:val="18"/>
              </w:rPr>
              <w:t>Ángel</w:t>
            </w:r>
            <w:proofErr w:type="spellEnd"/>
            <w:r w:rsidRPr="00524435">
              <w:rPr>
                <w:rFonts w:ascii="Cambria" w:hAnsi="Cambria" w:cs="Cambria"/>
                <w:color w:val="000000" w:themeColor="text1"/>
                <w:sz w:val="18"/>
                <w:szCs w:val="18"/>
              </w:rPr>
              <w:t xml:space="preserve"> Millar Silva and others (Radio Estrella del Mar de </w:t>
            </w:r>
            <w:proofErr w:type="spellStart"/>
            <w:r w:rsidRPr="00524435">
              <w:rPr>
                <w:rFonts w:ascii="Cambria" w:hAnsi="Cambria" w:cs="Cambria"/>
                <w:color w:val="000000" w:themeColor="text1"/>
                <w:sz w:val="18"/>
                <w:szCs w:val="18"/>
              </w:rPr>
              <w:t>Melinka</w:t>
            </w:r>
            <w:proofErr w:type="spellEnd"/>
            <w:r w:rsidRPr="00524435">
              <w:rPr>
                <w:rFonts w:ascii="Cambria" w:hAnsi="Cambria" w:cs="Cambria"/>
                <w:color w:val="000000" w:themeColor="text1"/>
                <w:sz w:val="18"/>
                <w:szCs w:val="18"/>
              </w:rPr>
              <w:t>) (Chile)</w:t>
            </w:r>
          </w:p>
        </w:tc>
        <w:tc>
          <w:tcPr>
            <w:tcW w:w="1125" w:type="dxa"/>
          </w:tcPr>
          <w:p w14:paraId="22646C8C" w14:textId="7D87BF8B" w:rsidR="007A5442" w:rsidRPr="00524435" w:rsidRDefault="006B7403" w:rsidP="00C33359">
            <w:pPr>
              <w:jc w:val="center"/>
              <w:rPr>
                <w:rFonts w:ascii="Cambria" w:hAnsi="Cambria"/>
                <w:color w:val="000000" w:themeColor="text1"/>
                <w:sz w:val="18"/>
                <w:szCs w:val="18"/>
              </w:rPr>
            </w:pPr>
            <w:hyperlink r:id="rId103"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1AB38DED"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1A5035E" w14:textId="75640F80"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27ECBB8"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455A2FE1"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2FEBAE82"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74C7EC0C" w14:textId="77777777" w:rsidTr="00D300E5">
        <w:trPr>
          <w:cnfStyle w:val="000000100000" w:firstRow="0" w:lastRow="0" w:firstColumn="0" w:lastColumn="0" w:oddVBand="0" w:evenVBand="0" w:oddHBand="1" w:evenHBand="0" w:firstRowFirstColumn="0" w:firstRowLastColumn="0" w:lastRowFirstColumn="0" w:lastRowLastColumn="0"/>
          <w:trHeight w:val="32"/>
        </w:trPr>
        <w:tc>
          <w:tcPr>
            <w:tcW w:w="2251" w:type="dxa"/>
          </w:tcPr>
          <w:p w14:paraId="303667A8"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 xml:space="preserve">Case 11.654, Report No. 62/01, </w:t>
            </w:r>
            <w:proofErr w:type="spellStart"/>
            <w:r w:rsidRPr="00524435">
              <w:rPr>
                <w:rFonts w:ascii="Cambria" w:hAnsi="Cambria" w:cs="Cambria"/>
                <w:color w:val="000000" w:themeColor="text1"/>
                <w:sz w:val="18"/>
                <w:szCs w:val="18"/>
              </w:rPr>
              <w:t>Ríofrío</w:t>
            </w:r>
            <w:proofErr w:type="spellEnd"/>
            <w:r w:rsidRPr="00524435">
              <w:rPr>
                <w:rFonts w:ascii="Cambria" w:hAnsi="Cambria" w:cs="Cambria"/>
                <w:color w:val="000000" w:themeColor="text1"/>
                <w:sz w:val="18"/>
                <w:szCs w:val="18"/>
              </w:rPr>
              <w:t xml:space="preserve"> Massacre (Colombia)</w:t>
            </w:r>
          </w:p>
        </w:tc>
        <w:tc>
          <w:tcPr>
            <w:tcW w:w="1125" w:type="dxa"/>
          </w:tcPr>
          <w:p w14:paraId="3233607D" w14:textId="46140DAB" w:rsidR="007A5442" w:rsidRPr="00524435" w:rsidRDefault="006B7403" w:rsidP="00C33359">
            <w:pPr>
              <w:jc w:val="center"/>
              <w:rPr>
                <w:rFonts w:ascii="Cambria" w:hAnsi="Cambria"/>
                <w:color w:val="000000" w:themeColor="text1"/>
                <w:sz w:val="18"/>
                <w:szCs w:val="18"/>
              </w:rPr>
            </w:pPr>
            <w:hyperlink r:id="rId104"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5BF213F0"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80967AF" w14:textId="75586A4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1BDBA155"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53C8FDFD"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60C4B105"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0E51B9DF" w14:textId="77777777" w:rsidTr="00D300E5">
        <w:trPr>
          <w:cnfStyle w:val="000000010000" w:firstRow="0" w:lastRow="0" w:firstColumn="0" w:lastColumn="0" w:oddVBand="0" w:evenVBand="0" w:oddHBand="0" w:evenHBand="1" w:firstRowFirstColumn="0" w:firstRowLastColumn="0" w:lastRowFirstColumn="0" w:lastRowLastColumn="0"/>
          <w:trHeight w:val="37"/>
        </w:trPr>
        <w:tc>
          <w:tcPr>
            <w:tcW w:w="2251" w:type="dxa"/>
          </w:tcPr>
          <w:p w14:paraId="34B78365" w14:textId="77777777" w:rsidR="007A5442" w:rsidRPr="003F238D" w:rsidRDefault="007A5442" w:rsidP="00C33359">
            <w:pPr>
              <w:rPr>
                <w:rFonts w:ascii="Cambria" w:hAnsi="Cambria"/>
                <w:color w:val="000000" w:themeColor="text1"/>
                <w:sz w:val="18"/>
                <w:szCs w:val="18"/>
                <w:lang w:val="es-US"/>
              </w:rPr>
            </w:pPr>
            <w:r w:rsidRPr="003F238D">
              <w:rPr>
                <w:rFonts w:ascii="Cambria" w:hAnsi="Cambria" w:cs="Cambria"/>
                <w:color w:val="000000" w:themeColor="text1"/>
                <w:sz w:val="18"/>
                <w:szCs w:val="18"/>
                <w:lang w:val="es-US"/>
              </w:rPr>
              <w:t xml:space="preserve">Case 11.710, </w:t>
            </w:r>
            <w:proofErr w:type="spellStart"/>
            <w:r w:rsidRPr="003F238D">
              <w:rPr>
                <w:rFonts w:ascii="Cambria" w:hAnsi="Cambria" w:cs="Cambria"/>
                <w:color w:val="000000" w:themeColor="text1"/>
                <w:sz w:val="18"/>
                <w:szCs w:val="18"/>
                <w:lang w:val="es-US"/>
              </w:rPr>
              <w:t>Report</w:t>
            </w:r>
            <w:proofErr w:type="spellEnd"/>
            <w:r w:rsidRPr="003F238D">
              <w:rPr>
                <w:rFonts w:ascii="Cambria" w:hAnsi="Cambria" w:cs="Cambria"/>
                <w:color w:val="000000" w:themeColor="text1"/>
                <w:sz w:val="18"/>
                <w:szCs w:val="18"/>
                <w:lang w:val="es-US"/>
              </w:rPr>
              <w:t xml:space="preserve"> No. 63/01, Carlos Manuel Prada González and Evelio Antonio Bolaño Castro (Colombia)</w:t>
            </w:r>
          </w:p>
        </w:tc>
        <w:tc>
          <w:tcPr>
            <w:tcW w:w="1125" w:type="dxa"/>
          </w:tcPr>
          <w:p w14:paraId="7F38770E" w14:textId="35397060" w:rsidR="007A5442" w:rsidRPr="00524435" w:rsidRDefault="006B7403" w:rsidP="00C33359">
            <w:pPr>
              <w:jc w:val="center"/>
              <w:rPr>
                <w:rFonts w:ascii="Cambria" w:hAnsi="Cambria"/>
                <w:color w:val="000000" w:themeColor="text1"/>
                <w:sz w:val="18"/>
                <w:szCs w:val="18"/>
              </w:rPr>
            </w:pPr>
            <w:hyperlink r:id="rId105"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50FEB52E"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43C4B39" w14:textId="70F3B8A0"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81E9C5B"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19610FF3"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3BAD9C4B"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52DEE1AF" w14:textId="77777777" w:rsidTr="00D300E5">
        <w:trPr>
          <w:cnfStyle w:val="000000100000" w:firstRow="0" w:lastRow="0" w:firstColumn="0" w:lastColumn="0" w:oddVBand="0" w:evenVBand="0" w:oddHBand="1" w:evenHBand="0" w:firstRowFirstColumn="0" w:firstRowLastColumn="0" w:lastRowFirstColumn="0" w:lastRowLastColumn="0"/>
          <w:trHeight w:val="33"/>
        </w:trPr>
        <w:tc>
          <w:tcPr>
            <w:tcW w:w="2251" w:type="dxa"/>
          </w:tcPr>
          <w:p w14:paraId="70546492"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 xml:space="preserve">Case 11.712, Report No. 64/01, Leonel de Jesús Isaza </w:t>
            </w:r>
            <w:proofErr w:type="spellStart"/>
            <w:r w:rsidRPr="00524435">
              <w:rPr>
                <w:rFonts w:ascii="Cambria" w:hAnsi="Cambria" w:cs="Cambria"/>
                <w:color w:val="000000" w:themeColor="text1"/>
                <w:sz w:val="18"/>
                <w:szCs w:val="18"/>
              </w:rPr>
              <w:t>Echeverry</w:t>
            </w:r>
            <w:proofErr w:type="spellEnd"/>
            <w:r w:rsidRPr="00524435">
              <w:rPr>
                <w:rFonts w:ascii="Cambria" w:hAnsi="Cambria" w:cs="Cambria"/>
                <w:color w:val="000000" w:themeColor="text1"/>
                <w:sz w:val="18"/>
                <w:szCs w:val="18"/>
              </w:rPr>
              <w:t xml:space="preserve"> (Colombia)</w:t>
            </w:r>
          </w:p>
        </w:tc>
        <w:tc>
          <w:tcPr>
            <w:tcW w:w="1125" w:type="dxa"/>
          </w:tcPr>
          <w:p w14:paraId="70A31698" w14:textId="3F8A67FE" w:rsidR="007A5442" w:rsidRPr="00524435" w:rsidRDefault="006B7403" w:rsidP="00C33359">
            <w:pPr>
              <w:jc w:val="center"/>
              <w:rPr>
                <w:rFonts w:ascii="Cambria" w:hAnsi="Cambria"/>
                <w:color w:val="000000" w:themeColor="text1"/>
                <w:sz w:val="18"/>
                <w:szCs w:val="18"/>
              </w:rPr>
            </w:pPr>
            <w:hyperlink r:id="rId106"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0EE28D1B"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BA6B23D" w14:textId="567984A5"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510B318"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6CB34687"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34A5ACB1"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74AF54BE" w14:textId="77777777" w:rsidTr="00D300E5">
        <w:trPr>
          <w:cnfStyle w:val="000000010000" w:firstRow="0" w:lastRow="0" w:firstColumn="0" w:lastColumn="0" w:oddVBand="0" w:evenVBand="0" w:oddHBand="0" w:evenHBand="1" w:firstRowFirstColumn="0" w:firstRowLastColumn="0" w:lastRowFirstColumn="0" w:lastRowLastColumn="0"/>
          <w:trHeight w:val="28"/>
        </w:trPr>
        <w:tc>
          <w:tcPr>
            <w:tcW w:w="2251" w:type="dxa"/>
          </w:tcPr>
          <w:p w14:paraId="4B84D92E" w14:textId="77777777" w:rsidR="007A5442" w:rsidRPr="007A5442" w:rsidRDefault="007A5442" w:rsidP="00C33359">
            <w:pPr>
              <w:rPr>
                <w:rFonts w:ascii="Cambria" w:hAnsi="Cambria"/>
                <w:color w:val="000000" w:themeColor="text1"/>
                <w:sz w:val="18"/>
                <w:szCs w:val="18"/>
                <w:lang w:val="es-ES"/>
              </w:rPr>
            </w:pPr>
            <w:r w:rsidRPr="007A5442">
              <w:rPr>
                <w:rFonts w:ascii="Cambria" w:hAnsi="Cambria" w:cs="Cambria"/>
                <w:color w:val="000000" w:themeColor="text1"/>
                <w:sz w:val="18"/>
                <w:szCs w:val="18"/>
                <w:lang w:val="es-ES"/>
              </w:rPr>
              <w:t xml:space="preserve">Case 12.009, </w:t>
            </w:r>
            <w:proofErr w:type="spellStart"/>
            <w:r w:rsidRPr="007A5442">
              <w:rPr>
                <w:rFonts w:ascii="Cambria" w:hAnsi="Cambria" w:cs="Cambria"/>
                <w:color w:val="000000" w:themeColor="text1"/>
                <w:sz w:val="18"/>
                <w:szCs w:val="18"/>
                <w:lang w:val="es-ES"/>
              </w:rPr>
              <w:t>Report</w:t>
            </w:r>
            <w:proofErr w:type="spellEnd"/>
            <w:r w:rsidRPr="007A5442">
              <w:rPr>
                <w:rFonts w:ascii="Cambria" w:hAnsi="Cambria" w:cs="Cambria"/>
                <w:color w:val="000000" w:themeColor="text1"/>
                <w:sz w:val="18"/>
                <w:szCs w:val="18"/>
                <w:lang w:val="es-ES"/>
              </w:rPr>
              <w:t xml:space="preserve"> No. 43/08, Leydi Dayan Sánchez (Colombia)</w:t>
            </w:r>
            <w:r w:rsidRPr="00524435">
              <w:rPr>
                <w:rFonts w:ascii="Cambria" w:hAnsi="Cambria" w:cs="Cambria"/>
                <w:color w:val="000000" w:themeColor="text1"/>
                <w:sz w:val="18"/>
                <w:szCs w:val="18"/>
                <w:vertAlign w:val="superscript"/>
              </w:rPr>
              <w:footnoteReference w:id="133"/>
            </w:r>
          </w:p>
        </w:tc>
        <w:tc>
          <w:tcPr>
            <w:tcW w:w="1125" w:type="dxa"/>
          </w:tcPr>
          <w:p w14:paraId="428C950C" w14:textId="77777777" w:rsidR="007A5442" w:rsidRPr="007A5442" w:rsidRDefault="007A5442" w:rsidP="00C33359">
            <w:pPr>
              <w:ind w:left="72"/>
              <w:jc w:val="center"/>
              <w:rPr>
                <w:rFonts w:ascii="Cambria" w:hAnsi="Cambria"/>
                <w:color w:val="000000" w:themeColor="text1"/>
                <w:sz w:val="18"/>
                <w:szCs w:val="18"/>
                <w:lang w:val="es-ES" w:eastAsia="es-ES_tradnl"/>
              </w:rPr>
            </w:pPr>
          </w:p>
        </w:tc>
        <w:tc>
          <w:tcPr>
            <w:tcW w:w="1275" w:type="dxa"/>
          </w:tcPr>
          <w:p w14:paraId="0FAF2F25" w14:textId="77777777" w:rsidR="007A5442" w:rsidRPr="007A5442" w:rsidRDefault="007A5442" w:rsidP="00C33359">
            <w:pPr>
              <w:ind w:left="72"/>
              <w:jc w:val="center"/>
              <w:rPr>
                <w:rFonts w:ascii="Cambria" w:hAnsi="Cambria" w:cs="Cambria"/>
                <w:color w:val="000000" w:themeColor="text1"/>
                <w:sz w:val="18"/>
                <w:szCs w:val="18"/>
                <w:lang w:val="es-ES" w:eastAsia="es-ES_tradnl"/>
              </w:rPr>
            </w:pPr>
          </w:p>
        </w:tc>
        <w:tc>
          <w:tcPr>
            <w:tcW w:w="1275" w:type="dxa"/>
          </w:tcPr>
          <w:p w14:paraId="263ED74F" w14:textId="244BEC26" w:rsidR="007A5442" w:rsidRPr="00524435" w:rsidRDefault="007A5442" w:rsidP="00C33359">
            <w:pPr>
              <w:ind w:left="72"/>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53D6C565"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715F8968"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79275330"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Closed</w:t>
            </w:r>
          </w:p>
        </w:tc>
      </w:tr>
      <w:tr w:rsidR="00796A41" w:rsidRPr="00524435" w14:paraId="22F8F1EC" w14:textId="77777777" w:rsidTr="00D300E5">
        <w:trPr>
          <w:cnfStyle w:val="000000100000" w:firstRow="0" w:lastRow="0" w:firstColumn="0" w:lastColumn="0" w:oddVBand="0" w:evenVBand="0" w:oddHBand="1" w:evenHBand="0" w:firstRowFirstColumn="0" w:firstRowLastColumn="0" w:lastRowFirstColumn="0" w:lastRowLastColumn="0"/>
          <w:trHeight w:val="28"/>
        </w:trPr>
        <w:tc>
          <w:tcPr>
            <w:tcW w:w="2251" w:type="dxa"/>
          </w:tcPr>
          <w:p w14:paraId="0552E40E"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 xml:space="preserve">Case 12.448, Report No. 44/08, Sergio Emilio Cadena </w:t>
            </w:r>
            <w:proofErr w:type="spellStart"/>
            <w:r w:rsidRPr="00524435">
              <w:rPr>
                <w:rFonts w:ascii="Cambria" w:hAnsi="Cambria" w:cs="Cambria"/>
                <w:color w:val="000000" w:themeColor="text1"/>
                <w:sz w:val="18"/>
                <w:szCs w:val="18"/>
              </w:rPr>
              <w:t>Antolinez</w:t>
            </w:r>
            <w:proofErr w:type="spellEnd"/>
            <w:r w:rsidRPr="00524435">
              <w:rPr>
                <w:rFonts w:ascii="Cambria" w:hAnsi="Cambria" w:cs="Cambria"/>
                <w:color w:val="000000" w:themeColor="text1"/>
                <w:sz w:val="18"/>
                <w:szCs w:val="18"/>
              </w:rPr>
              <w:t xml:space="preserve"> (Colombia)</w:t>
            </w:r>
            <w:r w:rsidRPr="00524435">
              <w:rPr>
                <w:rFonts w:ascii="Cambria" w:hAnsi="Cambria" w:cs="Cambria"/>
                <w:color w:val="000000" w:themeColor="text1"/>
                <w:sz w:val="18"/>
                <w:szCs w:val="18"/>
                <w:vertAlign w:val="superscript"/>
              </w:rPr>
              <w:footnoteReference w:id="134"/>
            </w:r>
          </w:p>
        </w:tc>
        <w:tc>
          <w:tcPr>
            <w:tcW w:w="1125" w:type="dxa"/>
          </w:tcPr>
          <w:p w14:paraId="58039745"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5F825C2D" w14:textId="77777777" w:rsidR="007A5442" w:rsidRPr="00524435" w:rsidRDefault="007A5442" w:rsidP="00C33359">
            <w:pPr>
              <w:ind w:left="72"/>
              <w:jc w:val="center"/>
              <w:rPr>
                <w:rFonts w:ascii="Cambria" w:hAnsi="Cambria" w:cs="Cambria"/>
                <w:color w:val="000000" w:themeColor="text1"/>
                <w:sz w:val="18"/>
                <w:szCs w:val="18"/>
                <w:lang w:eastAsia="es-ES_tradnl"/>
              </w:rPr>
            </w:pPr>
          </w:p>
        </w:tc>
        <w:tc>
          <w:tcPr>
            <w:tcW w:w="1275" w:type="dxa"/>
          </w:tcPr>
          <w:p w14:paraId="1CCF1606" w14:textId="4EB060E7" w:rsidR="007A5442" w:rsidRPr="00524435" w:rsidRDefault="007A5442" w:rsidP="00C33359">
            <w:pPr>
              <w:ind w:left="72"/>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4F8CA37E"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61690545"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14FC0282"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Closed</w:t>
            </w:r>
          </w:p>
        </w:tc>
      </w:tr>
      <w:tr w:rsidR="00796A41" w:rsidRPr="00524435" w14:paraId="46B2E5B7" w14:textId="77777777" w:rsidTr="00D300E5">
        <w:trPr>
          <w:cnfStyle w:val="000000010000" w:firstRow="0" w:lastRow="0" w:firstColumn="0" w:lastColumn="0" w:oddVBand="0" w:evenVBand="0" w:oddHBand="0" w:evenHBand="1" w:firstRowFirstColumn="0" w:firstRowLastColumn="0" w:lastRowFirstColumn="0" w:lastRowLastColumn="0"/>
          <w:trHeight w:val="33"/>
        </w:trPr>
        <w:tc>
          <w:tcPr>
            <w:tcW w:w="2251" w:type="dxa"/>
          </w:tcPr>
          <w:p w14:paraId="4365A328" w14:textId="77777777" w:rsidR="007A5442" w:rsidRPr="003F238D" w:rsidRDefault="007A5442" w:rsidP="00C33359">
            <w:pPr>
              <w:rPr>
                <w:rFonts w:ascii="Cambria" w:hAnsi="Cambria"/>
                <w:color w:val="000000" w:themeColor="text1"/>
                <w:sz w:val="18"/>
                <w:szCs w:val="18"/>
                <w:lang w:val="es-US"/>
              </w:rPr>
            </w:pPr>
            <w:r w:rsidRPr="003F238D">
              <w:rPr>
                <w:rFonts w:ascii="Cambria" w:hAnsi="Cambria" w:cs="Cambria"/>
                <w:color w:val="000000" w:themeColor="text1"/>
                <w:sz w:val="18"/>
                <w:szCs w:val="18"/>
                <w:lang w:val="es-US"/>
              </w:rPr>
              <w:t xml:space="preserve">Case 10.916, </w:t>
            </w:r>
            <w:proofErr w:type="spellStart"/>
            <w:r w:rsidRPr="003F238D">
              <w:rPr>
                <w:rFonts w:ascii="Cambria" w:hAnsi="Cambria" w:cs="Cambria"/>
                <w:color w:val="000000" w:themeColor="text1"/>
                <w:sz w:val="18"/>
                <w:szCs w:val="18"/>
                <w:lang w:val="es-US"/>
              </w:rPr>
              <w:t>Report</w:t>
            </w:r>
            <w:proofErr w:type="spellEnd"/>
            <w:r w:rsidRPr="003F238D">
              <w:rPr>
                <w:rFonts w:ascii="Cambria" w:hAnsi="Cambria" w:cs="Cambria"/>
                <w:color w:val="000000" w:themeColor="text1"/>
                <w:sz w:val="18"/>
                <w:szCs w:val="18"/>
                <w:lang w:val="es-US"/>
              </w:rPr>
              <w:t xml:space="preserve"> No. 79/11, James Zapata Valencia and José Heriberto Ramírez (Colombia)</w:t>
            </w:r>
          </w:p>
        </w:tc>
        <w:tc>
          <w:tcPr>
            <w:tcW w:w="1125" w:type="dxa"/>
          </w:tcPr>
          <w:p w14:paraId="2D3106C1" w14:textId="730B2D59" w:rsidR="007A5442" w:rsidRPr="00524435" w:rsidRDefault="006B7403" w:rsidP="00C33359">
            <w:pPr>
              <w:jc w:val="center"/>
              <w:rPr>
                <w:rFonts w:ascii="Cambria" w:hAnsi="Cambria"/>
                <w:color w:val="000000" w:themeColor="text1"/>
                <w:sz w:val="18"/>
                <w:szCs w:val="18"/>
              </w:rPr>
            </w:pPr>
            <w:hyperlink r:id="rId107"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3BEE15BE"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CDCF00E" w14:textId="27171785"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52F23009"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3029B924"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4BB054D2"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2CEC6D1F" w14:textId="77777777" w:rsidTr="00D300E5">
        <w:trPr>
          <w:cnfStyle w:val="000000100000" w:firstRow="0" w:lastRow="0" w:firstColumn="0" w:lastColumn="0" w:oddVBand="0" w:evenVBand="0" w:oddHBand="1" w:evenHBand="0" w:firstRowFirstColumn="0" w:firstRowLastColumn="0" w:lastRowFirstColumn="0" w:lastRowLastColumn="0"/>
          <w:trHeight w:val="33"/>
        </w:trPr>
        <w:tc>
          <w:tcPr>
            <w:tcW w:w="2251" w:type="dxa"/>
          </w:tcPr>
          <w:p w14:paraId="582366C2"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lastRenderedPageBreak/>
              <w:t xml:space="preserve">Case 12.414, Report No. 101/17, Alcides Torres Arias, </w:t>
            </w:r>
            <w:proofErr w:type="spellStart"/>
            <w:r w:rsidRPr="00524435">
              <w:rPr>
                <w:rFonts w:ascii="Cambria" w:hAnsi="Cambria" w:cs="Cambria"/>
                <w:color w:val="000000" w:themeColor="text1"/>
                <w:sz w:val="18"/>
                <w:szCs w:val="18"/>
              </w:rPr>
              <w:t>Ángel</w:t>
            </w:r>
            <w:proofErr w:type="spellEnd"/>
            <w:r w:rsidRPr="00524435">
              <w:rPr>
                <w:rFonts w:ascii="Cambria" w:hAnsi="Cambria" w:cs="Cambria"/>
                <w:color w:val="000000" w:themeColor="text1"/>
                <w:sz w:val="18"/>
                <w:szCs w:val="18"/>
              </w:rPr>
              <w:t xml:space="preserve"> David Quintero and others (Colombia)</w:t>
            </w:r>
          </w:p>
        </w:tc>
        <w:tc>
          <w:tcPr>
            <w:tcW w:w="1125" w:type="dxa"/>
          </w:tcPr>
          <w:p w14:paraId="612A130A" w14:textId="7FB5D7B5" w:rsidR="007A5442" w:rsidRPr="00524435" w:rsidRDefault="006B7403" w:rsidP="00C33359">
            <w:pPr>
              <w:jc w:val="center"/>
              <w:rPr>
                <w:rFonts w:ascii="Cambria" w:hAnsi="Cambria"/>
                <w:color w:val="000000" w:themeColor="text1"/>
                <w:sz w:val="18"/>
                <w:szCs w:val="18"/>
              </w:rPr>
            </w:pPr>
            <w:hyperlink r:id="rId108"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1B5EA4DB"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6295C6C" w14:textId="37C4FE5A"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1BCB6365"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64B0CA18"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6D45E198"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58294B2E" w14:textId="77777777" w:rsidTr="00D300E5">
        <w:trPr>
          <w:cnfStyle w:val="000000010000" w:firstRow="0" w:lastRow="0" w:firstColumn="0" w:lastColumn="0" w:oddVBand="0" w:evenVBand="0" w:oddHBand="0" w:evenHBand="1" w:firstRowFirstColumn="0" w:firstRowLastColumn="0" w:lastRowFirstColumn="0" w:lastRowLastColumn="0"/>
          <w:trHeight w:val="33"/>
        </w:trPr>
        <w:tc>
          <w:tcPr>
            <w:tcW w:w="2251" w:type="dxa"/>
          </w:tcPr>
          <w:p w14:paraId="0522FD21"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10.455, Report No. 45/17, Valentín </w:t>
            </w:r>
            <w:proofErr w:type="spellStart"/>
            <w:r w:rsidRPr="00524435">
              <w:rPr>
                <w:rFonts w:ascii="Cambria" w:hAnsi="Cambria" w:cs="Cambria"/>
                <w:color w:val="000000" w:themeColor="text1"/>
                <w:sz w:val="18"/>
                <w:szCs w:val="18"/>
              </w:rPr>
              <w:t>Basto</w:t>
            </w:r>
            <w:proofErr w:type="spellEnd"/>
            <w:r w:rsidRPr="00524435">
              <w:rPr>
                <w:rFonts w:ascii="Cambria" w:hAnsi="Cambria" w:cs="Cambria"/>
                <w:color w:val="000000" w:themeColor="text1"/>
                <w:sz w:val="18"/>
                <w:szCs w:val="18"/>
              </w:rPr>
              <w:t xml:space="preserve"> Calderón and others (Colombia) </w:t>
            </w:r>
          </w:p>
        </w:tc>
        <w:tc>
          <w:tcPr>
            <w:tcW w:w="1125" w:type="dxa"/>
          </w:tcPr>
          <w:p w14:paraId="2A559DAD" w14:textId="5C277771" w:rsidR="007A5442" w:rsidRPr="00524435" w:rsidRDefault="006B7403" w:rsidP="00C33359">
            <w:pPr>
              <w:jc w:val="center"/>
              <w:rPr>
                <w:rFonts w:ascii="Cambria" w:hAnsi="Cambria"/>
                <w:color w:val="000000" w:themeColor="text1"/>
                <w:sz w:val="18"/>
                <w:szCs w:val="18"/>
              </w:rPr>
            </w:pPr>
            <w:hyperlink r:id="rId109"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746D834D"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18EC2A6" w14:textId="18E7171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CCE3B1D"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1EBE9517"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106A46C2"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416102FF" w14:textId="77777777" w:rsidTr="00D300E5">
        <w:trPr>
          <w:cnfStyle w:val="000000100000" w:firstRow="0" w:lastRow="0" w:firstColumn="0" w:lastColumn="0" w:oddVBand="0" w:evenVBand="0" w:oddHBand="1" w:evenHBand="0" w:firstRowFirstColumn="0" w:firstRowLastColumn="0" w:lastRowFirstColumn="0" w:lastRowLastColumn="0"/>
          <w:trHeight w:val="33"/>
        </w:trPr>
        <w:tc>
          <w:tcPr>
            <w:tcW w:w="2251" w:type="dxa"/>
          </w:tcPr>
          <w:p w14:paraId="43360139"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12.713, Report No. 35/17, José </w:t>
            </w:r>
            <w:proofErr w:type="spellStart"/>
            <w:r w:rsidRPr="00524435">
              <w:rPr>
                <w:rFonts w:ascii="Cambria" w:hAnsi="Cambria" w:cs="Cambria"/>
                <w:color w:val="000000" w:themeColor="text1"/>
                <w:sz w:val="18"/>
                <w:szCs w:val="18"/>
              </w:rPr>
              <w:t>Rusbel</w:t>
            </w:r>
            <w:proofErr w:type="spellEnd"/>
            <w:r w:rsidRPr="00524435">
              <w:rPr>
                <w:rFonts w:ascii="Cambria" w:hAnsi="Cambria" w:cs="Cambria"/>
                <w:color w:val="000000" w:themeColor="text1"/>
                <w:sz w:val="18"/>
                <w:szCs w:val="18"/>
              </w:rPr>
              <w:t xml:space="preserve"> </w:t>
            </w:r>
            <w:proofErr w:type="gramStart"/>
            <w:r w:rsidRPr="00524435">
              <w:rPr>
                <w:rFonts w:ascii="Cambria" w:hAnsi="Cambria" w:cs="Cambria"/>
                <w:color w:val="000000" w:themeColor="text1"/>
                <w:sz w:val="18"/>
                <w:szCs w:val="18"/>
              </w:rPr>
              <w:t>Lara</w:t>
            </w:r>
            <w:proofErr w:type="gramEnd"/>
            <w:r w:rsidRPr="00524435">
              <w:rPr>
                <w:rFonts w:ascii="Cambria" w:hAnsi="Cambria" w:cs="Cambria"/>
                <w:color w:val="000000" w:themeColor="text1"/>
                <w:sz w:val="18"/>
                <w:szCs w:val="18"/>
              </w:rPr>
              <w:t xml:space="preserve"> and others (Colombia)</w:t>
            </w:r>
          </w:p>
        </w:tc>
        <w:tc>
          <w:tcPr>
            <w:tcW w:w="1125" w:type="dxa"/>
          </w:tcPr>
          <w:p w14:paraId="09D9B590" w14:textId="29487F54" w:rsidR="007A5442" w:rsidRPr="00524435" w:rsidRDefault="006B7403" w:rsidP="00C33359">
            <w:pPr>
              <w:jc w:val="center"/>
              <w:rPr>
                <w:rFonts w:ascii="Cambria" w:hAnsi="Cambria"/>
                <w:color w:val="000000" w:themeColor="text1"/>
                <w:sz w:val="18"/>
                <w:szCs w:val="18"/>
              </w:rPr>
            </w:pPr>
            <w:hyperlink r:id="rId110"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16EA9B95"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016FE3A" w14:textId="285318C9"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D23B14B"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2D5542E5"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3AF4189D"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47C86382" w14:textId="77777777" w:rsidTr="00D300E5">
        <w:trPr>
          <w:cnfStyle w:val="000000010000" w:firstRow="0" w:lastRow="0" w:firstColumn="0" w:lastColumn="0" w:oddVBand="0" w:evenVBand="0" w:oddHBand="0" w:evenHBand="1" w:firstRowFirstColumn="0" w:firstRowLastColumn="0" w:lastRowFirstColumn="0" w:lastRowLastColumn="0"/>
          <w:trHeight w:val="33"/>
        </w:trPr>
        <w:tc>
          <w:tcPr>
            <w:tcW w:w="2251" w:type="dxa"/>
          </w:tcPr>
          <w:p w14:paraId="41BCC0CF" w14:textId="77777777" w:rsidR="007A5442" w:rsidRPr="003F238D" w:rsidRDefault="007A5442" w:rsidP="00C33359">
            <w:pPr>
              <w:rPr>
                <w:rFonts w:ascii="Cambria" w:hAnsi="Cambria" w:cs="Cambria"/>
                <w:color w:val="000000" w:themeColor="text1"/>
                <w:sz w:val="18"/>
                <w:szCs w:val="18"/>
                <w:lang w:val="es-US"/>
              </w:rPr>
            </w:pPr>
            <w:r w:rsidRPr="003F238D">
              <w:rPr>
                <w:rFonts w:ascii="Cambria" w:hAnsi="Cambria" w:cs="Cambria"/>
                <w:color w:val="000000" w:themeColor="text1"/>
                <w:sz w:val="18"/>
                <w:szCs w:val="18"/>
                <w:lang w:val="es-US"/>
              </w:rPr>
              <w:t xml:space="preserve">Case 11.656, </w:t>
            </w:r>
            <w:proofErr w:type="spellStart"/>
            <w:r w:rsidRPr="003F238D">
              <w:rPr>
                <w:rFonts w:ascii="Cambria" w:hAnsi="Cambria" w:cs="Cambria"/>
                <w:color w:val="000000" w:themeColor="text1"/>
                <w:sz w:val="18"/>
                <w:szCs w:val="18"/>
                <w:lang w:val="es-US"/>
              </w:rPr>
              <w:t>Report</w:t>
            </w:r>
            <w:proofErr w:type="spellEnd"/>
            <w:r w:rsidRPr="003F238D">
              <w:rPr>
                <w:rFonts w:ascii="Cambria" w:hAnsi="Cambria" w:cs="Cambria"/>
                <w:color w:val="000000" w:themeColor="text1"/>
                <w:sz w:val="18"/>
                <w:szCs w:val="18"/>
                <w:lang w:val="es-US"/>
              </w:rPr>
              <w:t xml:space="preserve"> No. 122/18, Marta Lucía Álvarez </w:t>
            </w:r>
            <w:proofErr w:type="gramStart"/>
            <w:r w:rsidRPr="003F238D">
              <w:rPr>
                <w:rFonts w:ascii="Cambria" w:hAnsi="Cambria" w:cs="Cambria"/>
                <w:color w:val="000000" w:themeColor="text1"/>
                <w:sz w:val="18"/>
                <w:szCs w:val="18"/>
                <w:lang w:val="es-US"/>
              </w:rPr>
              <w:t>Giraldo  (</w:t>
            </w:r>
            <w:proofErr w:type="gramEnd"/>
            <w:r w:rsidRPr="003F238D">
              <w:rPr>
                <w:rFonts w:ascii="Cambria" w:hAnsi="Cambria" w:cs="Cambria"/>
                <w:color w:val="000000" w:themeColor="text1"/>
                <w:sz w:val="18"/>
                <w:szCs w:val="18"/>
                <w:lang w:val="es-US"/>
              </w:rPr>
              <w:t>Colombia)</w:t>
            </w:r>
          </w:p>
        </w:tc>
        <w:tc>
          <w:tcPr>
            <w:tcW w:w="1125" w:type="dxa"/>
          </w:tcPr>
          <w:p w14:paraId="013DACAE" w14:textId="66400E6D" w:rsidR="007A5442" w:rsidRPr="00524435" w:rsidRDefault="006B7403" w:rsidP="00C33359">
            <w:pPr>
              <w:ind w:left="72"/>
              <w:jc w:val="center"/>
              <w:rPr>
                <w:rFonts w:ascii="Cambria" w:hAnsi="Cambria"/>
                <w:color w:val="000000" w:themeColor="text1"/>
                <w:sz w:val="18"/>
                <w:szCs w:val="18"/>
                <w:lang w:eastAsia="es-ES_tradnl"/>
              </w:rPr>
            </w:pPr>
            <w:hyperlink r:id="rId111"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02B25CAA"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6163CC5" w14:textId="415F5E53"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E2615D5"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66203729"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7CF1153B"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52ECA39E" w14:textId="77777777" w:rsidTr="00D300E5">
        <w:trPr>
          <w:cnfStyle w:val="000000100000" w:firstRow="0" w:lastRow="0" w:firstColumn="0" w:lastColumn="0" w:oddVBand="0" w:evenVBand="0" w:oddHBand="1" w:evenHBand="0" w:firstRowFirstColumn="0" w:firstRowLastColumn="0" w:lastRowFirstColumn="0" w:lastRowLastColumn="0"/>
          <w:trHeight w:val="35"/>
        </w:trPr>
        <w:tc>
          <w:tcPr>
            <w:tcW w:w="2251" w:type="dxa"/>
          </w:tcPr>
          <w:p w14:paraId="6D9E3B6E"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Case 11.726, Report No. 96/19, Norberto Javier Restrepo (Colombia)</w:t>
            </w:r>
          </w:p>
        </w:tc>
        <w:tc>
          <w:tcPr>
            <w:tcW w:w="1125" w:type="dxa"/>
          </w:tcPr>
          <w:p w14:paraId="6A5AD68E" w14:textId="4EE264E4" w:rsidR="007A5442" w:rsidRPr="00524435" w:rsidRDefault="006B7403" w:rsidP="00C33359">
            <w:pPr>
              <w:ind w:left="72"/>
              <w:jc w:val="center"/>
              <w:rPr>
                <w:rStyle w:val="Hyperlink"/>
                <w:rFonts w:ascii="Cambria" w:hAnsi="Cambria"/>
                <w:color w:val="000000" w:themeColor="text1"/>
                <w:sz w:val="18"/>
                <w:szCs w:val="18"/>
                <w:lang w:eastAsia="es-ES_tradnl"/>
              </w:rPr>
            </w:pPr>
            <w:hyperlink r:id="rId112"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12284985"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9E5FF7F" w14:textId="0F999651"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78772EB"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32507BA9"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54A4D783" w14:textId="77777777" w:rsidR="007A5442" w:rsidRPr="00524435" w:rsidRDefault="007A5442" w:rsidP="00C33359">
            <w:pPr>
              <w:jc w:val="center"/>
              <w:rPr>
                <w:rFonts w:ascii="Cambria" w:hAnsi="Cambria"/>
                <w:color w:val="000000" w:themeColor="text1"/>
                <w:sz w:val="18"/>
                <w:szCs w:val="18"/>
              </w:rPr>
            </w:pPr>
            <w:r w:rsidRPr="00524435">
              <w:rPr>
                <w:rFonts w:ascii="Cambria" w:hAnsi="Cambria" w:cs="Cambria"/>
                <w:color w:val="000000" w:themeColor="text1"/>
                <w:sz w:val="18"/>
                <w:szCs w:val="18"/>
              </w:rPr>
              <w:t>Open</w:t>
            </w:r>
          </w:p>
        </w:tc>
      </w:tr>
      <w:tr w:rsidR="00796A41" w:rsidRPr="00524435" w14:paraId="198B58E6" w14:textId="77777777" w:rsidTr="00D300E5">
        <w:trPr>
          <w:cnfStyle w:val="000000010000" w:firstRow="0" w:lastRow="0" w:firstColumn="0" w:lastColumn="0" w:oddVBand="0" w:evenVBand="0" w:oddHBand="0" w:evenHBand="1" w:firstRowFirstColumn="0" w:firstRowLastColumn="0" w:lastRowFirstColumn="0" w:lastRowLastColumn="0"/>
          <w:trHeight w:val="35"/>
        </w:trPr>
        <w:tc>
          <w:tcPr>
            <w:tcW w:w="2251" w:type="dxa"/>
          </w:tcPr>
          <w:p w14:paraId="5B4DB4DF" w14:textId="34122CB9" w:rsidR="007A5442" w:rsidRPr="00524435" w:rsidRDefault="007A5442" w:rsidP="00C33359">
            <w:pPr>
              <w:rPr>
                <w:rFonts w:ascii="Cambria" w:hAnsi="Cambria" w:cs="Cambria"/>
                <w:color w:val="000000" w:themeColor="text1"/>
                <w:sz w:val="18"/>
                <w:szCs w:val="18"/>
              </w:rPr>
            </w:pPr>
            <w:bookmarkStart w:id="18" w:name="_Hlk90999646"/>
            <w:r w:rsidRPr="00524435">
              <w:rPr>
                <w:rFonts w:ascii="Cambria" w:hAnsi="Cambria" w:cs="Cambria"/>
                <w:color w:val="000000" w:themeColor="text1"/>
                <w:sz w:val="18"/>
                <w:szCs w:val="18"/>
              </w:rPr>
              <w:t>Case 12.780, Report Nº 25/20, Carlos Arturo Betancourt Estrada et al. (Colombia)</w:t>
            </w:r>
            <w:bookmarkEnd w:id="18"/>
          </w:p>
        </w:tc>
        <w:tc>
          <w:tcPr>
            <w:tcW w:w="1125" w:type="dxa"/>
          </w:tcPr>
          <w:p w14:paraId="4F20ABFF" w14:textId="4E93542D" w:rsidR="007A5442" w:rsidRPr="00524435" w:rsidRDefault="006B7403" w:rsidP="00C33359">
            <w:pPr>
              <w:ind w:left="72"/>
              <w:jc w:val="center"/>
              <w:rPr>
                <w:rFonts w:ascii="Cambria" w:hAnsi="Cambria"/>
                <w:color w:val="000000" w:themeColor="text1"/>
                <w:sz w:val="18"/>
                <w:szCs w:val="18"/>
              </w:rPr>
            </w:pPr>
            <w:hyperlink r:id="rId113" w:history="1">
              <w:r w:rsidR="007A5442" w:rsidRPr="00524435">
                <w:rPr>
                  <w:rStyle w:val="Hyperlink"/>
                  <w:rFonts w:ascii="Cambria" w:hAnsi="Cambria" w:cs="Cambria"/>
                  <w:color w:val="000000" w:themeColor="text1"/>
                  <w:sz w:val="18"/>
                  <w:szCs w:val="18"/>
                </w:rPr>
                <w:t>Link</w:t>
              </w:r>
            </w:hyperlink>
          </w:p>
        </w:tc>
        <w:tc>
          <w:tcPr>
            <w:tcW w:w="1275" w:type="dxa"/>
          </w:tcPr>
          <w:p w14:paraId="432A5A29"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3733F70" w14:textId="2E991E40"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67557172"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53EE0060"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6C91342B" w14:textId="77777777" w:rsidR="007A5442" w:rsidRPr="00524435" w:rsidRDefault="007A5442" w:rsidP="00C33359">
            <w:pPr>
              <w:jc w:val="center"/>
              <w:rPr>
                <w:rFonts w:ascii="Cambria" w:hAnsi="Cambria" w:cs="Cambria"/>
                <w:color w:val="000000" w:themeColor="text1"/>
                <w:sz w:val="18"/>
                <w:szCs w:val="18"/>
              </w:rPr>
            </w:pPr>
            <w:r w:rsidRPr="00524435">
              <w:rPr>
                <w:rFonts w:ascii="Cambria" w:hAnsi="Cambria" w:cs="Cambria"/>
                <w:color w:val="000000" w:themeColor="text1"/>
                <w:sz w:val="18"/>
                <w:szCs w:val="18"/>
              </w:rPr>
              <w:t>Open</w:t>
            </w:r>
          </w:p>
        </w:tc>
      </w:tr>
      <w:tr w:rsidR="00796A41" w:rsidRPr="00524435" w14:paraId="2BDD0690" w14:textId="77777777" w:rsidTr="00D300E5">
        <w:trPr>
          <w:cnfStyle w:val="000000100000" w:firstRow="0" w:lastRow="0" w:firstColumn="0" w:lastColumn="0" w:oddVBand="0" w:evenVBand="0" w:oddHBand="1" w:evenHBand="0" w:firstRowFirstColumn="0" w:firstRowLastColumn="0" w:lastRowFirstColumn="0" w:lastRowLastColumn="0"/>
          <w:trHeight w:val="35"/>
        </w:trPr>
        <w:tc>
          <w:tcPr>
            <w:tcW w:w="2251" w:type="dxa"/>
          </w:tcPr>
          <w:p w14:paraId="11DE2C06"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 xml:space="preserve">Case </w:t>
            </w:r>
            <w:bookmarkStart w:id="19" w:name="BM12_476"/>
            <w:r w:rsidRPr="00524435">
              <w:rPr>
                <w:rFonts w:ascii="Cambria" w:hAnsi="Cambria" w:cs="Cambria"/>
                <w:color w:val="000000" w:themeColor="text1"/>
                <w:sz w:val="18"/>
                <w:szCs w:val="18"/>
              </w:rPr>
              <w:t>12.476</w:t>
            </w:r>
            <w:bookmarkEnd w:id="19"/>
            <w:r w:rsidRPr="00524435">
              <w:rPr>
                <w:rFonts w:ascii="Cambria" w:hAnsi="Cambria" w:cs="Cambria"/>
                <w:color w:val="000000" w:themeColor="text1"/>
                <w:sz w:val="18"/>
                <w:szCs w:val="18"/>
              </w:rPr>
              <w:t>, Report No. 67/06, Oscar Elías Biscet and others (Cuba)</w:t>
            </w:r>
          </w:p>
        </w:tc>
        <w:tc>
          <w:tcPr>
            <w:tcW w:w="1125" w:type="dxa"/>
          </w:tcPr>
          <w:p w14:paraId="134BAC10" w14:textId="28F3C0ED" w:rsidR="007A5442" w:rsidRPr="00524435" w:rsidRDefault="006B7403" w:rsidP="00C33359">
            <w:pPr>
              <w:jc w:val="center"/>
              <w:rPr>
                <w:rFonts w:ascii="Cambria" w:hAnsi="Cambria"/>
                <w:color w:val="000000" w:themeColor="text1"/>
                <w:sz w:val="18"/>
                <w:szCs w:val="18"/>
              </w:rPr>
            </w:pPr>
            <w:hyperlink r:id="rId114"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6ACEDE73"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59149909" w14:textId="4AD1B9BA"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63FC318"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572C1482"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511BA02F"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09EEA6EA" w14:textId="77777777" w:rsidTr="00D300E5">
        <w:trPr>
          <w:cnfStyle w:val="000000010000" w:firstRow="0" w:lastRow="0" w:firstColumn="0" w:lastColumn="0" w:oddVBand="0" w:evenVBand="0" w:oddHBand="0" w:evenHBand="1" w:firstRowFirstColumn="0" w:firstRowLastColumn="0" w:lastRowFirstColumn="0" w:lastRowLastColumn="0"/>
          <w:trHeight w:val="37"/>
        </w:trPr>
        <w:tc>
          <w:tcPr>
            <w:tcW w:w="2251" w:type="dxa"/>
          </w:tcPr>
          <w:p w14:paraId="595193D5"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w:t>
            </w:r>
            <w:bookmarkStart w:id="20" w:name="BM12_477"/>
            <w:r w:rsidRPr="00524435">
              <w:rPr>
                <w:rFonts w:ascii="Cambria" w:hAnsi="Cambria" w:cs="Cambria"/>
                <w:color w:val="000000" w:themeColor="text1"/>
                <w:sz w:val="18"/>
                <w:szCs w:val="18"/>
              </w:rPr>
              <w:t>12.477</w:t>
            </w:r>
            <w:bookmarkEnd w:id="20"/>
            <w:r w:rsidRPr="00524435">
              <w:rPr>
                <w:rFonts w:ascii="Cambria" w:hAnsi="Cambria" w:cs="Cambria"/>
                <w:color w:val="000000" w:themeColor="text1"/>
                <w:sz w:val="18"/>
                <w:szCs w:val="18"/>
              </w:rPr>
              <w:t xml:space="preserve">, Report No. 68/06, Lorenzo Enrique </w:t>
            </w:r>
            <w:proofErr w:type="spellStart"/>
            <w:r w:rsidRPr="00524435">
              <w:rPr>
                <w:rFonts w:ascii="Cambria" w:hAnsi="Cambria" w:cs="Cambria"/>
                <w:color w:val="000000" w:themeColor="text1"/>
                <w:sz w:val="18"/>
                <w:szCs w:val="18"/>
              </w:rPr>
              <w:t>Copello</w:t>
            </w:r>
            <w:proofErr w:type="spellEnd"/>
            <w:r w:rsidRPr="00524435">
              <w:rPr>
                <w:rFonts w:ascii="Cambria" w:hAnsi="Cambria" w:cs="Cambria"/>
                <w:color w:val="000000" w:themeColor="text1"/>
                <w:sz w:val="18"/>
                <w:szCs w:val="18"/>
              </w:rPr>
              <w:t xml:space="preserve"> </w:t>
            </w:r>
            <w:proofErr w:type="gramStart"/>
            <w:r w:rsidRPr="00524435">
              <w:rPr>
                <w:rFonts w:ascii="Cambria" w:hAnsi="Cambria" w:cs="Cambria"/>
                <w:color w:val="000000" w:themeColor="text1"/>
                <w:sz w:val="18"/>
                <w:szCs w:val="18"/>
              </w:rPr>
              <w:t>Castillo</w:t>
            </w:r>
            <w:proofErr w:type="gramEnd"/>
            <w:r w:rsidRPr="00524435">
              <w:rPr>
                <w:rFonts w:ascii="Cambria" w:hAnsi="Cambria" w:cs="Cambria"/>
                <w:color w:val="000000" w:themeColor="text1"/>
                <w:sz w:val="18"/>
                <w:szCs w:val="18"/>
              </w:rPr>
              <w:t xml:space="preserve"> and others (Cuba)</w:t>
            </w:r>
          </w:p>
        </w:tc>
        <w:tc>
          <w:tcPr>
            <w:tcW w:w="1125" w:type="dxa"/>
          </w:tcPr>
          <w:p w14:paraId="29A14432" w14:textId="05F18F05" w:rsidR="007A5442" w:rsidRPr="00524435" w:rsidRDefault="006B7403" w:rsidP="00C33359">
            <w:pPr>
              <w:jc w:val="center"/>
              <w:rPr>
                <w:rFonts w:ascii="Cambria" w:hAnsi="Cambria"/>
                <w:color w:val="000000" w:themeColor="text1"/>
                <w:sz w:val="18"/>
                <w:szCs w:val="18"/>
              </w:rPr>
            </w:pPr>
            <w:hyperlink r:id="rId115"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251227AE"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AC208A2" w14:textId="1D38BF5E"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0D1F9DA"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426B1994"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21C1267F"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5F6A0737" w14:textId="77777777" w:rsidTr="00D300E5">
        <w:trPr>
          <w:cnfStyle w:val="000000100000" w:firstRow="0" w:lastRow="0" w:firstColumn="0" w:lastColumn="0" w:oddVBand="0" w:evenVBand="0" w:oddHBand="1" w:evenHBand="0" w:firstRowFirstColumn="0" w:firstRowLastColumn="0" w:lastRowFirstColumn="0" w:lastRowLastColumn="0"/>
          <w:trHeight w:val="37"/>
        </w:trPr>
        <w:tc>
          <w:tcPr>
            <w:tcW w:w="2251" w:type="dxa"/>
          </w:tcPr>
          <w:p w14:paraId="23860B25" w14:textId="77777777" w:rsidR="007A5442" w:rsidRPr="007A5442" w:rsidRDefault="007A5442" w:rsidP="00C33359">
            <w:pPr>
              <w:rPr>
                <w:rFonts w:ascii="Cambria" w:hAnsi="Cambria" w:cs="Cambria"/>
                <w:color w:val="000000" w:themeColor="text1"/>
                <w:sz w:val="18"/>
                <w:szCs w:val="18"/>
                <w:lang w:val="es-ES"/>
              </w:rPr>
            </w:pPr>
            <w:r w:rsidRPr="003F238D">
              <w:rPr>
                <w:rFonts w:ascii="Cambria" w:hAnsi="Cambria" w:cs="Cambria"/>
                <w:color w:val="000000" w:themeColor="text1"/>
                <w:sz w:val="18"/>
                <w:szCs w:val="18"/>
                <w:lang w:val="es-US"/>
              </w:rPr>
              <w:t xml:space="preserve">Case 12.127, </w:t>
            </w:r>
            <w:proofErr w:type="spellStart"/>
            <w:r w:rsidRPr="003F238D">
              <w:rPr>
                <w:rFonts w:ascii="Cambria" w:hAnsi="Cambria" w:cs="Cambria"/>
                <w:color w:val="000000" w:themeColor="text1"/>
                <w:sz w:val="18"/>
                <w:szCs w:val="18"/>
                <w:lang w:val="es-US"/>
              </w:rPr>
              <w:t>Report</w:t>
            </w:r>
            <w:proofErr w:type="spellEnd"/>
            <w:r w:rsidRPr="003F238D">
              <w:rPr>
                <w:rFonts w:ascii="Cambria" w:hAnsi="Cambria" w:cs="Cambria"/>
                <w:color w:val="000000" w:themeColor="text1"/>
                <w:sz w:val="18"/>
                <w:szCs w:val="18"/>
                <w:lang w:val="es-US"/>
              </w:rPr>
              <w:t xml:space="preserve"> No. 27/</w:t>
            </w:r>
            <w:proofErr w:type="gramStart"/>
            <w:r w:rsidRPr="003F238D">
              <w:rPr>
                <w:rFonts w:ascii="Cambria" w:hAnsi="Cambria" w:cs="Cambria"/>
                <w:color w:val="000000" w:themeColor="text1"/>
                <w:sz w:val="18"/>
                <w:szCs w:val="18"/>
                <w:lang w:val="es-US"/>
              </w:rPr>
              <w:t xml:space="preserve">18,  </w:t>
            </w:r>
            <w:proofErr w:type="spellStart"/>
            <w:r w:rsidRPr="003F238D">
              <w:rPr>
                <w:rFonts w:ascii="Cambria" w:hAnsi="Cambria" w:cs="Cambria"/>
                <w:color w:val="000000" w:themeColor="text1"/>
                <w:sz w:val="18"/>
                <w:szCs w:val="18"/>
                <w:lang w:val="es-US"/>
              </w:rPr>
              <w:t>Valdimiro</w:t>
            </w:r>
            <w:proofErr w:type="spellEnd"/>
            <w:proofErr w:type="gramEnd"/>
            <w:r w:rsidRPr="003F238D">
              <w:rPr>
                <w:rFonts w:ascii="Cambria" w:hAnsi="Cambria" w:cs="Cambria"/>
                <w:color w:val="000000" w:themeColor="text1"/>
                <w:sz w:val="18"/>
                <w:szCs w:val="18"/>
                <w:lang w:val="es-US"/>
              </w:rPr>
              <w:t xml:space="preserve"> Roca </w:t>
            </w:r>
            <w:proofErr w:type="spellStart"/>
            <w:r w:rsidRPr="003F238D">
              <w:rPr>
                <w:rFonts w:ascii="Cambria" w:hAnsi="Cambria" w:cs="Cambria"/>
                <w:color w:val="000000" w:themeColor="text1"/>
                <w:sz w:val="18"/>
                <w:szCs w:val="18"/>
                <w:lang w:val="es-US"/>
              </w:rPr>
              <w:t>Antunez</w:t>
            </w:r>
            <w:proofErr w:type="spellEnd"/>
            <w:r w:rsidRPr="003F238D">
              <w:rPr>
                <w:rFonts w:ascii="Cambria" w:hAnsi="Cambria" w:cs="Cambria"/>
                <w:color w:val="000000" w:themeColor="text1"/>
                <w:sz w:val="18"/>
                <w:szCs w:val="18"/>
                <w:lang w:val="es-US"/>
              </w:rPr>
              <w:t xml:space="preserve"> et. al. </w:t>
            </w:r>
            <w:r w:rsidRPr="007A5442">
              <w:rPr>
                <w:rFonts w:ascii="Cambria" w:hAnsi="Cambria" w:cs="Cambria"/>
                <w:color w:val="000000" w:themeColor="text1"/>
                <w:sz w:val="18"/>
                <w:szCs w:val="18"/>
                <w:lang w:val="es-ES"/>
              </w:rPr>
              <w:t>(Cuba)</w:t>
            </w:r>
          </w:p>
        </w:tc>
        <w:tc>
          <w:tcPr>
            <w:tcW w:w="1125" w:type="dxa"/>
          </w:tcPr>
          <w:p w14:paraId="68663D64" w14:textId="1E2135C0" w:rsidR="007A5442" w:rsidRPr="00524435" w:rsidRDefault="006B7403" w:rsidP="00C33359">
            <w:pPr>
              <w:jc w:val="center"/>
              <w:rPr>
                <w:rFonts w:ascii="Cambria" w:hAnsi="Cambria"/>
                <w:color w:val="000000" w:themeColor="text1"/>
                <w:sz w:val="18"/>
                <w:szCs w:val="18"/>
              </w:rPr>
            </w:pPr>
            <w:hyperlink r:id="rId116"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594469B7"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54E12F3" w14:textId="44891055"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F39C427"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3626D7C6"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0B3084F9"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6BF49BF3" w14:textId="77777777" w:rsidTr="00D300E5">
        <w:trPr>
          <w:cnfStyle w:val="000000010000" w:firstRow="0" w:lastRow="0" w:firstColumn="0" w:lastColumn="0" w:oddVBand="0" w:evenVBand="0" w:oddHBand="0" w:evenHBand="1" w:firstRowFirstColumn="0" w:firstRowLastColumn="0" w:lastRowFirstColumn="0" w:lastRowLastColumn="0"/>
          <w:trHeight w:val="29"/>
        </w:trPr>
        <w:tc>
          <w:tcPr>
            <w:tcW w:w="2251" w:type="dxa"/>
          </w:tcPr>
          <w:p w14:paraId="01A3C31E" w14:textId="77777777" w:rsidR="007A5442" w:rsidRPr="007A5442" w:rsidRDefault="007A5442" w:rsidP="00C33359">
            <w:pPr>
              <w:rPr>
                <w:rFonts w:ascii="Cambria" w:hAnsi="Cambria"/>
                <w:color w:val="000000" w:themeColor="text1"/>
                <w:sz w:val="18"/>
                <w:szCs w:val="18"/>
                <w:lang w:val="es-ES"/>
              </w:rPr>
            </w:pPr>
            <w:r w:rsidRPr="007A5442">
              <w:rPr>
                <w:rFonts w:ascii="Cambria" w:hAnsi="Cambria" w:cs="Cambria"/>
                <w:color w:val="000000" w:themeColor="text1"/>
                <w:sz w:val="18"/>
                <w:szCs w:val="18"/>
                <w:lang w:val="es-ES"/>
              </w:rPr>
              <w:br w:type="page"/>
              <w:t xml:space="preserve">Case 11.992, </w:t>
            </w:r>
            <w:proofErr w:type="spellStart"/>
            <w:r w:rsidRPr="007A5442">
              <w:rPr>
                <w:rFonts w:ascii="Cambria" w:hAnsi="Cambria" w:cs="Cambria"/>
                <w:color w:val="000000" w:themeColor="text1"/>
                <w:sz w:val="18"/>
                <w:szCs w:val="18"/>
                <w:lang w:val="es-ES"/>
              </w:rPr>
              <w:t>Report</w:t>
            </w:r>
            <w:proofErr w:type="spellEnd"/>
            <w:r w:rsidRPr="007A5442">
              <w:rPr>
                <w:rFonts w:ascii="Cambria" w:hAnsi="Cambria" w:cs="Cambria"/>
                <w:color w:val="000000" w:themeColor="text1"/>
                <w:sz w:val="18"/>
                <w:szCs w:val="18"/>
                <w:lang w:val="es-ES"/>
              </w:rPr>
              <w:t xml:space="preserve"> No. 66/01, Dayra María </w:t>
            </w:r>
            <w:proofErr w:type="spellStart"/>
            <w:r w:rsidRPr="007A5442">
              <w:rPr>
                <w:rFonts w:ascii="Cambria" w:hAnsi="Cambria" w:cs="Cambria"/>
                <w:color w:val="000000" w:themeColor="text1"/>
                <w:sz w:val="18"/>
                <w:szCs w:val="18"/>
                <w:lang w:val="es-ES"/>
              </w:rPr>
              <w:t>Levoyer</w:t>
            </w:r>
            <w:proofErr w:type="spellEnd"/>
            <w:r w:rsidRPr="007A5442">
              <w:rPr>
                <w:rFonts w:ascii="Cambria" w:hAnsi="Cambria" w:cs="Cambria"/>
                <w:color w:val="000000" w:themeColor="text1"/>
                <w:sz w:val="18"/>
                <w:szCs w:val="18"/>
                <w:lang w:val="es-ES"/>
              </w:rPr>
              <w:t xml:space="preserve"> Jiménez (Ecuador)</w:t>
            </w:r>
          </w:p>
        </w:tc>
        <w:tc>
          <w:tcPr>
            <w:tcW w:w="1125" w:type="dxa"/>
          </w:tcPr>
          <w:p w14:paraId="02810C3A" w14:textId="5BD6AC22" w:rsidR="007A5442" w:rsidRPr="00524435" w:rsidRDefault="006B7403" w:rsidP="00C33359">
            <w:pPr>
              <w:jc w:val="center"/>
              <w:rPr>
                <w:rFonts w:ascii="Cambria" w:hAnsi="Cambria"/>
                <w:color w:val="000000" w:themeColor="text1"/>
                <w:sz w:val="18"/>
                <w:szCs w:val="18"/>
              </w:rPr>
            </w:pPr>
            <w:hyperlink r:id="rId117"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62A796F8"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BBEB4A3" w14:textId="30986D58"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E248C98"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6B327753"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0A18940E"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27B7AB58" w14:textId="77777777" w:rsidTr="00D300E5">
        <w:trPr>
          <w:cnfStyle w:val="000000100000" w:firstRow="0" w:lastRow="0" w:firstColumn="0" w:lastColumn="0" w:oddVBand="0" w:evenVBand="0" w:oddHBand="1" w:evenHBand="0" w:firstRowFirstColumn="0" w:firstRowLastColumn="0" w:lastRowFirstColumn="0" w:lastRowLastColumn="0"/>
          <w:trHeight w:val="35"/>
        </w:trPr>
        <w:tc>
          <w:tcPr>
            <w:tcW w:w="2251" w:type="dxa"/>
          </w:tcPr>
          <w:p w14:paraId="220FA254" w14:textId="77777777" w:rsidR="007A5442" w:rsidRPr="00DF0CD0" w:rsidRDefault="007A5442" w:rsidP="00C33359">
            <w:pPr>
              <w:rPr>
                <w:rFonts w:ascii="Cambria" w:hAnsi="Cambria"/>
                <w:color w:val="000000" w:themeColor="text1"/>
                <w:sz w:val="18"/>
                <w:szCs w:val="18"/>
                <w:lang w:val="es-US"/>
              </w:rPr>
            </w:pPr>
            <w:r w:rsidRPr="00DF0CD0">
              <w:rPr>
                <w:rFonts w:ascii="Cambria" w:hAnsi="Cambria" w:cs="Cambria"/>
                <w:color w:val="000000" w:themeColor="text1"/>
                <w:sz w:val="18"/>
                <w:szCs w:val="18"/>
                <w:lang w:val="es-US"/>
              </w:rPr>
              <w:t xml:space="preserve">Case 12.487, </w:t>
            </w:r>
            <w:proofErr w:type="spellStart"/>
            <w:r w:rsidRPr="00DF0CD0">
              <w:rPr>
                <w:rFonts w:ascii="Cambria" w:hAnsi="Cambria" w:cs="Cambria"/>
                <w:color w:val="000000" w:themeColor="text1"/>
                <w:sz w:val="18"/>
                <w:szCs w:val="18"/>
                <w:lang w:val="es-US"/>
              </w:rPr>
              <w:t>Report</w:t>
            </w:r>
            <w:proofErr w:type="spellEnd"/>
            <w:r w:rsidRPr="00DF0CD0">
              <w:rPr>
                <w:rFonts w:ascii="Cambria" w:hAnsi="Cambria" w:cs="Cambria"/>
                <w:color w:val="000000" w:themeColor="text1"/>
                <w:sz w:val="18"/>
                <w:szCs w:val="18"/>
                <w:lang w:val="es-US"/>
              </w:rPr>
              <w:t xml:space="preserve"> No. 17/08, Rafael Ignacio Cuesta </w:t>
            </w:r>
            <w:proofErr w:type="spellStart"/>
            <w:r w:rsidRPr="00DF0CD0">
              <w:rPr>
                <w:rFonts w:ascii="Cambria" w:hAnsi="Cambria" w:cs="Cambria"/>
                <w:color w:val="000000" w:themeColor="text1"/>
                <w:sz w:val="18"/>
                <w:szCs w:val="18"/>
                <w:lang w:val="es-US"/>
              </w:rPr>
              <w:t>Caputi</w:t>
            </w:r>
            <w:proofErr w:type="spellEnd"/>
            <w:r w:rsidRPr="00DF0CD0">
              <w:rPr>
                <w:rFonts w:ascii="Cambria" w:hAnsi="Cambria" w:cs="Cambria"/>
                <w:color w:val="000000" w:themeColor="text1"/>
                <w:sz w:val="18"/>
                <w:szCs w:val="18"/>
                <w:lang w:val="es-US"/>
              </w:rPr>
              <w:t xml:space="preserve"> (Ecuador)</w:t>
            </w:r>
          </w:p>
        </w:tc>
        <w:tc>
          <w:tcPr>
            <w:tcW w:w="1125" w:type="dxa"/>
          </w:tcPr>
          <w:p w14:paraId="4CD33D77" w14:textId="08898E68" w:rsidR="007A5442" w:rsidRPr="00524435" w:rsidRDefault="006B7403" w:rsidP="00FE76BD">
            <w:pPr>
              <w:jc w:val="center"/>
              <w:rPr>
                <w:rFonts w:ascii="Cambria" w:hAnsi="Cambria"/>
                <w:color w:val="000000" w:themeColor="text1"/>
                <w:sz w:val="18"/>
                <w:szCs w:val="18"/>
              </w:rPr>
            </w:pPr>
            <w:hyperlink r:id="rId118"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02A1D9AE"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5EE9ECF9" w14:textId="5257854E"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F34F821"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3E1FE481"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688DEC85"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12CCA379" w14:textId="77777777" w:rsidTr="00D300E5">
        <w:trPr>
          <w:cnfStyle w:val="000000010000" w:firstRow="0" w:lastRow="0" w:firstColumn="0" w:lastColumn="0" w:oddVBand="0" w:evenVBand="0" w:oddHBand="0" w:evenHBand="1" w:firstRowFirstColumn="0" w:firstRowLastColumn="0" w:lastRowFirstColumn="0" w:lastRowLastColumn="0"/>
          <w:trHeight w:val="29"/>
        </w:trPr>
        <w:tc>
          <w:tcPr>
            <w:tcW w:w="2251" w:type="dxa"/>
          </w:tcPr>
          <w:p w14:paraId="4C352091"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 xml:space="preserve">Case 12.525, Report No. 84/09, Nelson Iván </w:t>
            </w:r>
            <w:proofErr w:type="spellStart"/>
            <w:r w:rsidRPr="00524435">
              <w:rPr>
                <w:rFonts w:ascii="Cambria" w:hAnsi="Cambria" w:cs="Cambria"/>
                <w:color w:val="000000" w:themeColor="text1"/>
                <w:sz w:val="18"/>
                <w:szCs w:val="18"/>
              </w:rPr>
              <w:t>Serano</w:t>
            </w:r>
            <w:proofErr w:type="spellEnd"/>
            <w:r w:rsidRPr="00524435">
              <w:rPr>
                <w:rFonts w:ascii="Cambria" w:hAnsi="Cambria" w:cs="Cambria"/>
                <w:color w:val="000000" w:themeColor="text1"/>
                <w:sz w:val="18"/>
                <w:szCs w:val="18"/>
              </w:rPr>
              <w:t xml:space="preserve"> </w:t>
            </w:r>
            <w:proofErr w:type="spellStart"/>
            <w:r w:rsidRPr="00524435">
              <w:rPr>
                <w:rFonts w:ascii="Cambria" w:hAnsi="Cambria" w:cs="Cambria"/>
                <w:color w:val="000000" w:themeColor="text1"/>
                <w:sz w:val="18"/>
                <w:szCs w:val="18"/>
              </w:rPr>
              <w:t>Sáenz</w:t>
            </w:r>
            <w:proofErr w:type="spellEnd"/>
            <w:r w:rsidRPr="00524435">
              <w:rPr>
                <w:rFonts w:ascii="Cambria" w:hAnsi="Cambria" w:cs="Cambria"/>
                <w:color w:val="000000" w:themeColor="text1"/>
                <w:sz w:val="18"/>
                <w:szCs w:val="18"/>
              </w:rPr>
              <w:t xml:space="preserve"> (Ecuador)</w:t>
            </w:r>
          </w:p>
        </w:tc>
        <w:tc>
          <w:tcPr>
            <w:tcW w:w="1125" w:type="dxa"/>
          </w:tcPr>
          <w:p w14:paraId="2D2F2D19" w14:textId="59F00552" w:rsidR="007A5442" w:rsidRPr="00524435" w:rsidRDefault="006B7403" w:rsidP="00C33359">
            <w:pPr>
              <w:jc w:val="center"/>
              <w:rPr>
                <w:rFonts w:ascii="Cambria" w:hAnsi="Cambria"/>
                <w:color w:val="000000" w:themeColor="text1"/>
                <w:sz w:val="18"/>
                <w:szCs w:val="18"/>
              </w:rPr>
            </w:pPr>
            <w:hyperlink r:id="rId119"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2FCC9665"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5E1EA6F" w14:textId="1628A19C"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6EB4957"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4B695E1B"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244C00EF"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64CD147E" w14:textId="77777777" w:rsidTr="00D300E5">
        <w:trPr>
          <w:cnfStyle w:val="000000100000" w:firstRow="0" w:lastRow="0" w:firstColumn="0" w:lastColumn="0" w:oddVBand="0" w:evenVBand="0" w:oddHBand="1" w:evenHBand="0" w:firstRowFirstColumn="0" w:firstRowLastColumn="0" w:lastRowFirstColumn="0" w:lastRowLastColumn="0"/>
          <w:trHeight w:val="30"/>
        </w:trPr>
        <w:tc>
          <w:tcPr>
            <w:tcW w:w="2251" w:type="dxa"/>
          </w:tcPr>
          <w:p w14:paraId="4FA819D8"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Case 12.393, Report No. 44/17, James Judge (Ecuador)</w:t>
            </w:r>
            <w:r w:rsidRPr="00524435">
              <w:rPr>
                <w:rFonts w:ascii="Cambria" w:hAnsi="Cambria" w:cs="Cambria"/>
                <w:color w:val="000000" w:themeColor="text1"/>
                <w:sz w:val="18"/>
                <w:szCs w:val="18"/>
                <w:vertAlign w:val="superscript"/>
              </w:rPr>
              <w:footnoteReference w:id="135"/>
            </w:r>
            <w:r w:rsidRPr="00524435">
              <w:rPr>
                <w:rFonts w:ascii="Cambria" w:hAnsi="Cambria" w:cs="Cambria"/>
                <w:color w:val="000000" w:themeColor="text1"/>
                <w:sz w:val="18"/>
                <w:szCs w:val="18"/>
              </w:rPr>
              <w:t xml:space="preserve"> </w:t>
            </w:r>
          </w:p>
        </w:tc>
        <w:tc>
          <w:tcPr>
            <w:tcW w:w="1125" w:type="dxa"/>
          </w:tcPr>
          <w:p w14:paraId="7EF458D8"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18A8FE5B" w14:textId="77777777" w:rsidR="007A5442" w:rsidRPr="00524435" w:rsidRDefault="007A5442" w:rsidP="00C33359">
            <w:pPr>
              <w:ind w:left="72"/>
              <w:jc w:val="center"/>
              <w:rPr>
                <w:rFonts w:ascii="Cambria" w:hAnsi="Cambria" w:cs="Cambria"/>
                <w:color w:val="000000" w:themeColor="text1"/>
                <w:sz w:val="18"/>
                <w:szCs w:val="18"/>
                <w:lang w:eastAsia="es-ES_tradnl"/>
              </w:rPr>
            </w:pPr>
          </w:p>
        </w:tc>
        <w:tc>
          <w:tcPr>
            <w:tcW w:w="1275" w:type="dxa"/>
          </w:tcPr>
          <w:p w14:paraId="7F014D74" w14:textId="56B27E6D" w:rsidR="007A5442" w:rsidRPr="00524435" w:rsidRDefault="007A5442" w:rsidP="00C33359">
            <w:pPr>
              <w:ind w:left="72"/>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70054610"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155DB572"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4706A3F7"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Closed</w:t>
            </w:r>
          </w:p>
        </w:tc>
      </w:tr>
      <w:tr w:rsidR="00796A41" w:rsidRPr="00524435" w14:paraId="480F1E54" w14:textId="77777777" w:rsidTr="00D300E5">
        <w:trPr>
          <w:cnfStyle w:val="000000010000" w:firstRow="0" w:lastRow="0" w:firstColumn="0" w:lastColumn="0" w:oddVBand="0" w:evenVBand="0" w:oddHBand="0" w:evenHBand="1" w:firstRowFirstColumn="0" w:firstRowLastColumn="0" w:lastRowFirstColumn="0" w:lastRowLastColumn="0"/>
          <w:trHeight w:val="32"/>
        </w:trPr>
        <w:tc>
          <w:tcPr>
            <w:tcW w:w="2251" w:type="dxa"/>
          </w:tcPr>
          <w:p w14:paraId="2A9816D8"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11.624, Report No. 992/19, Jorge </w:t>
            </w:r>
            <w:proofErr w:type="gramStart"/>
            <w:r w:rsidRPr="00524435">
              <w:rPr>
                <w:rFonts w:ascii="Cambria" w:hAnsi="Cambria" w:cs="Cambria"/>
                <w:color w:val="000000" w:themeColor="text1"/>
                <w:sz w:val="18"/>
                <w:szCs w:val="18"/>
              </w:rPr>
              <w:t>Darwin</w:t>
            </w:r>
            <w:proofErr w:type="gramEnd"/>
            <w:r w:rsidRPr="00524435">
              <w:rPr>
                <w:rFonts w:ascii="Cambria" w:hAnsi="Cambria" w:cs="Cambria"/>
                <w:color w:val="000000" w:themeColor="text1"/>
                <w:sz w:val="18"/>
                <w:szCs w:val="18"/>
              </w:rPr>
              <w:t xml:space="preserve"> and family (Ecuador)</w:t>
            </w:r>
          </w:p>
        </w:tc>
        <w:tc>
          <w:tcPr>
            <w:tcW w:w="1125" w:type="dxa"/>
          </w:tcPr>
          <w:p w14:paraId="27B1139E" w14:textId="3D947405" w:rsidR="007A5442" w:rsidRPr="00524435" w:rsidRDefault="006B7403" w:rsidP="00C33359">
            <w:pPr>
              <w:ind w:left="72"/>
              <w:jc w:val="center"/>
              <w:rPr>
                <w:rStyle w:val="Hyperlink"/>
                <w:rFonts w:ascii="Cambria" w:hAnsi="Cambria"/>
                <w:color w:val="000000" w:themeColor="text1"/>
                <w:sz w:val="18"/>
                <w:szCs w:val="18"/>
                <w:lang w:eastAsia="es-ES_tradnl"/>
              </w:rPr>
            </w:pPr>
            <w:hyperlink r:id="rId120" w:history="1">
              <w:r w:rsidR="007A5442" w:rsidRPr="00524435">
                <w:rPr>
                  <w:rStyle w:val="Hyperlink"/>
                  <w:rFonts w:ascii="Cambria" w:hAnsi="Cambria"/>
                  <w:color w:val="000000" w:themeColor="text1"/>
                  <w:sz w:val="18"/>
                  <w:szCs w:val="18"/>
                  <w:lang w:eastAsia="es-ES_tradnl"/>
                </w:rPr>
                <w:t>Link</w:t>
              </w:r>
            </w:hyperlink>
          </w:p>
        </w:tc>
        <w:tc>
          <w:tcPr>
            <w:tcW w:w="1275" w:type="dxa"/>
          </w:tcPr>
          <w:p w14:paraId="00FC2ACE"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F4A6240" w14:textId="2632ABF9"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3A80085"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0F28F544"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3155EA6D" w14:textId="77777777" w:rsidR="007A5442" w:rsidRPr="00524435" w:rsidRDefault="007A5442" w:rsidP="00C33359">
            <w:pPr>
              <w:jc w:val="center"/>
              <w:rPr>
                <w:rFonts w:ascii="Cambria" w:hAnsi="Cambria"/>
                <w:color w:val="000000" w:themeColor="text1"/>
                <w:sz w:val="18"/>
                <w:szCs w:val="18"/>
              </w:rPr>
            </w:pPr>
            <w:r w:rsidRPr="00524435">
              <w:rPr>
                <w:rFonts w:ascii="Cambria" w:hAnsi="Cambria" w:cs="Cambria"/>
                <w:color w:val="000000" w:themeColor="text1"/>
                <w:sz w:val="18"/>
                <w:szCs w:val="18"/>
              </w:rPr>
              <w:t>Open</w:t>
            </w:r>
          </w:p>
        </w:tc>
      </w:tr>
      <w:tr w:rsidR="00796A41" w:rsidRPr="00524435" w14:paraId="56D38C33" w14:textId="77777777" w:rsidTr="00D300E5">
        <w:trPr>
          <w:cnfStyle w:val="000000100000" w:firstRow="0" w:lastRow="0" w:firstColumn="0" w:lastColumn="0" w:oddVBand="0" w:evenVBand="0" w:oddHBand="1" w:evenHBand="0" w:firstRowFirstColumn="0" w:firstRowLastColumn="0" w:lastRowFirstColumn="0" w:lastRowLastColumn="0"/>
          <w:trHeight w:val="32"/>
        </w:trPr>
        <w:tc>
          <w:tcPr>
            <w:tcW w:w="2251" w:type="dxa"/>
          </w:tcPr>
          <w:p w14:paraId="070B6857"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 xml:space="preserve">Case 12.249, Report No. 27/09, Jorge </w:t>
            </w:r>
            <w:proofErr w:type="spellStart"/>
            <w:r w:rsidRPr="00524435">
              <w:rPr>
                <w:rFonts w:ascii="Cambria" w:hAnsi="Cambria" w:cs="Cambria"/>
                <w:color w:val="000000" w:themeColor="text1"/>
                <w:sz w:val="18"/>
                <w:szCs w:val="18"/>
              </w:rPr>
              <w:t>Odir</w:t>
            </w:r>
            <w:proofErr w:type="spellEnd"/>
            <w:r w:rsidRPr="00524435">
              <w:rPr>
                <w:rFonts w:ascii="Cambria" w:hAnsi="Cambria" w:cs="Cambria"/>
                <w:color w:val="000000" w:themeColor="text1"/>
                <w:sz w:val="18"/>
                <w:szCs w:val="18"/>
              </w:rPr>
              <w:t xml:space="preserve"> Miranda </w:t>
            </w:r>
            <w:proofErr w:type="gramStart"/>
            <w:r w:rsidRPr="00524435">
              <w:rPr>
                <w:rFonts w:ascii="Cambria" w:hAnsi="Cambria" w:cs="Cambria"/>
                <w:color w:val="000000" w:themeColor="text1"/>
                <w:sz w:val="18"/>
                <w:szCs w:val="18"/>
              </w:rPr>
              <w:t>Cortez</w:t>
            </w:r>
            <w:proofErr w:type="gramEnd"/>
            <w:r w:rsidRPr="00524435">
              <w:rPr>
                <w:rFonts w:ascii="Cambria" w:hAnsi="Cambria" w:cs="Cambria"/>
                <w:color w:val="000000" w:themeColor="text1"/>
                <w:sz w:val="18"/>
                <w:szCs w:val="18"/>
              </w:rPr>
              <w:t xml:space="preserve"> and others (El Salvador)</w:t>
            </w:r>
          </w:p>
        </w:tc>
        <w:tc>
          <w:tcPr>
            <w:tcW w:w="1125" w:type="dxa"/>
          </w:tcPr>
          <w:p w14:paraId="5BAE93B1" w14:textId="70DD8046" w:rsidR="007A5442" w:rsidRPr="00524435" w:rsidRDefault="006B7403" w:rsidP="00C33359">
            <w:pPr>
              <w:jc w:val="center"/>
              <w:rPr>
                <w:rFonts w:ascii="Cambria" w:hAnsi="Cambria"/>
                <w:color w:val="000000" w:themeColor="text1"/>
                <w:sz w:val="18"/>
                <w:szCs w:val="18"/>
              </w:rPr>
            </w:pPr>
            <w:hyperlink r:id="rId121"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37C8DC0C"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5364CF15" w14:textId="6502CEEA"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5D69340A"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27FE548D"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62FE74CB"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7E27332F" w14:textId="77777777" w:rsidTr="00D300E5">
        <w:trPr>
          <w:cnfStyle w:val="000000010000" w:firstRow="0" w:lastRow="0" w:firstColumn="0" w:lastColumn="0" w:oddVBand="0" w:evenVBand="0" w:oddHBand="0" w:evenHBand="1" w:firstRowFirstColumn="0" w:firstRowLastColumn="0" w:lastRowFirstColumn="0" w:lastRowLastColumn="0"/>
          <w:trHeight w:val="28"/>
        </w:trPr>
        <w:tc>
          <w:tcPr>
            <w:tcW w:w="2251" w:type="dxa"/>
          </w:tcPr>
          <w:p w14:paraId="0CB6756B"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 xml:space="preserve">Case </w:t>
            </w:r>
            <w:bookmarkStart w:id="21" w:name="BM12_028"/>
            <w:r w:rsidRPr="00524435">
              <w:rPr>
                <w:rFonts w:ascii="Cambria" w:hAnsi="Cambria" w:cs="Cambria"/>
                <w:color w:val="000000" w:themeColor="text1"/>
                <w:sz w:val="18"/>
                <w:szCs w:val="18"/>
              </w:rPr>
              <w:t>12.028</w:t>
            </w:r>
            <w:bookmarkEnd w:id="21"/>
            <w:r w:rsidRPr="00524435">
              <w:rPr>
                <w:rFonts w:ascii="Cambria" w:hAnsi="Cambria" w:cs="Cambria"/>
                <w:color w:val="000000" w:themeColor="text1"/>
                <w:sz w:val="18"/>
                <w:szCs w:val="18"/>
              </w:rPr>
              <w:t xml:space="preserve">, Report No. 47/01, </w:t>
            </w:r>
            <w:proofErr w:type="spellStart"/>
            <w:r w:rsidRPr="00524435">
              <w:rPr>
                <w:rFonts w:ascii="Cambria" w:hAnsi="Cambria" w:cs="Cambria"/>
                <w:color w:val="000000" w:themeColor="text1"/>
                <w:sz w:val="18"/>
                <w:szCs w:val="18"/>
              </w:rPr>
              <w:t>Donnason</w:t>
            </w:r>
            <w:proofErr w:type="spellEnd"/>
            <w:r w:rsidRPr="00524435">
              <w:rPr>
                <w:rFonts w:ascii="Cambria" w:hAnsi="Cambria" w:cs="Cambria"/>
                <w:color w:val="000000" w:themeColor="text1"/>
                <w:sz w:val="18"/>
                <w:szCs w:val="18"/>
              </w:rPr>
              <w:t xml:space="preserve"> Knights (Grenada)</w:t>
            </w:r>
          </w:p>
        </w:tc>
        <w:tc>
          <w:tcPr>
            <w:tcW w:w="1125" w:type="dxa"/>
          </w:tcPr>
          <w:p w14:paraId="4EC34B22" w14:textId="112FC05D" w:rsidR="007A5442" w:rsidRPr="00524435" w:rsidRDefault="006B7403" w:rsidP="00C33359">
            <w:pPr>
              <w:jc w:val="center"/>
              <w:rPr>
                <w:rFonts w:ascii="Cambria" w:hAnsi="Cambria"/>
                <w:color w:val="000000" w:themeColor="text1"/>
                <w:sz w:val="18"/>
                <w:szCs w:val="18"/>
              </w:rPr>
            </w:pPr>
            <w:hyperlink r:id="rId122"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574B1EC7"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5263935" w14:textId="2FAE9306"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166D88A3"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031F9BA7"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6EA2FF40"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76E51BBF" w14:textId="77777777" w:rsidTr="00D300E5">
        <w:trPr>
          <w:cnfStyle w:val="000000100000" w:firstRow="0" w:lastRow="0" w:firstColumn="0" w:lastColumn="0" w:oddVBand="0" w:evenVBand="0" w:oddHBand="1" w:evenHBand="0" w:firstRowFirstColumn="0" w:firstRowLastColumn="0" w:lastRowFirstColumn="0" w:lastRowLastColumn="0"/>
          <w:trHeight w:val="34"/>
        </w:trPr>
        <w:tc>
          <w:tcPr>
            <w:tcW w:w="2251" w:type="dxa"/>
          </w:tcPr>
          <w:p w14:paraId="40E3896F"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lastRenderedPageBreak/>
              <w:t xml:space="preserve">Case </w:t>
            </w:r>
            <w:bookmarkStart w:id="22" w:name="BM11_765"/>
            <w:r w:rsidRPr="00524435">
              <w:rPr>
                <w:rFonts w:ascii="Cambria" w:hAnsi="Cambria" w:cs="Cambria"/>
                <w:color w:val="000000" w:themeColor="text1"/>
                <w:sz w:val="18"/>
                <w:szCs w:val="18"/>
              </w:rPr>
              <w:t>11.765</w:t>
            </w:r>
            <w:bookmarkEnd w:id="22"/>
            <w:r w:rsidRPr="00524435">
              <w:rPr>
                <w:rFonts w:ascii="Cambria" w:hAnsi="Cambria" w:cs="Cambria"/>
                <w:color w:val="000000" w:themeColor="text1"/>
                <w:sz w:val="18"/>
                <w:szCs w:val="18"/>
              </w:rPr>
              <w:t xml:space="preserve">, Report No. 55/02, Paul </w:t>
            </w:r>
            <w:proofErr w:type="spellStart"/>
            <w:r w:rsidRPr="00524435">
              <w:rPr>
                <w:rFonts w:ascii="Cambria" w:hAnsi="Cambria" w:cs="Cambria"/>
                <w:color w:val="000000" w:themeColor="text1"/>
                <w:sz w:val="18"/>
                <w:szCs w:val="18"/>
              </w:rPr>
              <w:t>Lallion</w:t>
            </w:r>
            <w:proofErr w:type="spellEnd"/>
            <w:r w:rsidRPr="00524435">
              <w:rPr>
                <w:rFonts w:ascii="Cambria" w:hAnsi="Cambria" w:cs="Cambria"/>
                <w:color w:val="000000" w:themeColor="text1"/>
                <w:sz w:val="18"/>
                <w:szCs w:val="18"/>
              </w:rPr>
              <w:t xml:space="preserve"> (Grenada)</w:t>
            </w:r>
          </w:p>
        </w:tc>
        <w:tc>
          <w:tcPr>
            <w:tcW w:w="1125" w:type="dxa"/>
          </w:tcPr>
          <w:p w14:paraId="741C4ECC" w14:textId="66481D9D" w:rsidR="007A5442" w:rsidRPr="00524435" w:rsidRDefault="006B7403" w:rsidP="00C33359">
            <w:pPr>
              <w:jc w:val="center"/>
              <w:rPr>
                <w:rFonts w:ascii="Cambria" w:hAnsi="Cambria"/>
                <w:color w:val="000000" w:themeColor="text1"/>
                <w:sz w:val="18"/>
                <w:szCs w:val="18"/>
              </w:rPr>
            </w:pPr>
            <w:hyperlink r:id="rId123"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2F1E60D4"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D07E264" w14:textId="77E88AB6"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28500F4"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33825666"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2A396504"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0C744B54" w14:textId="77777777" w:rsidTr="00D300E5">
        <w:trPr>
          <w:cnfStyle w:val="000000010000" w:firstRow="0" w:lastRow="0" w:firstColumn="0" w:lastColumn="0" w:oddVBand="0" w:evenVBand="0" w:oddHBand="0" w:evenHBand="1" w:firstRowFirstColumn="0" w:firstRowLastColumn="0" w:lastRowFirstColumn="0" w:lastRowLastColumn="0"/>
          <w:trHeight w:val="30"/>
        </w:trPr>
        <w:tc>
          <w:tcPr>
            <w:tcW w:w="2251" w:type="dxa"/>
          </w:tcPr>
          <w:p w14:paraId="4E6671A9"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 xml:space="preserve">Case </w:t>
            </w:r>
            <w:bookmarkStart w:id="23" w:name="BM12_158"/>
            <w:r w:rsidRPr="00524435">
              <w:rPr>
                <w:rFonts w:ascii="Cambria" w:hAnsi="Cambria" w:cs="Cambria"/>
                <w:color w:val="000000" w:themeColor="text1"/>
                <w:sz w:val="18"/>
                <w:szCs w:val="18"/>
              </w:rPr>
              <w:t>12.158</w:t>
            </w:r>
            <w:bookmarkEnd w:id="23"/>
            <w:r w:rsidRPr="00524435">
              <w:rPr>
                <w:rFonts w:ascii="Cambria" w:hAnsi="Cambria" w:cs="Cambria"/>
                <w:color w:val="000000" w:themeColor="text1"/>
                <w:sz w:val="18"/>
                <w:szCs w:val="18"/>
              </w:rPr>
              <w:t>, Report No. 56/02, Benedict Jacob (Grenada)</w:t>
            </w:r>
          </w:p>
        </w:tc>
        <w:tc>
          <w:tcPr>
            <w:tcW w:w="1125" w:type="dxa"/>
          </w:tcPr>
          <w:p w14:paraId="4B234339" w14:textId="1141D349" w:rsidR="007A5442" w:rsidRPr="00524435" w:rsidRDefault="006B7403" w:rsidP="00C33359">
            <w:pPr>
              <w:jc w:val="center"/>
              <w:rPr>
                <w:rFonts w:ascii="Cambria" w:hAnsi="Cambria"/>
                <w:color w:val="000000" w:themeColor="text1"/>
                <w:sz w:val="18"/>
                <w:szCs w:val="18"/>
              </w:rPr>
            </w:pPr>
            <w:hyperlink r:id="rId124"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23688210"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2D6D1F4" w14:textId="3B757078"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64134DD"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2E95D71B"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4569F1F6"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32D74C73" w14:textId="77777777" w:rsidTr="00D300E5">
        <w:trPr>
          <w:cnfStyle w:val="000000100000" w:firstRow="0" w:lastRow="0" w:firstColumn="0" w:lastColumn="0" w:oddVBand="0" w:evenVBand="0" w:oddHBand="1" w:evenHBand="0" w:firstRowFirstColumn="0" w:firstRowLastColumn="0" w:lastRowFirstColumn="0" w:lastRowLastColumn="0"/>
          <w:trHeight w:val="37"/>
        </w:trPr>
        <w:tc>
          <w:tcPr>
            <w:tcW w:w="2251" w:type="dxa"/>
          </w:tcPr>
          <w:p w14:paraId="647A8AA3" w14:textId="77777777" w:rsidR="007A5442" w:rsidRPr="007A5442" w:rsidRDefault="007A5442" w:rsidP="00C33359">
            <w:pPr>
              <w:rPr>
                <w:rFonts w:ascii="Cambria" w:hAnsi="Cambria"/>
                <w:color w:val="000000" w:themeColor="text1"/>
                <w:sz w:val="18"/>
                <w:szCs w:val="18"/>
                <w:lang w:val="es-ES"/>
              </w:rPr>
            </w:pPr>
            <w:r w:rsidRPr="007A5442">
              <w:rPr>
                <w:rFonts w:ascii="Cambria" w:hAnsi="Cambria" w:cs="Cambria"/>
                <w:color w:val="000000" w:themeColor="text1"/>
                <w:sz w:val="18"/>
                <w:szCs w:val="18"/>
                <w:lang w:val="es-ES"/>
              </w:rPr>
              <w:t xml:space="preserve">Case </w:t>
            </w:r>
            <w:bookmarkStart w:id="24" w:name="BM11_625"/>
            <w:r w:rsidRPr="007A5442">
              <w:rPr>
                <w:rFonts w:ascii="Cambria" w:hAnsi="Cambria" w:cs="Cambria"/>
                <w:color w:val="000000" w:themeColor="text1"/>
                <w:sz w:val="18"/>
                <w:szCs w:val="18"/>
                <w:lang w:val="es-ES"/>
              </w:rPr>
              <w:t>11.625</w:t>
            </w:r>
            <w:bookmarkEnd w:id="24"/>
            <w:r w:rsidRPr="007A5442">
              <w:rPr>
                <w:rFonts w:ascii="Cambria" w:hAnsi="Cambria" w:cs="Cambria"/>
                <w:color w:val="000000" w:themeColor="text1"/>
                <w:sz w:val="18"/>
                <w:szCs w:val="18"/>
                <w:lang w:val="es-ES"/>
              </w:rPr>
              <w:t xml:space="preserve">, </w:t>
            </w:r>
            <w:proofErr w:type="spellStart"/>
            <w:r w:rsidRPr="007A5442">
              <w:rPr>
                <w:rFonts w:ascii="Cambria" w:hAnsi="Cambria" w:cs="Cambria"/>
                <w:color w:val="000000" w:themeColor="text1"/>
                <w:sz w:val="18"/>
                <w:szCs w:val="18"/>
                <w:lang w:val="es-ES"/>
              </w:rPr>
              <w:t>Report</w:t>
            </w:r>
            <w:proofErr w:type="spellEnd"/>
            <w:r w:rsidRPr="007A5442">
              <w:rPr>
                <w:rFonts w:ascii="Cambria" w:hAnsi="Cambria" w:cs="Cambria"/>
                <w:color w:val="000000" w:themeColor="text1"/>
                <w:sz w:val="18"/>
                <w:szCs w:val="18"/>
                <w:lang w:val="es-ES"/>
              </w:rPr>
              <w:t xml:space="preserve"> No. 4/01, María Eugenia Morales de Sierra (Guatemala)</w:t>
            </w:r>
          </w:p>
        </w:tc>
        <w:tc>
          <w:tcPr>
            <w:tcW w:w="1125" w:type="dxa"/>
          </w:tcPr>
          <w:p w14:paraId="4C25871A" w14:textId="08625F73" w:rsidR="007A5442" w:rsidRPr="00524435" w:rsidRDefault="006B7403" w:rsidP="00C33359">
            <w:pPr>
              <w:jc w:val="center"/>
              <w:rPr>
                <w:rFonts w:ascii="Cambria" w:hAnsi="Cambria"/>
                <w:color w:val="000000" w:themeColor="text1"/>
                <w:sz w:val="18"/>
                <w:szCs w:val="18"/>
              </w:rPr>
            </w:pPr>
            <w:hyperlink r:id="rId125"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23D8A6F3"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56BCBBE6" w14:textId="7B526AD0"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1813D06"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760EDA2E"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32D51019"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55B7EDFC" w14:textId="77777777" w:rsidTr="00D300E5">
        <w:trPr>
          <w:cnfStyle w:val="000000010000" w:firstRow="0" w:lastRow="0" w:firstColumn="0" w:lastColumn="0" w:oddVBand="0" w:evenVBand="0" w:oddHBand="0" w:evenHBand="1" w:firstRowFirstColumn="0" w:firstRowLastColumn="0" w:lastRowFirstColumn="0" w:lastRowLastColumn="0"/>
          <w:trHeight w:val="35"/>
        </w:trPr>
        <w:tc>
          <w:tcPr>
            <w:tcW w:w="2251" w:type="dxa"/>
          </w:tcPr>
          <w:p w14:paraId="089CA88E"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 xml:space="preserve">Case </w:t>
            </w:r>
            <w:bookmarkStart w:id="25" w:name="BM9207"/>
            <w:r w:rsidRPr="00524435">
              <w:rPr>
                <w:rFonts w:ascii="Cambria" w:hAnsi="Cambria" w:cs="Cambria"/>
                <w:color w:val="000000" w:themeColor="text1"/>
                <w:sz w:val="18"/>
                <w:szCs w:val="18"/>
              </w:rPr>
              <w:t>9.207</w:t>
            </w:r>
            <w:bookmarkEnd w:id="25"/>
            <w:r w:rsidRPr="00524435">
              <w:rPr>
                <w:rFonts w:ascii="Cambria" w:hAnsi="Cambria" w:cs="Cambria"/>
                <w:color w:val="000000" w:themeColor="text1"/>
                <w:sz w:val="18"/>
                <w:szCs w:val="18"/>
              </w:rPr>
              <w:t xml:space="preserve">, Report No. 58/01, Oscar Manuel </w:t>
            </w:r>
            <w:proofErr w:type="spellStart"/>
            <w:r w:rsidRPr="00524435">
              <w:rPr>
                <w:rFonts w:ascii="Cambria" w:hAnsi="Cambria" w:cs="Cambria"/>
                <w:color w:val="000000" w:themeColor="text1"/>
                <w:sz w:val="18"/>
                <w:szCs w:val="18"/>
              </w:rPr>
              <w:t>Gramajo</w:t>
            </w:r>
            <w:proofErr w:type="spellEnd"/>
            <w:r w:rsidRPr="00524435">
              <w:rPr>
                <w:rFonts w:ascii="Cambria" w:hAnsi="Cambria" w:cs="Cambria"/>
                <w:color w:val="000000" w:themeColor="text1"/>
                <w:sz w:val="18"/>
                <w:szCs w:val="18"/>
              </w:rPr>
              <w:t xml:space="preserve"> López (Guatemala)</w:t>
            </w:r>
          </w:p>
        </w:tc>
        <w:tc>
          <w:tcPr>
            <w:tcW w:w="1125" w:type="dxa"/>
          </w:tcPr>
          <w:p w14:paraId="7CFAFBB7" w14:textId="7C9C3B9C" w:rsidR="007A5442" w:rsidRPr="00524435" w:rsidRDefault="006B7403" w:rsidP="00C33359">
            <w:pPr>
              <w:jc w:val="center"/>
              <w:rPr>
                <w:rFonts w:ascii="Cambria" w:hAnsi="Cambria"/>
                <w:color w:val="000000" w:themeColor="text1"/>
                <w:sz w:val="18"/>
                <w:szCs w:val="18"/>
              </w:rPr>
            </w:pPr>
            <w:hyperlink r:id="rId126"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39730BB7"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3979B29" w14:textId="498975A5"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A283B27"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6472170A"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07EACC9A"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6C693884" w14:textId="77777777" w:rsidTr="00D300E5">
        <w:trPr>
          <w:cnfStyle w:val="000000100000" w:firstRow="0" w:lastRow="0" w:firstColumn="0" w:lastColumn="0" w:oddVBand="0" w:evenVBand="0" w:oddHBand="1" w:evenHBand="0" w:firstRowFirstColumn="0" w:firstRowLastColumn="0" w:lastRowFirstColumn="0" w:lastRowLastColumn="0"/>
          <w:trHeight w:val="37"/>
        </w:trPr>
        <w:tc>
          <w:tcPr>
            <w:tcW w:w="2251" w:type="dxa"/>
          </w:tcPr>
          <w:p w14:paraId="0C31C5AD"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 xml:space="preserve">Case </w:t>
            </w:r>
            <w:bookmarkStart w:id="26" w:name="BM10_626"/>
            <w:r w:rsidRPr="00524435">
              <w:rPr>
                <w:rFonts w:ascii="Cambria" w:hAnsi="Cambria" w:cs="Cambria"/>
                <w:color w:val="000000" w:themeColor="text1"/>
                <w:sz w:val="18"/>
                <w:szCs w:val="18"/>
              </w:rPr>
              <w:t>10.626</w:t>
            </w:r>
            <w:bookmarkEnd w:id="26"/>
            <w:r w:rsidRPr="00524435">
              <w:rPr>
                <w:rFonts w:ascii="Cambria" w:hAnsi="Cambria" w:cs="Cambria"/>
                <w:color w:val="000000" w:themeColor="text1"/>
                <w:sz w:val="18"/>
                <w:szCs w:val="18"/>
              </w:rPr>
              <w:t xml:space="preserve"> </w:t>
            </w:r>
            <w:proofErr w:type="spellStart"/>
            <w:r w:rsidRPr="00524435">
              <w:rPr>
                <w:rFonts w:ascii="Cambria" w:hAnsi="Cambria" w:cs="Cambria"/>
                <w:color w:val="000000" w:themeColor="text1"/>
                <w:sz w:val="18"/>
                <w:szCs w:val="18"/>
              </w:rPr>
              <w:t>Remigio</w:t>
            </w:r>
            <w:proofErr w:type="spellEnd"/>
            <w:r w:rsidRPr="00524435">
              <w:rPr>
                <w:rFonts w:ascii="Cambria" w:hAnsi="Cambria" w:cs="Cambria"/>
                <w:color w:val="000000" w:themeColor="text1"/>
                <w:sz w:val="18"/>
                <w:szCs w:val="18"/>
              </w:rPr>
              <w:t xml:space="preserve"> Domingo Morales &amp; Rafael Sánchez; Case 10.627 Pedro Tau </w:t>
            </w:r>
            <w:proofErr w:type="spellStart"/>
            <w:r w:rsidRPr="00524435">
              <w:rPr>
                <w:rFonts w:ascii="Cambria" w:hAnsi="Cambria" w:cs="Cambria"/>
                <w:color w:val="000000" w:themeColor="text1"/>
                <w:sz w:val="18"/>
                <w:szCs w:val="18"/>
              </w:rPr>
              <w:t>Cac</w:t>
            </w:r>
            <w:proofErr w:type="spellEnd"/>
            <w:r w:rsidRPr="00524435">
              <w:rPr>
                <w:rFonts w:ascii="Cambria" w:hAnsi="Cambria" w:cs="Cambria"/>
                <w:color w:val="000000" w:themeColor="text1"/>
                <w:sz w:val="18"/>
                <w:szCs w:val="18"/>
              </w:rPr>
              <w:t xml:space="preserve">; Case 11.198(A) José María </w:t>
            </w:r>
            <w:proofErr w:type="spellStart"/>
            <w:r w:rsidRPr="00524435">
              <w:rPr>
                <w:rFonts w:ascii="Cambria" w:hAnsi="Cambria" w:cs="Cambria"/>
                <w:color w:val="000000" w:themeColor="text1"/>
                <w:sz w:val="18"/>
                <w:szCs w:val="18"/>
              </w:rPr>
              <w:t>Ixcaya</w:t>
            </w:r>
            <w:proofErr w:type="spellEnd"/>
            <w:r w:rsidRPr="00524435">
              <w:rPr>
                <w:rFonts w:ascii="Cambria" w:hAnsi="Cambria" w:cs="Cambria"/>
                <w:color w:val="000000" w:themeColor="text1"/>
                <w:sz w:val="18"/>
                <w:szCs w:val="18"/>
              </w:rPr>
              <w:t xml:space="preserve"> </w:t>
            </w:r>
            <w:proofErr w:type="spellStart"/>
            <w:r w:rsidRPr="00524435">
              <w:rPr>
                <w:rFonts w:ascii="Cambria" w:hAnsi="Cambria" w:cs="Cambria"/>
                <w:color w:val="000000" w:themeColor="text1"/>
                <w:sz w:val="18"/>
                <w:szCs w:val="18"/>
              </w:rPr>
              <w:t>Pixtay</w:t>
            </w:r>
            <w:proofErr w:type="spellEnd"/>
            <w:r w:rsidRPr="00524435">
              <w:rPr>
                <w:rFonts w:ascii="Cambria" w:hAnsi="Cambria" w:cs="Cambria"/>
                <w:color w:val="000000" w:themeColor="text1"/>
                <w:sz w:val="18"/>
                <w:szCs w:val="18"/>
              </w:rPr>
              <w:t xml:space="preserve"> and others; Case 10.799 </w:t>
            </w:r>
            <w:proofErr w:type="spellStart"/>
            <w:r w:rsidRPr="00524435">
              <w:rPr>
                <w:rFonts w:ascii="Cambria" w:hAnsi="Cambria" w:cs="Cambria"/>
                <w:color w:val="000000" w:themeColor="text1"/>
                <w:sz w:val="18"/>
                <w:szCs w:val="18"/>
              </w:rPr>
              <w:t>Catalino</w:t>
            </w:r>
            <w:proofErr w:type="spellEnd"/>
            <w:r w:rsidRPr="00524435">
              <w:rPr>
                <w:rFonts w:ascii="Cambria" w:hAnsi="Cambria" w:cs="Cambria"/>
                <w:color w:val="000000" w:themeColor="text1"/>
                <w:sz w:val="18"/>
                <w:szCs w:val="18"/>
              </w:rPr>
              <w:t xml:space="preserve"> </w:t>
            </w:r>
            <w:proofErr w:type="spellStart"/>
            <w:r w:rsidRPr="00524435">
              <w:rPr>
                <w:rFonts w:ascii="Cambria" w:hAnsi="Cambria" w:cs="Cambria"/>
                <w:color w:val="000000" w:themeColor="text1"/>
                <w:sz w:val="18"/>
                <w:szCs w:val="18"/>
              </w:rPr>
              <w:t>Chochoy</w:t>
            </w:r>
            <w:proofErr w:type="spellEnd"/>
            <w:r w:rsidRPr="00524435">
              <w:rPr>
                <w:rFonts w:ascii="Cambria" w:hAnsi="Cambria" w:cs="Cambria"/>
                <w:color w:val="000000" w:themeColor="text1"/>
                <w:sz w:val="18"/>
                <w:szCs w:val="18"/>
              </w:rPr>
              <w:t xml:space="preserve"> and others; Case 10.751 Juan Galicia Hernández and others, and Case 10.901 </w:t>
            </w:r>
            <w:proofErr w:type="spellStart"/>
            <w:r w:rsidRPr="00524435">
              <w:rPr>
                <w:rFonts w:ascii="Cambria" w:hAnsi="Cambria" w:cs="Cambria"/>
                <w:color w:val="000000" w:themeColor="text1"/>
                <w:sz w:val="18"/>
                <w:szCs w:val="18"/>
              </w:rPr>
              <w:t>Antulio</w:t>
            </w:r>
            <w:proofErr w:type="spellEnd"/>
            <w:r w:rsidRPr="00524435">
              <w:rPr>
                <w:rFonts w:ascii="Cambria" w:hAnsi="Cambria" w:cs="Cambria"/>
                <w:color w:val="000000" w:themeColor="text1"/>
                <w:sz w:val="18"/>
                <w:szCs w:val="18"/>
              </w:rPr>
              <w:t xml:space="preserve"> Delgado, Report No. 59/01, </w:t>
            </w:r>
            <w:proofErr w:type="spellStart"/>
            <w:r w:rsidRPr="00524435">
              <w:rPr>
                <w:rFonts w:ascii="Cambria" w:hAnsi="Cambria" w:cs="Cambria"/>
                <w:color w:val="000000" w:themeColor="text1"/>
                <w:sz w:val="18"/>
                <w:szCs w:val="18"/>
              </w:rPr>
              <w:t>Remigio</w:t>
            </w:r>
            <w:proofErr w:type="spellEnd"/>
            <w:r w:rsidRPr="00524435">
              <w:rPr>
                <w:rFonts w:ascii="Cambria" w:hAnsi="Cambria" w:cs="Cambria"/>
                <w:color w:val="000000" w:themeColor="text1"/>
                <w:sz w:val="18"/>
                <w:szCs w:val="18"/>
              </w:rPr>
              <w:t xml:space="preserve"> Domingo </w:t>
            </w:r>
            <w:proofErr w:type="gramStart"/>
            <w:r w:rsidRPr="00524435">
              <w:rPr>
                <w:rFonts w:ascii="Cambria" w:hAnsi="Cambria" w:cs="Cambria"/>
                <w:color w:val="000000" w:themeColor="text1"/>
                <w:sz w:val="18"/>
                <w:szCs w:val="18"/>
              </w:rPr>
              <w:t>Morales</w:t>
            </w:r>
            <w:proofErr w:type="gramEnd"/>
            <w:r w:rsidRPr="00524435">
              <w:rPr>
                <w:rFonts w:ascii="Cambria" w:hAnsi="Cambria" w:cs="Cambria"/>
                <w:color w:val="000000" w:themeColor="text1"/>
                <w:sz w:val="18"/>
                <w:szCs w:val="18"/>
              </w:rPr>
              <w:t xml:space="preserve"> and others (Guatemala)</w:t>
            </w:r>
          </w:p>
        </w:tc>
        <w:tc>
          <w:tcPr>
            <w:tcW w:w="1125" w:type="dxa"/>
          </w:tcPr>
          <w:p w14:paraId="6C792B40" w14:textId="106B9B4C" w:rsidR="007A5442" w:rsidRPr="00524435" w:rsidRDefault="006B7403" w:rsidP="00C33359">
            <w:pPr>
              <w:jc w:val="center"/>
              <w:rPr>
                <w:rFonts w:ascii="Cambria" w:hAnsi="Cambria"/>
                <w:color w:val="000000" w:themeColor="text1"/>
                <w:sz w:val="18"/>
                <w:szCs w:val="18"/>
              </w:rPr>
            </w:pPr>
            <w:hyperlink r:id="rId127"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31777923"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F7D394C" w14:textId="0D953DFB"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20C0CFA"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235A89BF"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63631D55"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5904736B" w14:textId="77777777" w:rsidTr="00D300E5">
        <w:trPr>
          <w:cnfStyle w:val="000000010000" w:firstRow="0" w:lastRow="0" w:firstColumn="0" w:lastColumn="0" w:oddVBand="0" w:evenVBand="0" w:oddHBand="0" w:evenHBand="1" w:firstRowFirstColumn="0" w:firstRowLastColumn="0" w:lastRowFirstColumn="0" w:lastRowLastColumn="0"/>
          <w:trHeight w:val="30"/>
        </w:trPr>
        <w:tc>
          <w:tcPr>
            <w:tcW w:w="2251" w:type="dxa"/>
          </w:tcPr>
          <w:p w14:paraId="1BAA1CB6"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 xml:space="preserve">Case </w:t>
            </w:r>
            <w:bookmarkStart w:id="27" w:name="BM9111"/>
            <w:r w:rsidRPr="00524435">
              <w:rPr>
                <w:rFonts w:ascii="Cambria" w:hAnsi="Cambria" w:cs="Cambria"/>
                <w:color w:val="000000" w:themeColor="text1"/>
                <w:sz w:val="18"/>
                <w:szCs w:val="18"/>
              </w:rPr>
              <w:t>9.111</w:t>
            </w:r>
            <w:bookmarkEnd w:id="27"/>
            <w:r w:rsidRPr="00524435">
              <w:rPr>
                <w:rFonts w:ascii="Cambria" w:hAnsi="Cambria" w:cs="Cambria"/>
                <w:color w:val="000000" w:themeColor="text1"/>
                <w:sz w:val="18"/>
                <w:szCs w:val="18"/>
              </w:rPr>
              <w:t xml:space="preserve">, Report No. 60/01, Ileana del Rosario </w:t>
            </w:r>
            <w:proofErr w:type="spellStart"/>
            <w:r w:rsidRPr="00524435">
              <w:rPr>
                <w:rFonts w:ascii="Cambria" w:hAnsi="Cambria" w:cs="Cambria"/>
                <w:color w:val="000000" w:themeColor="text1"/>
                <w:sz w:val="18"/>
                <w:szCs w:val="18"/>
              </w:rPr>
              <w:t>Solares</w:t>
            </w:r>
            <w:proofErr w:type="spellEnd"/>
            <w:r w:rsidRPr="00524435">
              <w:rPr>
                <w:rFonts w:ascii="Cambria" w:hAnsi="Cambria" w:cs="Cambria"/>
                <w:color w:val="000000" w:themeColor="text1"/>
                <w:sz w:val="18"/>
                <w:szCs w:val="18"/>
              </w:rPr>
              <w:t xml:space="preserve"> Castillo and others (Guatemala)</w:t>
            </w:r>
          </w:p>
        </w:tc>
        <w:tc>
          <w:tcPr>
            <w:tcW w:w="1125" w:type="dxa"/>
          </w:tcPr>
          <w:p w14:paraId="681C363A" w14:textId="03D52CC2" w:rsidR="007A5442" w:rsidRPr="00524435" w:rsidRDefault="006B7403" w:rsidP="00C33359">
            <w:pPr>
              <w:jc w:val="center"/>
              <w:rPr>
                <w:rFonts w:ascii="Cambria" w:hAnsi="Cambria"/>
                <w:color w:val="000000" w:themeColor="text1"/>
                <w:sz w:val="18"/>
                <w:szCs w:val="18"/>
              </w:rPr>
            </w:pPr>
            <w:hyperlink r:id="rId128"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6F9EF254"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1D592D2F" w14:textId="4F6EFAF9"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1271CF3"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548E4495"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70E9EBB5"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15A5CC60" w14:textId="77777777" w:rsidTr="00D300E5">
        <w:trPr>
          <w:cnfStyle w:val="000000100000" w:firstRow="0" w:lastRow="0" w:firstColumn="0" w:lastColumn="0" w:oddVBand="0" w:evenVBand="0" w:oddHBand="1" w:evenHBand="0" w:firstRowFirstColumn="0" w:firstRowLastColumn="0" w:lastRowFirstColumn="0" w:lastRowLastColumn="0"/>
          <w:trHeight w:val="29"/>
        </w:trPr>
        <w:tc>
          <w:tcPr>
            <w:tcW w:w="2251" w:type="dxa"/>
          </w:tcPr>
          <w:p w14:paraId="1ACCA2AB" w14:textId="77777777" w:rsidR="007A5442" w:rsidRPr="00292505" w:rsidRDefault="007A5442" w:rsidP="00C33359">
            <w:pPr>
              <w:rPr>
                <w:rFonts w:ascii="Cambria" w:hAnsi="Cambria"/>
                <w:color w:val="000000" w:themeColor="text1"/>
                <w:sz w:val="18"/>
                <w:szCs w:val="18"/>
                <w:lang w:val="es-US"/>
              </w:rPr>
            </w:pPr>
            <w:r w:rsidRPr="00292505">
              <w:rPr>
                <w:rFonts w:ascii="Cambria" w:hAnsi="Cambria" w:cs="Cambria"/>
                <w:color w:val="000000" w:themeColor="text1"/>
                <w:sz w:val="18"/>
                <w:szCs w:val="18"/>
                <w:lang w:val="es-US"/>
              </w:rPr>
              <w:t xml:space="preserve">Case </w:t>
            </w:r>
            <w:bookmarkStart w:id="28" w:name="BM11_382"/>
            <w:r w:rsidRPr="00292505">
              <w:rPr>
                <w:rFonts w:ascii="Cambria" w:hAnsi="Cambria" w:cs="Cambria"/>
                <w:color w:val="000000" w:themeColor="text1"/>
                <w:sz w:val="18"/>
                <w:szCs w:val="18"/>
                <w:lang w:val="es-US"/>
              </w:rPr>
              <w:t>11.382</w:t>
            </w:r>
            <w:bookmarkEnd w:id="28"/>
            <w:r w:rsidRPr="00292505">
              <w:rPr>
                <w:rFonts w:ascii="Cambria" w:hAnsi="Cambria" w:cs="Cambria"/>
                <w:color w:val="000000" w:themeColor="text1"/>
                <w:sz w:val="18"/>
                <w:szCs w:val="18"/>
                <w:lang w:val="es-US"/>
              </w:rPr>
              <w:t xml:space="preserve">, </w:t>
            </w:r>
            <w:proofErr w:type="spellStart"/>
            <w:r w:rsidRPr="00292505">
              <w:rPr>
                <w:rFonts w:ascii="Cambria" w:hAnsi="Cambria" w:cs="Cambria"/>
                <w:color w:val="000000" w:themeColor="text1"/>
                <w:sz w:val="18"/>
                <w:szCs w:val="18"/>
                <w:lang w:val="es-US"/>
              </w:rPr>
              <w:t>Report</w:t>
            </w:r>
            <w:proofErr w:type="spellEnd"/>
            <w:r w:rsidRPr="00292505">
              <w:rPr>
                <w:rFonts w:ascii="Cambria" w:hAnsi="Cambria" w:cs="Cambria"/>
                <w:color w:val="000000" w:themeColor="text1"/>
                <w:sz w:val="18"/>
                <w:szCs w:val="18"/>
                <w:lang w:val="es-US"/>
              </w:rPr>
              <w:t xml:space="preserve"> No. 57/02, Finca “La Exacta” (Guatemala)</w:t>
            </w:r>
          </w:p>
        </w:tc>
        <w:tc>
          <w:tcPr>
            <w:tcW w:w="1125" w:type="dxa"/>
          </w:tcPr>
          <w:p w14:paraId="378948F2" w14:textId="66464A7D" w:rsidR="007A5442" w:rsidRPr="00524435" w:rsidRDefault="006B7403" w:rsidP="00C33359">
            <w:pPr>
              <w:jc w:val="center"/>
              <w:rPr>
                <w:rFonts w:ascii="Cambria" w:hAnsi="Cambria"/>
                <w:color w:val="000000" w:themeColor="text1"/>
                <w:sz w:val="18"/>
                <w:szCs w:val="18"/>
              </w:rPr>
            </w:pPr>
            <w:hyperlink r:id="rId129"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480BBD2A"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8C0490D" w14:textId="3FC3727B"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3BF4918"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0C64019A"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739E295D"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18BA0B01" w14:textId="77777777" w:rsidTr="00D300E5">
        <w:trPr>
          <w:cnfStyle w:val="000000010000" w:firstRow="0" w:lastRow="0" w:firstColumn="0" w:lastColumn="0" w:oddVBand="0" w:evenVBand="0" w:oddHBand="0" w:evenHBand="1" w:firstRowFirstColumn="0" w:firstRowLastColumn="0" w:lastRowFirstColumn="0" w:lastRowLastColumn="0"/>
          <w:trHeight w:val="29"/>
        </w:trPr>
        <w:tc>
          <w:tcPr>
            <w:tcW w:w="2251" w:type="dxa"/>
          </w:tcPr>
          <w:p w14:paraId="149E2E75"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10.855, Report No. 100/05, Pedro García </w:t>
            </w:r>
            <w:proofErr w:type="spellStart"/>
            <w:r w:rsidRPr="00524435">
              <w:rPr>
                <w:rFonts w:ascii="Cambria" w:hAnsi="Cambria" w:cs="Cambria"/>
                <w:color w:val="000000" w:themeColor="text1"/>
                <w:sz w:val="18"/>
                <w:szCs w:val="18"/>
              </w:rPr>
              <w:t>Chuc</w:t>
            </w:r>
            <w:proofErr w:type="spellEnd"/>
            <w:r w:rsidRPr="00524435">
              <w:rPr>
                <w:rFonts w:ascii="Cambria" w:hAnsi="Cambria" w:cs="Cambria"/>
                <w:color w:val="000000" w:themeColor="text1"/>
                <w:sz w:val="18"/>
                <w:szCs w:val="18"/>
              </w:rPr>
              <w:t xml:space="preserve"> (Guatemala)</w:t>
            </w:r>
          </w:p>
        </w:tc>
        <w:tc>
          <w:tcPr>
            <w:tcW w:w="1125" w:type="dxa"/>
          </w:tcPr>
          <w:p w14:paraId="1368FF18" w14:textId="117C1604" w:rsidR="007A5442" w:rsidRPr="00524435" w:rsidRDefault="006B7403" w:rsidP="00C33359">
            <w:pPr>
              <w:jc w:val="center"/>
              <w:rPr>
                <w:rFonts w:ascii="Cambria" w:hAnsi="Cambria"/>
                <w:color w:val="000000" w:themeColor="text1"/>
                <w:sz w:val="18"/>
                <w:szCs w:val="18"/>
              </w:rPr>
            </w:pPr>
            <w:hyperlink r:id="rId130"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04D96290"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E0F0539" w14:textId="0564BDFE"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61483CD0"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2B51E0FD"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7F311330"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02BE9F03" w14:textId="77777777" w:rsidTr="00D300E5">
        <w:trPr>
          <w:cnfStyle w:val="000000100000" w:firstRow="0" w:lastRow="0" w:firstColumn="0" w:lastColumn="0" w:oddVBand="0" w:evenVBand="0" w:oddHBand="1" w:evenHBand="0" w:firstRowFirstColumn="0" w:firstRowLastColumn="0" w:lastRowFirstColumn="0" w:lastRowLastColumn="0"/>
          <w:trHeight w:val="29"/>
        </w:trPr>
        <w:tc>
          <w:tcPr>
            <w:tcW w:w="2251" w:type="dxa"/>
          </w:tcPr>
          <w:p w14:paraId="3444F4DD"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 xml:space="preserve">Case </w:t>
            </w:r>
            <w:bookmarkStart w:id="29" w:name="BM11_171"/>
            <w:r w:rsidRPr="00524435">
              <w:rPr>
                <w:rFonts w:ascii="Cambria" w:hAnsi="Cambria" w:cs="Cambria"/>
                <w:color w:val="000000" w:themeColor="text1"/>
                <w:sz w:val="18"/>
                <w:szCs w:val="18"/>
              </w:rPr>
              <w:t>11.171</w:t>
            </w:r>
            <w:bookmarkEnd w:id="29"/>
            <w:r w:rsidRPr="00524435">
              <w:rPr>
                <w:rFonts w:ascii="Cambria" w:hAnsi="Cambria" w:cs="Cambria"/>
                <w:color w:val="000000" w:themeColor="text1"/>
                <w:sz w:val="18"/>
                <w:szCs w:val="18"/>
              </w:rPr>
              <w:t xml:space="preserve">, Report No. 69/06, Tomas </w:t>
            </w:r>
            <w:proofErr w:type="spellStart"/>
            <w:r w:rsidRPr="00524435">
              <w:rPr>
                <w:rFonts w:ascii="Cambria" w:hAnsi="Cambria" w:cs="Cambria"/>
                <w:color w:val="000000" w:themeColor="text1"/>
                <w:sz w:val="18"/>
                <w:szCs w:val="18"/>
              </w:rPr>
              <w:t>Lares</w:t>
            </w:r>
            <w:proofErr w:type="spellEnd"/>
            <w:r w:rsidRPr="00524435">
              <w:rPr>
                <w:rFonts w:ascii="Cambria" w:hAnsi="Cambria" w:cs="Cambria"/>
                <w:color w:val="000000" w:themeColor="text1"/>
                <w:sz w:val="18"/>
                <w:szCs w:val="18"/>
              </w:rPr>
              <w:t xml:space="preserve"> Cipriano (Guatemala)</w:t>
            </w:r>
          </w:p>
        </w:tc>
        <w:tc>
          <w:tcPr>
            <w:tcW w:w="1125" w:type="dxa"/>
          </w:tcPr>
          <w:p w14:paraId="54729169" w14:textId="2820C7D6" w:rsidR="007A5442" w:rsidRPr="00524435" w:rsidRDefault="006B7403" w:rsidP="00C33359">
            <w:pPr>
              <w:jc w:val="center"/>
              <w:rPr>
                <w:rFonts w:ascii="Cambria" w:hAnsi="Cambria"/>
                <w:color w:val="000000" w:themeColor="text1"/>
                <w:sz w:val="18"/>
                <w:szCs w:val="18"/>
              </w:rPr>
            </w:pPr>
            <w:hyperlink r:id="rId131"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77AC6E7E"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A413BCA" w14:textId="22A6E503"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39F9BA2"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5D227B3A"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0EDE570F"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19B63D99" w14:textId="77777777" w:rsidTr="00D300E5">
        <w:trPr>
          <w:cnfStyle w:val="000000010000" w:firstRow="0" w:lastRow="0" w:firstColumn="0" w:lastColumn="0" w:oddVBand="0" w:evenVBand="0" w:oddHBand="0" w:evenHBand="1" w:firstRowFirstColumn="0" w:firstRowLastColumn="0" w:lastRowFirstColumn="0" w:lastRowLastColumn="0"/>
          <w:trHeight w:val="32"/>
        </w:trPr>
        <w:tc>
          <w:tcPr>
            <w:tcW w:w="2251" w:type="dxa"/>
          </w:tcPr>
          <w:p w14:paraId="65E6F148" w14:textId="77777777" w:rsidR="007A5442" w:rsidRPr="00524435" w:rsidRDefault="007A5442" w:rsidP="00C33359">
            <w:pPr>
              <w:rPr>
                <w:rFonts w:ascii="Cambria" w:hAnsi="Cambria"/>
                <w:color w:val="000000" w:themeColor="text1"/>
                <w:sz w:val="18"/>
                <w:szCs w:val="18"/>
              </w:rPr>
            </w:pPr>
            <w:r w:rsidRPr="00524435">
              <w:rPr>
                <w:rFonts w:ascii="Cambria" w:hAnsi="Cambria" w:cs="Cambria"/>
                <w:color w:val="000000" w:themeColor="text1"/>
                <w:sz w:val="18"/>
                <w:szCs w:val="18"/>
              </w:rPr>
              <w:t xml:space="preserve">Case 11.658, Report No. 80/07, Martín </w:t>
            </w:r>
            <w:proofErr w:type="spellStart"/>
            <w:r w:rsidRPr="00524435">
              <w:rPr>
                <w:rFonts w:ascii="Cambria" w:hAnsi="Cambria" w:cs="Cambria"/>
                <w:color w:val="000000" w:themeColor="text1"/>
                <w:sz w:val="18"/>
                <w:szCs w:val="18"/>
              </w:rPr>
              <w:t>Pelicó</w:t>
            </w:r>
            <w:proofErr w:type="spellEnd"/>
            <w:r w:rsidRPr="00524435">
              <w:rPr>
                <w:rFonts w:ascii="Cambria" w:hAnsi="Cambria" w:cs="Cambria"/>
                <w:color w:val="000000" w:themeColor="text1"/>
                <w:sz w:val="18"/>
                <w:szCs w:val="18"/>
              </w:rPr>
              <w:t xml:space="preserve"> </w:t>
            </w:r>
            <w:proofErr w:type="spellStart"/>
            <w:r w:rsidRPr="00524435">
              <w:rPr>
                <w:rFonts w:ascii="Cambria" w:hAnsi="Cambria" w:cs="Cambria"/>
                <w:color w:val="000000" w:themeColor="text1"/>
                <w:sz w:val="18"/>
                <w:szCs w:val="18"/>
              </w:rPr>
              <w:t>Coxic</w:t>
            </w:r>
            <w:proofErr w:type="spellEnd"/>
            <w:r w:rsidRPr="00524435">
              <w:rPr>
                <w:rFonts w:ascii="Cambria" w:hAnsi="Cambria" w:cs="Cambria"/>
                <w:color w:val="000000" w:themeColor="text1"/>
                <w:sz w:val="18"/>
                <w:szCs w:val="18"/>
              </w:rPr>
              <w:t xml:space="preserve"> (Guatemala)</w:t>
            </w:r>
          </w:p>
        </w:tc>
        <w:tc>
          <w:tcPr>
            <w:tcW w:w="1125" w:type="dxa"/>
          </w:tcPr>
          <w:p w14:paraId="67C34407" w14:textId="4D80230A" w:rsidR="007A5442" w:rsidRPr="00524435" w:rsidRDefault="006B7403" w:rsidP="00C33359">
            <w:pPr>
              <w:jc w:val="center"/>
              <w:rPr>
                <w:rFonts w:ascii="Cambria" w:hAnsi="Cambria"/>
                <w:color w:val="000000" w:themeColor="text1"/>
                <w:sz w:val="18"/>
                <w:szCs w:val="18"/>
              </w:rPr>
            </w:pPr>
            <w:hyperlink r:id="rId132"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0324ED45"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915AE76" w14:textId="2D17BFC6"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5FD2D09D"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3599F885"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6EDFC5DA"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3348D5DF" w14:textId="77777777" w:rsidTr="00D300E5">
        <w:trPr>
          <w:cnfStyle w:val="000000100000" w:firstRow="0" w:lastRow="0" w:firstColumn="0" w:lastColumn="0" w:oddVBand="0" w:evenVBand="0" w:oddHBand="1" w:evenHBand="0" w:firstRowFirstColumn="0" w:firstRowLastColumn="0" w:lastRowFirstColumn="0" w:lastRowLastColumn="0"/>
          <w:trHeight w:val="37"/>
        </w:trPr>
        <w:tc>
          <w:tcPr>
            <w:tcW w:w="2251" w:type="dxa"/>
          </w:tcPr>
          <w:p w14:paraId="7F65E4BB"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w:t>
            </w:r>
            <w:bookmarkStart w:id="30" w:name="BM12_264"/>
            <w:r w:rsidRPr="00524435">
              <w:rPr>
                <w:rFonts w:ascii="Cambria" w:hAnsi="Cambria" w:cs="Cambria"/>
                <w:color w:val="000000" w:themeColor="text1"/>
                <w:sz w:val="18"/>
                <w:szCs w:val="18"/>
              </w:rPr>
              <w:t>12.264</w:t>
            </w:r>
            <w:bookmarkEnd w:id="30"/>
            <w:r w:rsidRPr="00524435">
              <w:rPr>
                <w:rFonts w:ascii="Cambria" w:hAnsi="Cambria" w:cs="Cambria"/>
                <w:color w:val="000000" w:themeColor="text1"/>
                <w:sz w:val="18"/>
                <w:szCs w:val="18"/>
              </w:rPr>
              <w:t>, Report No. 1/06, Franz Britton (Guyana)</w:t>
            </w:r>
          </w:p>
        </w:tc>
        <w:tc>
          <w:tcPr>
            <w:tcW w:w="1125" w:type="dxa"/>
          </w:tcPr>
          <w:p w14:paraId="0304C516" w14:textId="23F7815C" w:rsidR="007A5442" w:rsidRPr="00524435" w:rsidRDefault="006B7403" w:rsidP="00C33359">
            <w:pPr>
              <w:jc w:val="center"/>
              <w:rPr>
                <w:rFonts w:ascii="Cambria" w:hAnsi="Cambria"/>
                <w:color w:val="000000" w:themeColor="text1"/>
                <w:sz w:val="18"/>
                <w:szCs w:val="18"/>
              </w:rPr>
            </w:pPr>
            <w:hyperlink r:id="rId133"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6A2491FD"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690986E0" w14:textId="3AAF177B"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D882DD3"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5C52B817"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6C6D2C49"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15F52A59" w14:textId="77777777" w:rsidTr="00D300E5">
        <w:trPr>
          <w:cnfStyle w:val="000000010000" w:firstRow="0" w:lastRow="0" w:firstColumn="0" w:lastColumn="0" w:oddVBand="0" w:evenVBand="0" w:oddHBand="0" w:evenHBand="1" w:firstRowFirstColumn="0" w:firstRowLastColumn="0" w:lastRowFirstColumn="0" w:lastRowLastColumn="0"/>
          <w:trHeight w:val="30"/>
        </w:trPr>
        <w:tc>
          <w:tcPr>
            <w:tcW w:w="2251" w:type="dxa"/>
          </w:tcPr>
          <w:p w14:paraId="0C418E7A"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12.504, Report 81/07, </w:t>
            </w:r>
            <w:proofErr w:type="gramStart"/>
            <w:r w:rsidRPr="00524435">
              <w:rPr>
                <w:rFonts w:ascii="Cambria" w:hAnsi="Cambria" w:cs="Cambria"/>
                <w:color w:val="000000" w:themeColor="text1"/>
                <w:sz w:val="18"/>
                <w:szCs w:val="18"/>
              </w:rPr>
              <w:t>Daniel</w:t>
            </w:r>
            <w:proofErr w:type="gramEnd"/>
            <w:r w:rsidRPr="00524435">
              <w:rPr>
                <w:rFonts w:ascii="Cambria" w:hAnsi="Cambria" w:cs="Cambria"/>
                <w:color w:val="000000" w:themeColor="text1"/>
                <w:sz w:val="18"/>
                <w:szCs w:val="18"/>
              </w:rPr>
              <w:t xml:space="preserve"> and Kornel Vaux (Guyana)</w:t>
            </w:r>
          </w:p>
        </w:tc>
        <w:tc>
          <w:tcPr>
            <w:tcW w:w="1125" w:type="dxa"/>
          </w:tcPr>
          <w:p w14:paraId="4A039637" w14:textId="1BC71BB3" w:rsidR="007A5442" w:rsidRPr="00524435" w:rsidRDefault="006B7403" w:rsidP="00C33359">
            <w:pPr>
              <w:jc w:val="center"/>
              <w:rPr>
                <w:rFonts w:ascii="Cambria" w:hAnsi="Cambria"/>
                <w:color w:val="000000" w:themeColor="text1"/>
                <w:sz w:val="18"/>
                <w:szCs w:val="18"/>
              </w:rPr>
            </w:pPr>
            <w:hyperlink r:id="rId134"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0F628CF8"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6A6A928" w14:textId="1801929F"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2B40998"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0FE0F08D"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43790D04"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3BCE0FDC" w14:textId="77777777" w:rsidTr="00D300E5">
        <w:trPr>
          <w:cnfStyle w:val="000000100000" w:firstRow="0" w:lastRow="0" w:firstColumn="0" w:lastColumn="0" w:oddVBand="0" w:evenVBand="0" w:oddHBand="1" w:evenHBand="0" w:firstRowFirstColumn="0" w:firstRowLastColumn="0" w:lastRowFirstColumn="0" w:lastRowLastColumn="0"/>
          <w:trHeight w:val="29"/>
        </w:trPr>
        <w:tc>
          <w:tcPr>
            <w:tcW w:w="2251" w:type="dxa"/>
          </w:tcPr>
          <w:p w14:paraId="79664E47"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w:t>
            </w:r>
            <w:bookmarkStart w:id="31" w:name="BM11_335"/>
            <w:r w:rsidRPr="00524435">
              <w:rPr>
                <w:rFonts w:ascii="Cambria" w:hAnsi="Cambria" w:cs="Cambria"/>
                <w:color w:val="000000" w:themeColor="text1"/>
                <w:sz w:val="18"/>
                <w:szCs w:val="18"/>
              </w:rPr>
              <w:t>11.335</w:t>
            </w:r>
            <w:bookmarkEnd w:id="31"/>
            <w:r w:rsidRPr="00524435">
              <w:rPr>
                <w:rFonts w:ascii="Cambria" w:hAnsi="Cambria" w:cs="Cambria"/>
                <w:color w:val="000000" w:themeColor="text1"/>
                <w:sz w:val="18"/>
                <w:szCs w:val="18"/>
              </w:rPr>
              <w:t xml:space="preserve">, Report No. 78/02, Guy </w:t>
            </w:r>
            <w:proofErr w:type="spellStart"/>
            <w:r w:rsidRPr="00524435">
              <w:rPr>
                <w:rFonts w:ascii="Cambria" w:hAnsi="Cambria" w:cs="Cambria"/>
                <w:color w:val="000000" w:themeColor="text1"/>
                <w:sz w:val="18"/>
                <w:szCs w:val="18"/>
              </w:rPr>
              <w:t>Malary</w:t>
            </w:r>
            <w:proofErr w:type="spellEnd"/>
            <w:r w:rsidRPr="00524435">
              <w:rPr>
                <w:rFonts w:ascii="Cambria" w:hAnsi="Cambria" w:cs="Cambria"/>
                <w:color w:val="000000" w:themeColor="text1"/>
                <w:sz w:val="18"/>
                <w:szCs w:val="18"/>
              </w:rPr>
              <w:t xml:space="preserve"> (Haiti)</w:t>
            </w:r>
          </w:p>
        </w:tc>
        <w:tc>
          <w:tcPr>
            <w:tcW w:w="1125" w:type="dxa"/>
          </w:tcPr>
          <w:p w14:paraId="64D5F19A" w14:textId="4B66533B" w:rsidR="007A5442" w:rsidRPr="00524435" w:rsidRDefault="006B7403" w:rsidP="00C33359">
            <w:pPr>
              <w:jc w:val="center"/>
              <w:rPr>
                <w:rFonts w:ascii="Cambria" w:hAnsi="Cambria"/>
                <w:color w:val="000000" w:themeColor="text1"/>
                <w:sz w:val="18"/>
                <w:szCs w:val="18"/>
              </w:rPr>
            </w:pPr>
            <w:hyperlink r:id="rId135"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2F480B00"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EA28BDD" w14:textId="52C6CA34"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CDCA535"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77BAA8E9"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4EEED77F"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43F623E8" w14:textId="77777777" w:rsidTr="00D300E5">
        <w:trPr>
          <w:cnfStyle w:val="000000010000" w:firstRow="0" w:lastRow="0" w:firstColumn="0" w:lastColumn="0" w:oddVBand="0" w:evenVBand="0" w:oddHBand="0" w:evenHBand="1" w:firstRowFirstColumn="0" w:firstRowLastColumn="0" w:lastRowFirstColumn="0" w:lastRowLastColumn="0"/>
          <w:trHeight w:val="37"/>
        </w:trPr>
        <w:tc>
          <w:tcPr>
            <w:tcW w:w="2251" w:type="dxa"/>
          </w:tcPr>
          <w:p w14:paraId="6B4333E6"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Case</w:t>
            </w:r>
            <w:bookmarkStart w:id="32" w:name="BM11_826"/>
            <w:r w:rsidRPr="00524435">
              <w:rPr>
                <w:rFonts w:ascii="Cambria" w:hAnsi="Cambria" w:cs="Cambria"/>
                <w:color w:val="000000" w:themeColor="text1"/>
                <w:sz w:val="18"/>
                <w:szCs w:val="18"/>
              </w:rPr>
              <w:t>s 11.826</w:t>
            </w:r>
            <w:bookmarkEnd w:id="32"/>
            <w:r w:rsidRPr="00524435">
              <w:rPr>
                <w:rFonts w:ascii="Cambria" w:hAnsi="Cambria" w:cs="Cambria"/>
                <w:color w:val="000000" w:themeColor="text1"/>
                <w:sz w:val="18"/>
                <w:szCs w:val="18"/>
              </w:rPr>
              <w:t xml:space="preserve">, 11.843, 11.846 &amp; 11.847, Report No. 49/01, Leroy </w:t>
            </w:r>
            <w:proofErr w:type="spellStart"/>
            <w:r w:rsidRPr="00524435">
              <w:rPr>
                <w:rFonts w:ascii="Cambria" w:hAnsi="Cambria" w:cs="Cambria"/>
                <w:color w:val="000000" w:themeColor="text1"/>
                <w:sz w:val="18"/>
                <w:szCs w:val="18"/>
              </w:rPr>
              <w:t>Lamey</w:t>
            </w:r>
            <w:proofErr w:type="spellEnd"/>
            <w:r w:rsidRPr="00524435">
              <w:rPr>
                <w:rFonts w:ascii="Cambria" w:hAnsi="Cambria" w:cs="Cambria"/>
                <w:color w:val="000000" w:themeColor="text1"/>
                <w:sz w:val="18"/>
                <w:szCs w:val="18"/>
              </w:rPr>
              <w:t xml:space="preserve">, Kevin </w:t>
            </w:r>
            <w:proofErr w:type="spellStart"/>
            <w:r w:rsidRPr="00524435">
              <w:rPr>
                <w:rFonts w:ascii="Cambria" w:hAnsi="Cambria" w:cs="Cambria"/>
                <w:color w:val="000000" w:themeColor="text1"/>
                <w:sz w:val="18"/>
                <w:szCs w:val="18"/>
              </w:rPr>
              <w:t>Mykoo</w:t>
            </w:r>
            <w:proofErr w:type="spellEnd"/>
            <w:r w:rsidRPr="00524435">
              <w:rPr>
                <w:rFonts w:ascii="Cambria" w:hAnsi="Cambria" w:cs="Cambria"/>
                <w:color w:val="000000" w:themeColor="text1"/>
                <w:sz w:val="18"/>
                <w:szCs w:val="18"/>
              </w:rPr>
              <w:t xml:space="preserve">, Milton </w:t>
            </w:r>
            <w:proofErr w:type="spellStart"/>
            <w:proofErr w:type="gramStart"/>
            <w:r w:rsidRPr="00524435">
              <w:rPr>
                <w:rFonts w:ascii="Cambria" w:hAnsi="Cambria" w:cs="Cambria"/>
                <w:color w:val="000000" w:themeColor="text1"/>
                <w:sz w:val="18"/>
                <w:szCs w:val="18"/>
              </w:rPr>
              <w:lastRenderedPageBreak/>
              <w:t>Montique</w:t>
            </w:r>
            <w:proofErr w:type="spellEnd"/>
            <w:proofErr w:type="gramEnd"/>
            <w:r w:rsidRPr="00524435">
              <w:rPr>
                <w:rFonts w:ascii="Cambria" w:hAnsi="Cambria" w:cs="Cambria"/>
                <w:color w:val="000000" w:themeColor="text1"/>
                <w:sz w:val="18"/>
                <w:szCs w:val="18"/>
              </w:rPr>
              <w:t xml:space="preserve"> and Dalton Daley (Jamaica)</w:t>
            </w:r>
          </w:p>
        </w:tc>
        <w:tc>
          <w:tcPr>
            <w:tcW w:w="1125" w:type="dxa"/>
          </w:tcPr>
          <w:p w14:paraId="0C2AFB9D" w14:textId="5691DEF4" w:rsidR="007A5442" w:rsidRPr="00524435" w:rsidRDefault="006B7403" w:rsidP="00C33359">
            <w:pPr>
              <w:jc w:val="center"/>
              <w:rPr>
                <w:rFonts w:ascii="Cambria" w:hAnsi="Cambria"/>
                <w:color w:val="000000" w:themeColor="text1"/>
                <w:sz w:val="18"/>
                <w:szCs w:val="18"/>
              </w:rPr>
            </w:pPr>
            <w:hyperlink r:id="rId136"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5C8C7877"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68036FA7" w14:textId="79DADE3B"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66DF4DA8"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1FB306C4"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321753C9"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6044284C" w14:textId="77777777" w:rsidTr="00D300E5">
        <w:trPr>
          <w:cnfStyle w:val="000000100000" w:firstRow="0" w:lastRow="0" w:firstColumn="0" w:lastColumn="0" w:oddVBand="0" w:evenVBand="0" w:oddHBand="1" w:evenHBand="0" w:firstRowFirstColumn="0" w:firstRowLastColumn="0" w:lastRowFirstColumn="0" w:lastRowLastColumn="0"/>
          <w:trHeight w:val="33"/>
        </w:trPr>
        <w:tc>
          <w:tcPr>
            <w:tcW w:w="2251" w:type="dxa"/>
          </w:tcPr>
          <w:p w14:paraId="54CC459C"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w:t>
            </w:r>
            <w:bookmarkStart w:id="33" w:name="BM12_069"/>
            <w:r w:rsidRPr="00524435">
              <w:rPr>
                <w:rFonts w:ascii="Cambria" w:hAnsi="Cambria" w:cs="Cambria"/>
                <w:color w:val="000000" w:themeColor="text1"/>
                <w:sz w:val="18"/>
                <w:szCs w:val="18"/>
              </w:rPr>
              <w:t>12.069</w:t>
            </w:r>
            <w:bookmarkEnd w:id="33"/>
            <w:r w:rsidRPr="00524435">
              <w:rPr>
                <w:rFonts w:ascii="Cambria" w:hAnsi="Cambria" w:cs="Cambria"/>
                <w:color w:val="000000" w:themeColor="text1"/>
                <w:sz w:val="18"/>
                <w:szCs w:val="18"/>
              </w:rPr>
              <w:t>, Report No. 50/01, Damion Thomas (Jamaica)</w:t>
            </w:r>
          </w:p>
        </w:tc>
        <w:tc>
          <w:tcPr>
            <w:tcW w:w="1125" w:type="dxa"/>
          </w:tcPr>
          <w:p w14:paraId="3B9752B4" w14:textId="1E80E1BE" w:rsidR="007A5442" w:rsidRPr="00524435" w:rsidRDefault="006B7403" w:rsidP="00C33359">
            <w:pPr>
              <w:jc w:val="center"/>
              <w:rPr>
                <w:rFonts w:ascii="Cambria" w:hAnsi="Cambria"/>
                <w:color w:val="000000" w:themeColor="text1"/>
                <w:sz w:val="18"/>
                <w:szCs w:val="18"/>
              </w:rPr>
            </w:pPr>
            <w:hyperlink r:id="rId137"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6B8CBE23"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74CA5D9" w14:textId="13F650F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1283433C"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50B720A0"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1C6B6D13"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6FF3855C" w14:textId="77777777" w:rsidTr="00D300E5">
        <w:trPr>
          <w:cnfStyle w:val="000000010000" w:firstRow="0" w:lastRow="0" w:firstColumn="0" w:lastColumn="0" w:oddVBand="0" w:evenVBand="0" w:oddHBand="0" w:evenHBand="1" w:firstRowFirstColumn="0" w:firstRowLastColumn="0" w:lastRowFirstColumn="0" w:lastRowLastColumn="0"/>
          <w:trHeight w:val="30"/>
        </w:trPr>
        <w:tc>
          <w:tcPr>
            <w:tcW w:w="2251" w:type="dxa"/>
          </w:tcPr>
          <w:p w14:paraId="31CAE6DE"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w:t>
            </w:r>
            <w:bookmarkStart w:id="34" w:name="BM12_183"/>
            <w:r w:rsidRPr="00524435">
              <w:rPr>
                <w:rFonts w:ascii="Cambria" w:hAnsi="Cambria" w:cs="Cambria"/>
                <w:color w:val="000000" w:themeColor="text1"/>
                <w:sz w:val="18"/>
                <w:szCs w:val="18"/>
              </w:rPr>
              <w:t>12.183</w:t>
            </w:r>
            <w:bookmarkEnd w:id="34"/>
            <w:r w:rsidRPr="00524435">
              <w:rPr>
                <w:rFonts w:ascii="Cambria" w:hAnsi="Cambria" w:cs="Cambria"/>
                <w:color w:val="000000" w:themeColor="text1"/>
                <w:sz w:val="18"/>
                <w:szCs w:val="18"/>
              </w:rPr>
              <w:t>, Report No. 127/01, Joseph Thomas (Jamaica)</w:t>
            </w:r>
          </w:p>
        </w:tc>
        <w:tc>
          <w:tcPr>
            <w:tcW w:w="1125" w:type="dxa"/>
          </w:tcPr>
          <w:p w14:paraId="5007A4C5" w14:textId="12CD0CEB" w:rsidR="007A5442" w:rsidRPr="00524435" w:rsidRDefault="006B7403" w:rsidP="00C33359">
            <w:pPr>
              <w:jc w:val="center"/>
              <w:rPr>
                <w:rFonts w:ascii="Cambria" w:hAnsi="Cambria"/>
                <w:color w:val="000000" w:themeColor="text1"/>
                <w:sz w:val="18"/>
                <w:szCs w:val="18"/>
              </w:rPr>
            </w:pPr>
            <w:hyperlink r:id="rId138"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40B209CB"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5048F667" w14:textId="11673D94"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1A21A948"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1867FD29"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6867C4BD"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3D3C4B41" w14:textId="77777777" w:rsidTr="00D300E5">
        <w:trPr>
          <w:cnfStyle w:val="000000100000" w:firstRow="0" w:lastRow="0" w:firstColumn="0" w:lastColumn="0" w:oddVBand="0" w:evenVBand="0" w:oddHBand="1" w:evenHBand="0" w:firstRowFirstColumn="0" w:firstRowLastColumn="0" w:lastRowFirstColumn="0" w:lastRowLastColumn="0"/>
          <w:trHeight w:val="29"/>
        </w:trPr>
        <w:tc>
          <w:tcPr>
            <w:tcW w:w="2251" w:type="dxa"/>
          </w:tcPr>
          <w:p w14:paraId="6C50208B"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w:t>
            </w:r>
            <w:bookmarkStart w:id="35" w:name="BM12_275"/>
            <w:r w:rsidRPr="00524435">
              <w:rPr>
                <w:rFonts w:ascii="Cambria" w:hAnsi="Cambria" w:cs="Cambria"/>
                <w:color w:val="000000" w:themeColor="text1"/>
                <w:sz w:val="18"/>
                <w:szCs w:val="18"/>
              </w:rPr>
              <w:t>12.275</w:t>
            </w:r>
            <w:bookmarkEnd w:id="35"/>
            <w:r w:rsidRPr="00524435">
              <w:rPr>
                <w:rFonts w:ascii="Cambria" w:hAnsi="Cambria" w:cs="Cambria"/>
                <w:color w:val="000000" w:themeColor="text1"/>
                <w:sz w:val="18"/>
                <w:szCs w:val="18"/>
              </w:rPr>
              <w:t>, Report No. 58/02, Denton Aitken (Jamaica)</w:t>
            </w:r>
          </w:p>
        </w:tc>
        <w:tc>
          <w:tcPr>
            <w:tcW w:w="1125" w:type="dxa"/>
          </w:tcPr>
          <w:p w14:paraId="58FD53BB" w14:textId="32AA134E" w:rsidR="007A5442" w:rsidRPr="00524435" w:rsidRDefault="006B7403" w:rsidP="00C33359">
            <w:pPr>
              <w:jc w:val="center"/>
              <w:rPr>
                <w:rFonts w:ascii="Cambria" w:hAnsi="Cambria"/>
                <w:color w:val="000000" w:themeColor="text1"/>
                <w:sz w:val="18"/>
                <w:szCs w:val="18"/>
              </w:rPr>
            </w:pPr>
            <w:hyperlink r:id="rId139"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57C9E235"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98201AE" w14:textId="092E7EFA"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5B873465"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6CF1EBC4"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17EEBFAF"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54314636" w14:textId="77777777" w:rsidTr="00D300E5">
        <w:trPr>
          <w:cnfStyle w:val="000000010000" w:firstRow="0" w:lastRow="0" w:firstColumn="0" w:lastColumn="0" w:oddVBand="0" w:evenVBand="0" w:oddHBand="0" w:evenHBand="1" w:firstRowFirstColumn="0" w:firstRowLastColumn="0" w:lastRowFirstColumn="0" w:lastRowLastColumn="0"/>
          <w:trHeight w:val="37"/>
        </w:trPr>
        <w:tc>
          <w:tcPr>
            <w:tcW w:w="2251" w:type="dxa"/>
          </w:tcPr>
          <w:p w14:paraId="4D1FDCAC"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w:t>
            </w:r>
            <w:bookmarkStart w:id="36" w:name="BM12_347_"/>
            <w:r w:rsidRPr="00524435">
              <w:rPr>
                <w:rFonts w:ascii="Cambria" w:hAnsi="Cambria" w:cs="Cambria"/>
                <w:color w:val="000000" w:themeColor="text1"/>
                <w:sz w:val="18"/>
                <w:szCs w:val="18"/>
              </w:rPr>
              <w:t>12.347,</w:t>
            </w:r>
            <w:bookmarkEnd w:id="36"/>
            <w:r w:rsidRPr="00524435">
              <w:rPr>
                <w:rFonts w:ascii="Cambria" w:hAnsi="Cambria" w:cs="Cambria"/>
                <w:color w:val="000000" w:themeColor="text1"/>
                <w:sz w:val="18"/>
                <w:szCs w:val="18"/>
              </w:rPr>
              <w:t xml:space="preserve"> Report No. 76/02, Dave Sewell (Jamaica)</w:t>
            </w:r>
          </w:p>
        </w:tc>
        <w:tc>
          <w:tcPr>
            <w:tcW w:w="1125" w:type="dxa"/>
          </w:tcPr>
          <w:p w14:paraId="5A618714" w14:textId="1A51D0CF" w:rsidR="007A5442" w:rsidRPr="00524435" w:rsidRDefault="006B7403" w:rsidP="00C33359">
            <w:pPr>
              <w:jc w:val="center"/>
              <w:rPr>
                <w:rFonts w:ascii="Cambria" w:hAnsi="Cambria"/>
                <w:color w:val="000000" w:themeColor="text1"/>
                <w:sz w:val="18"/>
                <w:szCs w:val="18"/>
              </w:rPr>
            </w:pPr>
            <w:hyperlink r:id="rId140"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22C8911A"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6A87E6E0" w14:textId="76F7FD9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AB10CB1"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7540E306"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55525FC7"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39FC8489" w14:textId="77777777" w:rsidTr="00D300E5">
        <w:trPr>
          <w:cnfStyle w:val="000000100000" w:firstRow="0" w:lastRow="0" w:firstColumn="0" w:lastColumn="0" w:oddVBand="0" w:evenVBand="0" w:oddHBand="1" w:evenHBand="0" w:firstRowFirstColumn="0" w:firstRowLastColumn="0" w:lastRowFirstColumn="0" w:lastRowLastColumn="0"/>
          <w:trHeight w:val="37"/>
        </w:trPr>
        <w:tc>
          <w:tcPr>
            <w:tcW w:w="2251" w:type="dxa"/>
          </w:tcPr>
          <w:p w14:paraId="015F5532"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w:t>
            </w:r>
            <w:bookmarkStart w:id="37" w:name="BM12_417"/>
            <w:r w:rsidRPr="00524435">
              <w:rPr>
                <w:rFonts w:ascii="Cambria" w:hAnsi="Cambria" w:cs="Cambria"/>
                <w:color w:val="000000" w:themeColor="text1"/>
                <w:sz w:val="18"/>
                <w:szCs w:val="18"/>
              </w:rPr>
              <w:t>12.417</w:t>
            </w:r>
            <w:bookmarkEnd w:id="37"/>
            <w:r w:rsidRPr="00524435">
              <w:rPr>
                <w:rFonts w:ascii="Cambria" w:hAnsi="Cambria" w:cs="Cambria"/>
                <w:color w:val="000000" w:themeColor="text1"/>
                <w:sz w:val="18"/>
                <w:szCs w:val="18"/>
              </w:rPr>
              <w:t xml:space="preserve">, Report No. 41/04, Whitley </w:t>
            </w:r>
            <w:proofErr w:type="spellStart"/>
            <w:r w:rsidRPr="00524435">
              <w:rPr>
                <w:rFonts w:ascii="Cambria" w:hAnsi="Cambria" w:cs="Cambria"/>
                <w:color w:val="000000" w:themeColor="text1"/>
                <w:sz w:val="18"/>
                <w:szCs w:val="18"/>
              </w:rPr>
              <w:t>Myrie</w:t>
            </w:r>
            <w:proofErr w:type="spellEnd"/>
            <w:r w:rsidRPr="00524435">
              <w:rPr>
                <w:rFonts w:ascii="Cambria" w:hAnsi="Cambria" w:cs="Cambria"/>
                <w:color w:val="000000" w:themeColor="text1"/>
                <w:sz w:val="18"/>
                <w:szCs w:val="18"/>
              </w:rPr>
              <w:t xml:space="preserve"> (Jamaica)</w:t>
            </w:r>
          </w:p>
        </w:tc>
        <w:tc>
          <w:tcPr>
            <w:tcW w:w="1125" w:type="dxa"/>
          </w:tcPr>
          <w:p w14:paraId="41540EE5" w14:textId="3A94AA75" w:rsidR="007A5442" w:rsidRPr="00524435" w:rsidRDefault="006B7403" w:rsidP="00C33359">
            <w:pPr>
              <w:jc w:val="center"/>
              <w:rPr>
                <w:rFonts w:ascii="Cambria" w:hAnsi="Cambria"/>
                <w:color w:val="000000" w:themeColor="text1"/>
                <w:sz w:val="18"/>
                <w:szCs w:val="18"/>
              </w:rPr>
            </w:pPr>
            <w:hyperlink r:id="rId141"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7D44C73E"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50CC35B7" w14:textId="0373670B"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535A092"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355DDAE1"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6CA2BB68"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1B678CB2" w14:textId="77777777" w:rsidTr="00D300E5">
        <w:trPr>
          <w:cnfStyle w:val="000000010000" w:firstRow="0" w:lastRow="0" w:firstColumn="0" w:lastColumn="0" w:oddVBand="0" w:evenVBand="0" w:oddHBand="0" w:evenHBand="1" w:firstRowFirstColumn="0" w:firstRowLastColumn="0" w:lastRowFirstColumn="0" w:lastRowLastColumn="0"/>
          <w:trHeight w:val="30"/>
        </w:trPr>
        <w:tc>
          <w:tcPr>
            <w:tcW w:w="2251" w:type="dxa"/>
          </w:tcPr>
          <w:p w14:paraId="27754A12"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w:t>
            </w:r>
            <w:bookmarkStart w:id="38" w:name="BM12_418"/>
            <w:r w:rsidRPr="00524435">
              <w:rPr>
                <w:rFonts w:ascii="Cambria" w:hAnsi="Cambria" w:cs="Cambria"/>
                <w:color w:val="000000" w:themeColor="text1"/>
                <w:sz w:val="18"/>
                <w:szCs w:val="18"/>
              </w:rPr>
              <w:t>12.418</w:t>
            </w:r>
            <w:bookmarkEnd w:id="38"/>
            <w:r w:rsidRPr="00524435">
              <w:rPr>
                <w:rFonts w:ascii="Cambria" w:hAnsi="Cambria" w:cs="Cambria"/>
                <w:color w:val="000000" w:themeColor="text1"/>
                <w:sz w:val="18"/>
                <w:szCs w:val="18"/>
              </w:rPr>
              <w:t>, Report No. 92/05, Michael Gayle (Jamaica)</w:t>
            </w:r>
          </w:p>
        </w:tc>
        <w:tc>
          <w:tcPr>
            <w:tcW w:w="1125" w:type="dxa"/>
          </w:tcPr>
          <w:p w14:paraId="59A76742" w14:textId="0C10CAFC" w:rsidR="007A5442" w:rsidRPr="00524435" w:rsidRDefault="006B7403" w:rsidP="00C33359">
            <w:pPr>
              <w:jc w:val="center"/>
              <w:rPr>
                <w:rFonts w:ascii="Cambria" w:hAnsi="Cambria"/>
                <w:color w:val="000000" w:themeColor="text1"/>
                <w:sz w:val="18"/>
                <w:szCs w:val="18"/>
              </w:rPr>
            </w:pPr>
            <w:hyperlink r:id="rId142"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595472E8"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6313D33" w14:textId="529C82D8"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A05886C"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314F683C"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4E5E86D6"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516D6A39" w14:textId="77777777" w:rsidTr="00D300E5">
        <w:trPr>
          <w:cnfStyle w:val="000000100000" w:firstRow="0" w:lastRow="0" w:firstColumn="0" w:lastColumn="0" w:oddVBand="0" w:evenVBand="0" w:oddHBand="1" w:evenHBand="0" w:firstRowFirstColumn="0" w:firstRowLastColumn="0" w:lastRowFirstColumn="0" w:lastRowLastColumn="0"/>
          <w:trHeight w:val="32"/>
        </w:trPr>
        <w:tc>
          <w:tcPr>
            <w:tcW w:w="2251" w:type="dxa"/>
          </w:tcPr>
          <w:p w14:paraId="6E8D510B"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w:t>
            </w:r>
            <w:bookmarkStart w:id="39" w:name="BM12_447"/>
            <w:r w:rsidRPr="00524435">
              <w:rPr>
                <w:rFonts w:ascii="Cambria" w:hAnsi="Cambria" w:cs="Cambria"/>
                <w:color w:val="000000" w:themeColor="text1"/>
                <w:sz w:val="18"/>
                <w:szCs w:val="18"/>
              </w:rPr>
              <w:t>12.447</w:t>
            </w:r>
            <w:bookmarkEnd w:id="39"/>
            <w:r w:rsidRPr="00524435">
              <w:rPr>
                <w:rFonts w:ascii="Cambria" w:hAnsi="Cambria" w:cs="Cambria"/>
                <w:color w:val="000000" w:themeColor="text1"/>
                <w:sz w:val="18"/>
                <w:szCs w:val="18"/>
              </w:rPr>
              <w:t>, Report No. 61/06, Derrick Tracey (Jamaica)</w:t>
            </w:r>
          </w:p>
        </w:tc>
        <w:tc>
          <w:tcPr>
            <w:tcW w:w="1125" w:type="dxa"/>
          </w:tcPr>
          <w:p w14:paraId="3E6AFEAB" w14:textId="0CB9DFBD" w:rsidR="007A5442" w:rsidRPr="00524435" w:rsidRDefault="006B7403" w:rsidP="00C33359">
            <w:pPr>
              <w:jc w:val="center"/>
              <w:rPr>
                <w:rFonts w:ascii="Cambria" w:hAnsi="Cambria"/>
                <w:color w:val="000000" w:themeColor="text1"/>
                <w:sz w:val="18"/>
                <w:szCs w:val="18"/>
              </w:rPr>
            </w:pPr>
            <w:hyperlink r:id="rId143"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17AAEF07"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9B8C0B6" w14:textId="17C9115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FC5D0BF"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52E605EE"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5D7E4D6E"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590F48A6" w14:textId="77777777" w:rsidTr="00D300E5">
        <w:trPr>
          <w:cnfStyle w:val="000000010000" w:firstRow="0" w:lastRow="0" w:firstColumn="0" w:lastColumn="0" w:oddVBand="0" w:evenVBand="0" w:oddHBand="0" w:evenHBand="1" w:firstRowFirstColumn="0" w:firstRowLastColumn="0" w:lastRowFirstColumn="0" w:lastRowLastColumn="0"/>
          <w:trHeight w:val="32"/>
        </w:trPr>
        <w:tc>
          <w:tcPr>
            <w:tcW w:w="2251" w:type="dxa"/>
          </w:tcPr>
          <w:p w14:paraId="6D90F0CF" w14:textId="409B64EE" w:rsidR="007A5442" w:rsidRPr="00524435" w:rsidRDefault="007A5442" w:rsidP="00C33359">
            <w:pPr>
              <w:rPr>
                <w:rFonts w:ascii="Cambria" w:hAnsi="Cambria" w:cs="Cambria"/>
                <w:color w:val="000000" w:themeColor="text1"/>
                <w:sz w:val="18"/>
                <w:szCs w:val="18"/>
              </w:rPr>
            </w:pPr>
            <w:bookmarkStart w:id="40" w:name="_Hlk91002323"/>
            <w:r w:rsidRPr="00524435">
              <w:rPr>
                <w:rFonts w:ascii="Cambria" w:hAnsi="Cambria" w:cs="Calibri"/>
                <w:color w:val="000000" w:themeColor="text1"/>
                <w:sz w:val="18"/>
                <w:szCs w:val="18"/>
              </w:rPr>
              <w:t xml:space="preserve">Caso 13.095, Report Nº 401/20, </w:t>
            </w:r>
            <w:r w:rsidRPr="00524435">
              <w:rPr>
                <w:rFonts w:ascii="Cambria" w:hAnsi="Cambria"/>
                <w:color w:val="000000" w:themeColor="text1"/>
                <w:sz w:val="18"/>
                <w:szCs w:val="18"/>
              </w:rPr>
              <w:t>T.B. y S.H.</w:t>
            </w:r>
            <w:r w:rsidRPr="00524435">
              <w:rPr>
                <w:rFonts w:ascii="Cambria" w:hAnsi="Cambria" w:cs="Calibri"/>
                <w:color w:val="000000" w:themeColor="text1"/>
                <w:sz w:val="18"/>
                <w:szCs w:val="18"/>
              </w:rPr>
              <w:t xml:space="preserve"> (Jamaica)</w:t>
            </w:r>
            <w:bookmarkEnd w:id="40"/>
          </w:p>
        </w:tc>
        <w:tc>
          <w:tcPr>
            <w:tcW w:w="1125" w:type="dxa"/>
          </w:tcPr>
          <w:p w14:paraId="6C7328D0" w14:textId="3173F690" w:rsidR="007A5442" w:rsidRPr="00524435" w:rsidRDefault="006B7403" w:rsidP="00C33359">
            <w:pPr>
              <w:jc w:val="center"/>
              <w:rPr>
                <w:rFonts w:ascii="Cambria" w:hAnsi="Cambria"/>
                <w:color w:val="000000" w:themeColor="text1"/>
                <w:sz w:val="18"/>
                <w:szCs w:val="18"/>
              </w:rPr>
            </w:pPr>
            <w:hyperlink r:id="rId144" w:history="1">
              <w:r w:rsidR="007A5442" w:rsidRPr="00524435">
                <w:rPr>
                  <w:rStyle w:val="Hyperlink"/>
                  <w:rFonts w:ascii="Cambria" w:hAnsi="Cambria" w:cs="Cambria"/>
                  <w:color w:val="000000" w:themeColor="text1"/>
                  <w:sz w:val="18"/>
                  <w:szCs w:val="18"/>
                </w:rPr>
                <w:t>Lin</w:t>
              </w:r>
              <w:r w:rsidR="007A5442" w:rsidRPr="00524435">
                <w:rPr>
                  <w:rStyle w:val="Hyperlink"/>
                  <w:rFonts w:ascii="Cambria" w:hAnsi="Cambria" w:cs="Cambria"/>
                  <w:color w:val="000000" w:themeColor="text1"/>
                  <w:sz w:val="18"/>
                  <w:szCs w:val="18"/>
                </w:rPr>
                <w:t>k</w:t>
              </w:r>
            </w:hyperlink>
          </w:p>
        </w:tc>
        <w:tc>
          <w:tcPr>
            <w:tcW w:w="1275" w:type="dxa"/>
          </w:tcPr>
          <w:p w14:paraId="16AA2526"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18F197E5" w14:textId="13A0B0C5"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75CE810"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123F6650"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2544BCE4" w14:textId="77777777" w:rsidR="007A5442" w:rsidRPr="00524435" w:rsidRDefault="007A5442" w:rsidP="00C33359">
            <w:pPr>
              <w:jc w:val="center"/>
              <w:rPr>
                <w:rFonts w:ascii="Cambria" w:hAnsi="Cambria" w:cs="Cambria"/>
                <w:color w:val="000000" w:themeColor="text1"/>
                <w:sz w:val="18"/>
                <w:szCs w:val="18"/>
              </w:rPr>
            </w:pPr>
            <w:r w:rsidRPr="00524435">
              <w:rPr>
                <w:rFonts w:ascii="Cambria" w:hAnsi="Cambria" w:cs="Cambria"/>
                <w:color w:val="000000" w:themeColor="text1"/>
                <w:sz w:val="18"/>
                <w:szCs w:val="18"/>
              </w:rPr>
              <w:t>Open</w:t>
            </w:r>
          </w:p>
        </w:tc>
      </w:tr>
      <w:tr w:rsidR="00796A41" w:rsidRPr="00524435" w14:paraId="5A41C7E0" w14:textId="77777777" w:rsidTr="00D300E5">
        <w:trPr>
          <w:cnfStyle w:val="000000100000" w:firstRow="0" w:lastRow="0" w:firstColumn="0" w:lastColumn="0" w:oddVBand="0" w:evenVBand="0" w:oddHBand="1" w:evenHBand="0" w:firstRowFirstColumn="0" w:firstRowLastColumn="0" w:lastRowFirstColumn="0" w:lastRowLastColumn="0"/>
          <w:trHeight w:val="32"/>
        </w:trPr>
        <w:tc>
          <w:tcPr>
            <w:tcW w:w="2251" w:type="dxa"/>
          </w:tcPr>
          <w:p w14:paraId="3A62EFA2" w14:textId="79D5D9A3" w:rsidR="007A5442" w:rsidRPr="00524435" w:rsidRDefault="007A5442" w:rsidP="00C33359">
            <w:pPr>
              <w:rPr>
                <w:rFonts w:ascii="Cambria" w:hAnsi="Cambria"/>
                <w:color w:val="000000" w:themeColor="text1"/>
                <w:sz w:val="18"/>
                <w:szCs w:val="18"/>
              </w:rPr>
            </w:pPr>
            <w:bookmarkStart w:id="41" w:name="_Hlk91002328"/>
            <w:r w:rsidRPr="00524435">
              <w:rPr>
                <w:rFonts w:ascii="Cambria" w:hAnsi="Cambria" w:cs="Calibri"/>
                <w:color w:val="000000" w:themeColor="text1"/>
                <w:sz w:val="18"/>
                <w:szCs w:val="18"/>
              </w:rPr>
              <w:t>Caso 13.</w:t>
            </w:r>
            <w:r w:rsidR="00FE5AD6">
              <w:rPr>
                <w:rFonts w:ascii="Cambria" w:hAnsi="Cambria" w:cs="Calibri"/>
                <w:color w:val="000000" w:themeColor="text1"/>
                <w:sz w:val="18"/>
                <w:szCs w:val="18"/>
              </w:rPr>
              <w:t>367</w:t>
            </w:r>
            <w:r w:rsidRPr="00524435">
              <w:rPr>
                <w:rFonts w:ascii="Cambria" w:hAnsi="Cambria" w:cs="Calibri"/>
                <w:color w:val="000000" w:themeColor="text1"/>
                <w:sz w:val="18"/>
                <w:szCs w:val="18"/>
              </w:rPr>
              <w:t>, Report Nº 400/20, Gareth Henry y Simone Carline Edwards (Jamaica)</w:t>
            </w:r>
            <w:bookmarkEnd w:id="41"/>
          </w:p>
        </w:tc>
        <w:tc>
          <w:tcPr>
            <w:tcW w:w="1125" w:type="dxa"/>
          </w:tcPr>
          <w:p w14:paraId="008FDFD7" w14:textId="4202F413" w:rsidR="007A5442" w:rsidRPr="00524435" w:rsidRDefault="006B7403" w:rsidP="00C33359">
            <w:pPr>
              <w:jc w:val="center"/>
              <w:rPr>
                <w:rFonts w:ascii="Cambria" w:hAnsi="Cambria" w:cs="Cambria"/>
                <w:color w:val="000000" w:themeColor="text1"/>
                <w:sz w:val="18"/>
                <w:szCs w:val="18"/>
              </w:rPr>
            </w:pPr>
            <w:hyperlink r:id="rId145" w:history="1">
              <w:r w:rsidR="007A5442" w:rsidRPr="00524435">
                <w:rPr>
                  <w:rStyle w:val="Hyperlink"/>
                  <w:rFonts w:ascii="Cambria" w:hAnsi="Cambria" w:cs="Cambria"/>
                  <w:color w:val="000000" w:themeColor="text1"/>
                  <w:sz w:val="18"/>
                  <w:szCs w:val="18"/>
                </w:rPr>
                <w:t>Lin</w:t>
              </w:r>
              <w:r w:rsidR="007A5442" w:rsidRPr="00524435">
                <w:rPr>
                  <w:rStyle w:val="Hyperlink"/>
                  <w:rFonts w:ascii="Cambria" w:hAnsi="Cambria" w:cs="Cambria"/>
                  <w:color w:val="000000" w:themeColor="text1"/>
                  <w:sz w:val="18"/>
                  <w:szCs w:val="18"/>
                </w:rPr>
                <w:t>k</w:t>
              </w:r>
            </w:hyperlink>
          </w:p>
        </w:tc>
        <w:tc>
          <w:tcPr>
            <w:tcW w:w="1275" w:type="dxa"/>
          </w:tcPr>
          <w:p w14:paraId="31A36332"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A8AE13F" w14:textId="185FE365"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CEFF2D3"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0C434BD4"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0CC0C492" w14:textId="77777777" w:rsidR="007A5442" w:rsidRPr="00524435" w:rsidRDefault="007A5442" w:rsidP="00C33359">
            <w:pPr>
              <w:jc w:val="center"/>
              <w:rPr>
                <w:rFonts w:ascii="Cambria" w:hAnsi="Cambria" w:cs="Cambria"/>
                <w:color w:val="000000" w:themeColor="text1"/>
                <w:sz w:val="18"/>
                <w:szCs w:val="18"/>
              </w:rPr>
            </w:pPr>
            <w:r w:rsidRPr="00524435">
              <w:rPr>
                <w:rFonts w:ascii="Cambria" w:hAnsi="Cambria" w:cs="Cambria"/>
                <w:color w:val="000000" w:themeColor="text1"/>
                <w:sz w:val="18"/>
                <w:szCs w:val="18"/>
              </w:rPr>
              <w:t>Open</w:t>
            </w:r>
          </w:p>
        </w:tc>
      </w:tr>
      <w:tr w:rsidR="00796A41" w:rsidRPr="00524435" w14:paraId="11FDFCF0" w14:textId="77777777" w:rsidTr="00D300E5">
        <w:trPr>
          <w:cnfStyle w:val="000000010000" w:firstRow="0" w:lastRow="0" w:firstColumn="0" w:lastColumn="0" w:oddVBand="0" w:evenVBand="0" w:oddHBand="0" w:evenHBand="1" w:firstRowFirstColumn="0" w:firstRowLastColumn="0" w:lastRowFirstColumn="0" w:lastRowLastColumn="0"/>
          <w:trHeight w:val="30"/>
        </w:trPr>
        <w:tc>
          <w:tcPr>
            <w:tcW w:w="2251" w:type="dxa"/>
          </w:tcPr>
          <w:p w14:paraId="289DD2BA" w14:textId="77777777" w:rsidR="007A5442" w:rsidRPr="007A5442" w:rsidRDefault="007A5442" w:rsidP="00C33359">
            <w:pPr>
              <w:rPr>
                <w:rFonts w:ascii="Cambria" w:hAnsi="Cambria" w:cs="Cambria"/>
                <w:color w:val="000000" w:themeColor="text1"/>
                <w:sz w:val="18"/>
                <w:szCs w:val="18"/>
                <w:lang w:val="es-ES"/>
              </w:rPr>
            </w:pPr>
            <w:r w:rsidRPr="007A5442">
              <w:rPr>
                <w:rFonts w:ascii="Cambria" w:hAnsi="Cambria" w:cs="Cambria"/>
                <w:color w:val="000000" w:themeColor="text1"/>
                <w:sz w:val="18"/>
                <w:szCs w:val="18"/>
                <w:lang w:val="es-ES"/>
              </w:rPr>
              <w:t xml:space="preserve">Case </w:t>
            </w:r>
            <w:bookmarkStart w:id="42" w:name="BM11_565"/>
            <w:r w:rsidRPr="007A5442">
              <w:rPr>
                <w:rFonts w:ascii="Cambria" w:hAnsi="Cambria" w:cs="Cambria"/>
                <w:color w:val="000000" w:themeColor="text1"/>
                <w:sz w:val="18"/>
                <w:szCs w:val="18"/>
                <w:lang w:val="es-ES"/>
              </w:rPr>
              <w:t>11.</w:t>
            </w:r>
            <w:r w:rsidRPr="007A5442">
              <w:rPr>
                <w:rStyle w:val="Hyperlink"/>
                <w:rFonts w:ascii="Cambria" w:hAnsi="Cambria" w:cs="Cambria"/>
                <w:color w:val="000000" w:themeColor="text1"/>
                <w:sz w:val="18"/>
                <w:szCs w:val="18"/>
                <w:lang w:val="es-ES"/>
              </w:rPr>
              <w:t>565</w:t>
            </w:r>
            <w:bookmarkEnd w:id="42"/>
            <w:r w:rsidRPr="007A5442">
              <w:rPr>
                <w:rFonts w:ascii="Cambria" w:hAnsi="Cambria" w:cs="Cambria"/>
                <w:color w:val="000000" w:themeColor="text1"/>
                <w:sz w:val="18"/>
                <w:szCs w:val="18"/>
                <w:lang w:val="es-ES"/>
              </w:rPr>
              <w:t xml:space="preserve">, </w:t>
            </w:r>
            <w:proofErr w:type="spellStart"/>
            <w:r w:rsidRPr="007A5442">
              <w:rPr>
                <w:rFonts w:ascii="Cambria" w:hAnsi="Cambria" w:cs="Cambria"/>
                <w:color w:val="000000" w:themeColor="text1"/>
                <w:sz w:val="18"/>
                <w:szCs w:val="18"/>
                <w:lang w:val="es-ES"/>
              </w:rPr>
              <w:t>Report</w:t>
            </w:r>
            <w:proofErr w:type="spellEnd"/>
            <w:r w:rsidRPr="007A5442">
              <w:rPr>
                <w:rFonts w:ascii="Cambria" w:hAnsi="Cambria" w:cs="Cambria"/>
                <w:color w:val="000000" w:themeColor="text1"/>
                <w:sz w:val="18"/>
                <w:szCs w:val="18"/>
                <w:lang w:val="es-ES"/>
              </w:rPr>
              <w:t xml:space="preserve"> No. 53/01, González Pérez </w:t>
            </w:r>
            <w:proofErr w:type="spellStart"/>
            <w:r w:rsidRPr="007A5442">
              <w:rPr>
                <w:rFonts w:ascii="Cambria" w:hAnsi="Cambria" w:cs="Cambria"/>
                <w:color w:val="000000" w:themeColor="text1"/>
                <w:sz w:val="18"/>
                <w:szCs w:val="18"/>
                <w:lang w:val="es-ES"/>
              </w:rPr>
              <w:t>Sisters</w:t>
            </w:r>
            <w:proofErr w:type="spellEnd"/>
            <w:r w:rsidRPr="007A5442">
              <w:rPr>
                <w:rFonts w:ascii="Cambria" w:hAnsi="Cambria" w:cs="Cambria"/>
                <w:color w:val="000000" w:themeColor="text1"/>
                <w:sz w:val="18"/>
                <w:szCs w:val="18"/>
                <w:lang w:val="es-ES"/>
              </w:rPr>
              <w:t xml:space="preserve"> (</w:t>
            </w:r>
            <w:proofErr w:type="spellStart"/>
            <w:r w:rsidRPr="007A5442">
              <w:rPr>
                <w:rFonts w:ascii="Cambria" w:hAnsi="Cambria" w:cs="Cambria"/>
                <w:color w:val="000000" w:themeColor="text1"/>
                <w:sz w:val="18"/>
                <w:szCs w:val="18"/>
                <w:lang w:val="es-ES"/>
              </w:rPr>
              <w:t>Mexico</w:t>
            </w:r>
            <w:proofErr w:type="spellEnd"/>
            <w:r w:rsidRPr="007A5442">
              <w:rPr>
                <w:rFonts w:ascii="Cambria" w:hAnsi="Cambria" w:cs="Cambria"/>
                <w:color w:val="000000" w:themeColor="text1"/>
                <w:sz w:val="18"/>
                <w:szCs w:val="18"/>
                <w:lang w:val="es-ES"/>
              </w:rPr>
              <w:t>)</w:t>
            </w:r>
          </w:p>
        </w:tc>
        <w:tc>
          <w:tcPr>
            <w:tcW w:w="1125" w:type="dxa"/>
          </w:tcPr>
          <w:p w14:paraId="49A9EC68" w14:textId="268D6B1E" w:rsidR="007A5442" w:rsidRPr="00524435" w:rsidRDefault="006B7403" w:rsidP="00C33359">
            <w:pPr>
              <w:jc w:val="center"/>
              <w:rPr>
                <w:rFonts w:ascii="Cambria" w:hAnsi="Cambria"/>
                <w:color w:val="000000" w:themeColor="text1"/>
                <w:sz w:val="18"/>
                <w:szCs w:val="18"/>
              </w:rPr>
            </w:pPr>
            <w:hyperlink r:id="rId146"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6DF77E7D"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16DF2C86" w14:textId="64215645"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ABBC2E3"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olor w:val="000000" w:themeColor="text1"/>
                <w:sz w:val="18"/>
                <w:szCs w:val="18"/>
                <w:lang w:eastAsia="es-ES_tradnl"/>
              </w:rPr>
              <w:t>X</w:t>
            </w:r>
          </w:p>
        </w:tc>
        <w:tc>
          <w:tcPr>
            <w:tcW w:w="1275" w:type="dxa"/>
          </w:tcPr>
          <w:p w14:paraId="60302666"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323E1024"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742FCE23" w14:textId="77777777" w:rsidTr="00D300E5">
        <w:trPr>
          <w:cnfStyle w:val="000000100000" w:firstRow="0" w:lastRow="0" w:firstColumn="0" w:lastColumn="0" w:oddVBand="0" w:evenVBand="0" w:oddHBand="1" w:evenHBand="0" w:firstRowFirstColumn="0" w:firstRowLastColumn="0" w:lastRowFirstColumn="0" w:lastRowLastColumn="0"/>
          <w:trHeight w:val="36"/>
        </w:trPr>
        <w:tc>
          <w:tcPr>
            <w:tcW w:w="2251" w:type="dxa"/>
          </w:tcPr>
          <w:p w14:paraId="57DD3E14"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w:t>
            </w:r>
            <w:bookmarkStart w:id="43" w:name="BM12_130"/>
            <w:r w:rsidRPr="00524435">
              <w:rPr>
                <w:rFonts w:ascii="Cambria" w:hAnsi="Cambria" w:cs="Cambria"/>
                <w:color w:val="000000" w:themeColor="text1"/>
                <w:sz w:val="18"/>
                <w:szCs w:val="18"/>
              </w:rPr>
              <w:t>12.130</w:t>
            </w:r>
            <w:bookmarkEnd w:id="43"/>
            <w:r w:rsidRPr="00524435">
              <w:rPr>
                <w:rFonts w:ascii="Cambria" w:hAnsi="Cambria" w:cs="Cambria"/>
                <w:color w:val="000000" w:themeColor="text1"/>
                <w:sz w:val="18"/>
                <w:szCs w:val="18"/>
              </w:rPr>
              <w:t>, Report No. 2/06, Miguel Orlando Muñoz Guzmán (Mexico)</w:t>
            </w:r>
          </w:p>
        </w:tc>
        <w:tc>
          <w:tcPr>
            <w:tcW w:w="1125" w:type="dxa"/>
          </w:tcPr>
          <w:p w14:paraId="5DA37CA0" w14:textId="00021F39" w:rsidR="007A5442" w:rsidRPr="00524435" w:rsidRDefault="006B7403" w:rsidP="00C33359">
            <w:pPr>
              <w:jc w:val="center"/>
              <w:rPr>
                <w:rFonts w:ascii="Cambria" w:hAnsi="Cambria"/>
                <w:color w:val="000000" w:themeColor="text1"/>
                <w:sz w:val="18"/>
                <w:szCs w:val="18"/>
              </w:rPr>
            </w:pPr>
            <w:hyperlink r:id="rId147"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3A49F270"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63F0ED86" w14:textId="4ABC710E"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CD520FF"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075F9F05"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7A64481F"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47006238" w14:textId="77777777" w:rsidTr="00D300E5">
        <w:trPr>
          <w:cnfStyle w:val="000000010000" w:firstRow="0" w:lastRow="0" w:firstColumn="0" w:lastColumn="0" w:oddVBand="0" w:evenVBand="0" w:oddHBand="0" w:evenHBand="1" w:firstRowFirstColumn="0" w:firstRowLastColumn="0" w:lastRowFirstColumn="0" w:lastRowLastColumn="0"/>
          <w:trHeight w:val="30"/>
        </w:trPr>
        <w:tc>
          <w:tcPr>
            <w:tcW w:w="2251" w:type="dxa"/>
          </w:tcPr>
          <w:p w14:paraId="6903FEBC" w14:textId="77777777" w:rsidR="007A5442" w:rsidRPr="007A5442" w:rsidRDefault="007A5442" w:rsidP="00C33359">
            <w:pPr>
              <w:rPr>
                <w:rFonts w:ascii="Cambria" w:hAnsi="Cambria" w:cs="Cambria"/>
                <w:color w:val="000000" w:themeColor="text1"/>
                <w:sz w:val="18"/>
                <w:szCs w:val="18"/>
                <w:lang w:val="es-ES"/>
              </w:rPr>
            </w:pPr>
            <w:r w:rsidRPr="007A5442">
              <w:rPr>
                <w:rFonts w:ascii="Cambria" w:hAnsi="Cambria" w:cs="Cambria"/>
                <w:color w:val="000000" w:themeColor="text1"/>
                <w:sz w:val="18"/>
                <w:szCs w:val="18"/>
                <w:lang w:val="es-ES"/>
              </w:rPr>
              <w:t xml:space="preserve">Case 12.228, </w:t>
            </w:r>
            <w:proofErr w:type="spellStart"/>
            <w:r w:rsidRPr="007A5442">
              <w:rPr>
                <w:rFonts w:ascii="Cambria" w:hAnsi="Cambria" w:cs="Cambria"/>
                <w:color w:val="000000" w:themeColor="text1"/>
                <w:sz w:val="18"/>
                <w:szCs w:val="18"/>
                <w:lang w:val="es-ES"/>
              </w:rPr>
              <w:t>Report</w:t>
            </w:r>
            <w:proofErr w:type="spellEnd"/>
            <w:r w:rsidRPr="007A5442">
              <w:rPr>
                <w:rFonts w:ascii="Cambria" w:hAnsi="Cambria" w:cs="Cambria"/>
                <w:color w:val="000000" w:themeColor="text1"/>
                <w:sz w:val="18"/>
                <w:szCs w:val="18"/>
                <w:lang w:val="es-ES"/>
              </w:rPr>
              <w:t xml:space="preserve"> No. 117/09, Alfonso Martín del Campo Dodd (</w:t>
            </w:r>
            <w:proofErr w:type="spellStart"/>
            <w:r w:rsidRPr="007A5442">
              <w:rPr>
                <w:rFonts w:ascii="Cambria" w:hAnsi="Cambria" w:cs="Cambria"/>
                <w:color w:val="000000" w:themeColor="text1"/>
                <w:sz w:val="18"/>
                <w:szCs w:val="18"/>
                <w:lang w:val="es-ES"/>
              </w:rPr>
              <w:t>Mexico</w:t>
            </w:r>
            <w:proofErr w:type="spellEnd"/>
            <w:r w:rsidRPr="007A5442">
              <w:rPr>
                <w:rFonts w:ascii="Cambria" w:hAnsi="Cambria" w:cs="Cambria"/>
                <w:color w:val="000000" w:themeColor="text1"/>
                <w:sz w:val="18"/>
                <w:szCs w:val="18"/>
                <w:lang w:val="es-ES"/>
              </w:rPr>
              <w:t>)</w:t>
            </w:r>
          </w:p>
        </w:tc>
        <w:tc>
          <w:tcPr>
            <w:tcW w:w="1125" w:type="dxa"/>
          </w:tcPr>
          <w:p w14:paraId="59507366" w14:textId="4CDD3620" w:rsidR="007A5442" w:rsidRPr="00524435" w:rsidRDefault="006B7403" w:rsidP="00C33359">
            <w:pPr>
              <w:jc w:val="center"/>
              <w:rPr>
                <w:rFonts w:ascii="Cambria" w:hAnsi="Cambria"/>
                <w:color w:val="000000" w:themeColor="text1"/>
                <w:sz w:val="18"/>
                <w:szCs w:val="18"/>
              </w:rPr>
            </w:pPr>
            <w:hyperlink r:id="rId148"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453102A3"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E67E89E" w14:textId="41E6900C"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353EA0F"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75473A9B"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48A04192"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3EA9E09F" w14:textId="77777777" w:rsidTr="00D300E5">
        <w:trPr>
          <w:cnfStyle w:val="000000100000" w:firstRow="0" w:lastRow="0" w:firstColumn="0" w:lastColumn="0" w:oddVBand="0" w:evenVBand="0" w:oddHBand="1" w:evenHBand="0" w:firstRowFirstColumn="0" w:firstRowLastColumn="0" w:lastRowFirstColumn="0" w:lastRowLastColumn="0"/>
          <w:trHeight w:val="36"/>
        </w:trPr>
        <w:tc>
          <w:tcPr>
            <w:tcW w:w="2251" w:type="dxa"/>
          </w:tcPr>
          <w:p w14:paraId="74C4D28F"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12.551, Report No. 51/13, Paloma </w:t>
            </w:r>
            <w:proofErr w:type="spellStart"/>
            <w:r w:rsidRPr="00524435">
              <w:rPr>
                <w:rFonts w:ascii="Cambria" w:hAnsi="Cambria" w:cs="Cambria"/>
                <w:color w:val="000000" w:themeColor="text1"/>
                <w:sz w:val="18"/>
                <w:szCs w:val="18"/>
              </w:rPr>
              <w:t>Angélica</w:t>
            </w:r>
            <w:proofErr w:type="spellEnd"/>
            <w:r w:rsidRPr="00524435">
              <w:rPr>
                <w:rFonts w:ascii="Cambria" w:hAnsi="Cambria" w:cs="Cambria"/>
                <w:color w:val="000000" w:themeColor="text1"/>
                <w:sz w:val="18"/>
                <w:szCs w:val="18"/>
              </w:rPr>
              <w:t xml:space="preserve"> Escobar </w:t>
            </w:r>
            <w:proofErr w:type="spellStart"/>
            <w:proofErr w:type="gramStart"/>
            <w:r w:rsidRPr="00524435">
              <w:rPr>
                <w:rFonts w:ascii="Cambria" w:hAnsi="Cambria" w:cs="Cambria"/>
                <w:color w:val="000000" w:themeColor="text1"/>
                <w:sz w:val="18"/>
                <w:szCs w:val="18"/>
              </w:rPr>
              <w:t>Ledezma</w:t>
            </w:r>
            <w:proofErr w:type="spellEnd"/>
            <w:proofErr w:type="gramEnd"/>
            <w:r w:rsidRPr="00524435">
              <w:rPr>
                <w:rFonts w:ascii="Cambria" w:hAnsi="Cambria" w:cs="Cambria"/>
                <w:color w:val="000000" w:themeColor="text1"/>
                <w:sz w:val="18"/>
                <w:szCs w:val="18"/>
              </w:rPr>
              <w:t xml:space="preserve"> and others (Mexico)</w:t>
            </w:r>
          </w:p>
        </w:tc>
        <w:tc>
          <w:tcPr>
            <w:tcW w:w="1125" w:type="dxa"/>
          </w:tcPr>
          <w:p w14:paraId="3DCEBE72" w14:textId="058CE725" w:rsidR="007A5442" w:rsidRPr="00524435" w:rsidRDefault="006B7403" w:rsidP="00C33359">
            <w:pPr>
              <w:jc w:val="center"/>
              <w:rPr>
                <w:rFonts w:ascii="Cambria" w:hAnsi="Cambria"/>
                <w:color w:val="000000" w:themeColor="text1"/>
                <w:sz w:val="18"/>
                <w:szCs w:val="18"/>
              </w:rPr>
            </w:pPr>
            <w:hyperlink r:id="rId149"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7FBF2BC3"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F6CF70D" w14:textId="043EFEBC"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524E8D2E"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2A8B0749"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32A352BD"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1311A85D" w14:textId="77777777" w:rsidTr="00D300E5">
        <w:trPr>
          <w:cnfStyle w:val="000000010000" w:firstRow="0" w:lastRow="0" w:firstColumn="0" w:lastColumn="0" w:oddVBand="0" w:evenVBand="0" w:oddHBand="0" w:evenHBand="1" w:firstRowFirstColumn="0" w:firstRowLastColumn="0" w:lastRowFirstColumn="0" w:lastRowLastColumn="0"/>
          <w:trHeight w:val="35"/>
        </w:trPr>
        <w:tc>
          <w:tcPr>
            <w:tcW w:w="2251" w:type="dxa"/>
          </w:tcPr>
          <w:p w14:paraId="161B03F0"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Case 12.689, Report No. 80/15, J.S.C.H and M.G.S (Mexico)</w:t>
            </w:r>
            <w:r w:rsidRPr="00524435">
              <w:rPr>
                <w:rFonts w:ascii="Cambria" w:hAnsi="Cambria" w:cs="Cambria"/>
                <w:color w:val="000000" w:themeColor="text1"/>
                <w:sz w:val="18"/>
                <w:szCs w:val="18"/>
                <w:vertAlign w:val="superscript"/>
              </w:rPr>
              <w:footnoteReference w:id="136"/>
            </w:r>
          </w:p>
        </w:tc>
        <w:tc>
          <w:tcPr>
            <w:tcW w:w="1125" w:type="dxa"/>
          </w:tcPr>
          <w:p w14:paraId="2572CF4D" w14:textId="77777777" w:rsidR="007A5442" w:rsidRPr="00524435" w:rsidRDefault="007A5442" w:rsidP="00C33359">
            <w:pPr>
              <w:ind w:left="72"/>
              <w:jc w:val="center"/>
              <w:rPr>
                <w:rFonts w:ascii="Cambria" w:hAnsi="Cambria"/>
                <w:color w:val="000000" w:themeColor="text1"/>
                <w:sz w:val="18"/>
                <w:szCs w:val="18"/>
                <w:u w:val="single"/>
                <w:lang w:eastAsia="es-ES_tradnl"/>
              </w:rPr>
            </w:pPr>
          </w:p>
        </w:tc>
        <w:tc>
          <w:tcPr>
            <w:tcW w:w="1275" w:type="dxa"/>
          </w:tcPr>
          <w:p w14:paraId="44877ABD" w14:textId="77777777" w:rsidR="007A5442" w:rsidRPr="00524435" w:rsidRDefault="007A5442" w:rsidP="00C33359">
            <w:pPr>
              <w:ind w:left="72"/>
              <w:jc w:val="center"/>
              <w:rPr>
                <w:rFonts w:ascii="Cambria" w:hAnsi="Cambria" w:cs="Cambria"/>
                <w:color w:val="000000" w:themeColor="text1"/>
                <w:sz w:val="18"/>
                <w:szCs w:val="18"/>
                <w:lang w:eastAsia="es-ES_tradnl"/>
              </w:rPr>
            </w:pPr>
          </w:p>
        </w:tc>
        <w:tc>
          <w:tcPr>
            <w:tcW w:w="1275" w:type="dxa"/>
          </w:tcPr>
          <w:p w14:paraId="408790E5" w14:textId="63FEE441" w:rsidR="007A5442" w:rsidRPr="00524435" w:rsidRDefault="007A5442" w:rsidP="00C33359">
            <w:pPr>
              <w:ind w:left="72"/>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2BCE6574"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2816D8D3"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0F88EDA6"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Closed</w:t>
            </w:r>
          </w:p>
        </w:tc>
      </w:tr>
      <w:tr w:rsidR="00796A41" w:rsidRPr="00524435" w14:paraId="7E183758" w14:textId="77777777" w:rsidTr="00D300E5">
        <w:trPr>
          <w:cnfStyle w:val="000000100000" w:firstRow="0" w:lastRow="0" w:firstColumn="0" w:lastColumn="0" w:oddVBand="0" w:evenVBand="0" w:oddHBand="1" w:evenHBand="0" w:firstRowFirstColumn="0" w:firstRowLastColumn="0" w:lastRowFirstColumn="0" w:lastRowLastColumn="0"/>
          <w:trHeight w:val="37"/>
        </w:trPr>
        <w:tc>
          <w:tcPr>
            <w:tcW w:w="2251" w:type="dxa"/>
          </w:tcPr>
          <w:p w14:paraId="2774ADF6" w14:textId="77777777" w:rsidR="007A5442" w:rsidRPr="003F238D" w:rsidRDefault="007A5442" w:rsidP="00C33359">
            <w:pPr>
              <w:rPr>
                <w:rFonts w:ascii="Cambria" w:hAnsi="Cambria" w:cs="Cambria"/>
                <w:color w:val="000000" w:themeColor="text1"/>
                <w:sz w:val="18"/>
                <w:szCs w:val="18"/>
                <w:lang w:val="es-US"/>
              </w:rPr>
            </w:pPr>
            <w:r w:rsidRPr="003F238D">
              <w:rPr>
                <w:rFonts w:ascii="Cambria" w:hAnsi="Cambria" w:cs="Cambria"/>
                <w:color w:val="000000" w:themeColor="text1"/>
                <w:sz w:val="18"/>
                <w:szCs w:val="18"/>
                <w:lang w:val="es-US"/>
              </w:rPr>
              <w:t xml:space="preserve">Case 11.564, </w:t>
            </w:r>
            <w:proofErr w:type="spellStart"/>
            <w:r w:rsidRPr="003F238D">
              <w:rPr>
                <w:rFonts w:ascii="Cambria" w:hAnsi="Cambria" w:cs="Cambria"/>
                <w:color w:val="000000" w:themeColor="text1"/>
                <w:sz w:val="18"/>
                <w:szCs w:val="18"/>
                <w:lang w:val="es-US"/>
              </w:rPr>
              <w:t>Report</w:t>
            </w:r>
            <w:proofErr w:type="spellEnd"/>
            <w:r w:rsidRPr="003F238D">
              <w:rPr>
                <w:rFonts w:ascii="Cambria" w:hAnsi="Cambria" w:cs="Cambria"/>
                <w:color w:val="000000" w:themeColor="text1"/>
                <w:sz w:val="18"/>
                <w:szCs w:val="18"/>
                <w:lang w:val="es-US"/>
              </w:rPr>
              <w:t xml:space="preserve"> No. 51/16, Gilberto Jiménez </w:t>
            </w:r>
            <w:proofErr w:type="gramStart"/>
            <w:r w:rsidRPr="003F238D">
              <w:rPr>
                <w:rFonts w:ascii="Cambria" w:hAnsi="Cambria" w:cs="Cambria"/>
                <w:color w:val="000000" w:themeColor="text1"/>
                <w:sz w:val="18"/>
                <w:szCs w:val="18"/>
                <w:lang w:val="es-US"/>
              </w:rPr>
              <w:t>Hernández  “</w:t>
            </w:r>
            <w:proofErr w:type="gramEnd"/>
            <w:r w:rsidRPr="003F238D">
              <w:rPr>
                <w:rFonts w:ascii="Cambria" w:hAnsi="Cambria" w:cs="Cambria"/>
                <w:color w:val="000000" w:themeColor="text1"/>
                <w:sz w:val="18"/>
                <w:szCs w:val="18"/>
                <w:lang w:val="es-US"/>
              </w:rPr>
              <w:t>La Grandeza” (</w:t>
            </w:r>
            <w:proofErr w:type="spellStart"/>
            <w:r w:rsidRPr="003F238D">
              <w:rPr>
                <w:rFonts w:ascii="Cambria" w:hAnsi="Cambria" w:cs="Cambria"/>
                <w:color w:val="000000" w:themeColor="text1"/>
                <w:sz w:val="18"/>
                <w:szCs w:val="18"/>
                <w:lang w:val="es-US"/>
              </w:rPr>
              <w:t>Mexico</w:t>
            </w:r>
            <w:proofErr w:type="spellEnd"/>
            <w:r w:rsidRPr="003F238D">
              <w:rPr>
                <w:rFonts w:ascii="Cambria" w:hAnsi="Cambria" w:cs="Cambria"/>
                <w:color w:val="000000" w:themeColor="text1"/>
                <w:sz w:val="18"/>
                <w:szCs w:val="18"/>
                <w:lang w:val="es-US"/>
              </w:rPr>
              <w:t>)</w:t>
            </w:r>
          </w:p>
        </w:tc>
        <w:tc>
          <w:tcPr>
            <w:tcW w:w="1125" w:type="dxa"/>
          </w:tcPr>
          <w:p w14:paraId="4242765B" w14:textId="61A9A89C" w:rsidR="007A5442" w:rsidRPr="00524435" w:rsidRDefault="006B7403" w:rsidP="00C33359">
            <w:pPr>
              <w:jc w:val="center"/>
              <w:rPr>
                <w:rFonts w:ascii="Cambria" w:hAnsi="Cambria"/>
                <w:color w:val="000000" w:themeColor="text1"/>
                <w:sz w:val="18"/>
                <w:szCs w:val="18"/>
              </w:rPr>
            </w:pPr>
            <w:hyperlink r:id="rId150"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6E24F0A5"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AC35F8C" w14:textId="1C7C786F"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4353336"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07FA5EAF" w14:textId="77777777" w:rsidR="007A5442" w:rsidRPr="00524435" w:rsidRDefault="007A5442" w:rsidP="00C33359">
            <w:pPr>
              <w:jc w:val="center"/>
              <w:rPr>
                <w:rFonts w:ascii="Cambria" w:hAnsi="Cambria"/>
                <w:b/>
                <w:bCs/>
                <w:color w:val="000000" w:themeColor="text1"/>
                <w:sz w:val="18"/>
                <w:szCs w:val="18"/>
                <w:lang w:eastAsia="es-ES_tradnl"/>
              </w:rPr>
            </w:pPr>
          </w:p>
        </w:tc>
        <w:tc>
          <w:tcPr>
            <w:tcW w:w="1275" w:type="dxa"/>
          </w:tcPr>
          <w:p w14:paraId="2B0F1EAA"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21E10884" w14:textId="77777777" w:rsidTr="00D300E5">
        <w:trPr>
          <w:cnfStyle w:val="000000010000" w:firstRow="0" w:lastRow="0" w:firstColumn="0" w:lastColumn="0" w:oddVBand="0" w:evenVBand="0" w:oddHBand="0" w:evenHBand="1" w:firstRowFirstColumn="0" w:firstRowLastColumn="0" w:lastRowFirstColumn="0" w:lastRowLastColumn="0"/>
          <w:trHeight w:val="37"/>
        </w:trPr>
        <w:tc>
          <w:tcPr>
            <w:tcW w:w="2251" w:type="dxa"/>
          </w:tcPr>
          <w:p w14:paraId="02103823"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lastRenderedPageBreak/>
              <w:t xml:space="preserve">Case </w:t>
            </w:r>
            <w:bookmarkStart w:id="44" w:name="BM11_381"/>
            <w:r w:rsidRPr="00524435">
              <w:rPr>
                <w:rFonts w:ascii="Cambria" w:hAnsi="Cambria" w:cs="Cambria"/>
                <w:color w:val="000000" w:themeColor="text1"/>
                <w:sz w:val="18"/>
                <w:szCs w:val="18"/>
              </w:rPr>
              <w:t>11.381</w:t>
            </w:r>
            <w:bookmarkEnd w:id="44"/>
            <w:r w:rsidRPr="00524435">
              <w:rPr>
                <w:rFonts w:ascii="Cambria" w:hAnsi="Cambria" w:cs="Cambria"/>
                <w:color w:val="000000" w:themeColor="text1"/>
                <w:sz w:val="18"/>
                <w:szCs w:val="18"/>
              </w:rPr>
              <w:t>, Report No. 100/01, Milton García Fajardo (Nicaragua)</w:t>
            </w:r>
          </w:p>
        </w:tc>
        <w:tc>
          <w:tcPr>
            <w:tcW w:w="1125" w:type="dxa"/>
          </w:tcPr>
          <w:p w14:paraId="43465248" w14:textId="21DFCDB5" w:rsidR="007A5442" w:rsidRPr="00524435" w:rsidRDefault="006B7403" w:rsidP="00C33359">
            <w:pPr>
              <w:jc w:val="center"/>
              <w:rPr>
                <w:rFonts w:ascii="Cambria" w:hAnsi="Cambria"/>
                <w:color w:val="000000" w:themeColor="text1"/>
                <w:sz w:val="18"/>
                <w:szCs w:val="18"/>
              </w:rPr>
            </w:pPr>
            <w:hyperlink r:id="rId151"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5FCA53AD"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BCF7D81" w14:textId="1A30DE3C"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620EBD8A"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6A8A44C0"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557C6FFC"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0862942E" w14:textId="77777777" w:rsidTr="00D300E5">
        <w:trPr>
          <w:cnfStyle w:val="000000100000" w:firstRow="0" w:lastRow="0" w:firstColumn="0" w:lastColumn="0" w:oddVBand="0" w:evenVBand="0" w:oddHBand="1" w:evenHBand="0" w:firstRowFirstColumn="0" w:firstRowLastColumn="0" w:lastRowFirstColumn="0" w:lastRowLastColumn="0"/>
          <w:trHeight w:val="37"/>
        </w:trPr>
        <w:tc>
          <w:tcPr>
            <w:tcW w:w="2251" w:type="dxa"/>
          </w:tcPr>
          <w:p w14:paraId="51106DFE" w14:textId="77777777" w:rsidR="007A5442" w:rsidRPr="007A5442" w:rsidRDefault="007A5442" w:rsidP="00C33359">
            <w:pPr>
              <w:rPr>
                <w:rFonts w:ascii="Cambria" w:hAnsi="Cambria" w:cs="Cambria"/>
                <w:color w:val="000000" w:themeColor="text1"/>
                <w:sz w:val="18"/>
                <w:szCs w:val="18"/>
                <w:lang w:val="pt-PT"/>
              </w:rPr>
            </w:pPr>
            <w:r w:rsidRPr="007A5442">
              <w:rPr>
                <w:rFonts w:ascii="Cambria" w:hAnsi="Cambria" w:cs="Cambria"/>
                <w:color w:val="000000" w:themeColor="text1"/>
                <w:sz w:val="18"/>
                <w:szCs w:val="18"/>
                <w:lang w:val="pt-PT"/>
              </w:rPr>
              <w:t xml:space="preserve">Case </w:t>
            </w:r>
            <w:bookmarkStart w:id="45" w:name="BM11_506"/>
            <w:r w:rsidRPr="007A5442">
              <w:rPr>
                <w:rFonts w:ascii="Cambria" w:hAnsi="Cambria" w:cs="Cambria"/>
                <w:color w:val="000000" w:themeColor="text1"/>
                <w:sz w:val="18"/>
                <w:szCs w:val="18"/>
                <w:lang w:val="pt-PT"/>
              </w:rPr>
              <w:t>11.506</w:t>
            </w:r>
            <w:bookmarkEnd w:id="45"/>
            <w:r w:rsidRPr="007A5442">
              <w:rPr>
                <w:rFonts w:ascii="Cambria" w:hAnsi="Cambria" w:cs="Cambria"/>
                <w:color w:val="000000" w:themeColor="text1"/>
                <w:sz w:val="18"/>
                <w:szCs w:val="18"/>
                <w:lang w:val="pt-PT"/>
              </w:rPr>
              <w:t>, Report No. 77/02, Waldemar Gerónimo Pinheiro and José Víctor Dos Santos (Paraguay)</w:t>
            </w:r>
          </w:p>
        </w:tc>
        <w:tc>
          <w:tcPr>
            <w:tcW w:w="1125" w:type="dxa"/>
          </w:tcPr>
          <w:p w14:paraId="7E589265" w14:textId="2C6851A3" w:rsidR="007A5442" w:rsidRPr="00524435" w:rsidRDefault="006B7403" w:rsidP="00C33359">
            <w:pPr>
              <w:jc w:val="center"/>
              <w:rPr>
                <w:rFonts w:ascii="Cambria" w:hAnsi="Cambria"/>
                <w:color w:val="000000" w:themeColor="text1"/>
                <w:sz w:val="18"/>
                <w:szCs w:val="18"/>
              </w:rPr>
            </w:pPr>
            <w:hyperlink r:id="rId152"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3C27E615"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6F526D4" w14:textId="6FF8F04E"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5DF497E"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02131C47"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3230776E"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7BDEE5EB" w14:textId="77777777" w:rsidTr="00D300E5">
        <w:trPr>
          <w:cnfStyle w:val="000000010000" w:firstRow="0" w:lastRow="0" w:firstColumn="0" w:lastColumn="0" w:oddVBand="0" w:evenVBand="0" w:oddHBand="0" w:evenHBand="1" w:firstRowFirstColumn="0" w:firstRowLastColumn="0" w:lastRowFirstColumn="0" w:lastRowLastColumn="0"/>
          <w:trHeight w:val="33"/>
        </w:trPr>
        <w:tc>
          <w:tcPr>
            <w:tcW w:w="2251" w:type="dxa"/>
          </w:tcPr>
          <w:p w14:paraId="48DB4B54"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11.607, Report No. 85/09, Víctor Hugo </w:t>
            </w:r>
            <w:proofErr w:type="spellStart"/>
            <w:r w:rsidRPr="00524435">
              <w:rPr>
                <w:rFonts w:ascii="Cambria" w:hAnsi="Cambria" w:cs="Cambria"/>
                <w:color w:val="000000" w:themeColor="text1"/>
                <w:sz w:val="18"/>
                <w:szCs w:val="18"/>
              </w:rPr>
              <w:t>Maciel</w:t>
            </w:r>
            <w:proofErr w:type="spellEnd"/>
            <w:r w:rsidRPr="00524435">
              <w:rPr>
                <w:rFonts w:ascii="Cambria" w:hAnsi="Cambria" w:cs="Cambria"/>
                <w:color w:val="000000" w:themeColor="text1"/>
                <w:sz w:val="18"/>
                <w:szCs w:val="18"/>
              </w:rPr>
              <w:t xml:space="preserve"> (Paraguay)</w:t>
            </w:r>
          </w:p>
        </w:tc>
        <w:tc>
          <w:tcPr>
            <w:tcW w:w="1125" w:type="dxa"/>
          </w:tcPr>
          <w:p w14:paraId="1FE5AC36" w14:textId="4C718174" w:rsidR="007A5442" w:rsidRPr="00524435" w:rsidRDefault="006B7403" w:rsidP="00C33359">
            <w:pPr>
              <w:jc w:val="center"/>
              <w:rPr>
                <w:rFonts w:ascii="Cambria" w:hAnsi="Cambria"/>
                <w:color w:val="000000" w:themeColor="text1"/>
                <w:sz w:val="18"/>
                <w:szCs w:val="18"/>
              </w:rPr>
            </w:pPr>
            <w:hyperlink r:id="rId153"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1B3D3702"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90C4D29" w14:textId="61B2964F"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7F90AE9"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282497DD"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1EE2BFA5"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0D016B06" w14:textId="77777777" w:rsidTr="00D300E5">
        <w:trPr>
          <w:cnfStyle w:val="000000100000" w:firstRow="0" w:lastRow="0" w:firstColumn="0" w:lastColumn="0" w:oddVBand="0" w:evenVBand="0" w:oddHBand="1" w:evenHBand="0" w:firstRowFirstColumn="0" w:firstRowLastColumn="0" w:lastRowFirstColumn="0" w:lastRowLastColumn="0"/>
          <w:trHeight w:val="37"/>
        </w:trPr>
        <w:tc>
          <w:tcPr>
            <w:tcW w:w="2251" w:type="dxa"/>
          </w:tcPr>
          <w:p w14:paraId="3127656D" w14:textId="77777777" w:rsidR="007A5442" w:rsidRPr="007A5442" w:rsidRDefault="007A5442" w:rsidP="00C33359">
            <w:pPr>
              <w:rPr>
                <w:rFonts w:ascii="Cambria" w:hAnsi="Cambria" w:cs="Cambria"/>
                <w:color w:val="000000" w:themeColor="text1"/>
                <w:sz w:val="18"/>
                <w:szCs w:val="18"/>
                <w:lang w:val="pt-PT"/>
              </w:rPr>
            </w:pPr>
            <w:r w:rsidRPr="007A5442">
              <w:rPr>
                <w:rFonts w:ascii="Cambria" w:hAnsi="Cambria" w:cs="Cambria"/>
                <w:color w:val="000000" w:themeColor="text1"/>
                <w:sz w:val="18"/>
                <w:szCs w:val="18"/>
                <w:lang w:val="pt-PT"/>
              </w:rPr>
              <w:t>Case 12.431, Report No. 121/10, Carlos Alberto Majoli (Paraguay)</w:t>
            </w:r>
            <w:r w:rsidRPr="00524435">
              <w:rPr>
                <w:rFonts w:ascii="Cambria" w:hAnsi="Cambria" w:cs="Cambria"/>
                <w:color w:val="000000" w:themeColor="text1"/>
                <w:sz w:val="18"/>
                <w:szCs w:val="18"/>
                <w:vertAlign w:val="superscript"/>
              </w:rPr>
              <w:footnoteReference w:id="137"/>
            </w:r>
          </w:p>
        </w:tc>
        <w:tc>
          <w:tcPr>
            <w:tcW w:w="1125" w:type="dxa"/>
          </w:tcPr>
          <w:p w14:paraId="4F6AE695" w14:textId="77777777" w:rsidR="007A5442" w:rsidRPr="007A5442" w:rsidRDefault="007A5442" w:rsidP="00C33359">
            <w:pPr>
              <w:ind w:left="72"/>
              <w:jc w:val="center"/>
              <w:rPr>
                <w:rFonts w:ascii="Cambria" w:hAnsi="Cambria"/>
                <w:color w:val="000000" w:themeColor="text1"/>
                <w:sz w:val="18"/>
                <w:szCs w:val="18"/>
                <w:u w:val="single"/>
                <w:lang w:val="pt-PT" w:eastAsia="es-ES_tradnl"/>
              </w:rPr>
            </w:pPr>
          </w:p>
        </w:tc>
        <w:tc>
          <w:tcPr>
            <w:tcW w:w="1275" w:type="dxa"/>
          </w:tcPr>
          <w:p w14:paraId="7C44B6DE" w14:textId="77777777" w:rsidR="007A5442" w:rsidRPr="007A5442" w:rsidRDefault="007A5442" w:rsidP="00C33359">
            <w:pPr>
              <w:ind w:left="72"/>
              <w:jc w:val="center"/>
              <w:rPr>
                <w:rFonts w:ascii="Cambria" w:hAnsi="Cambria" w:cs="Cambria"/>
                <w:color w:val="000000" w:themeColor="text1"/>
                <w:sz w:val="18"/>
                <w:szCs w:val="18"/>
                <w:lang w:val="pt-PT" w:eastAsia="es-ES_tradnl"/>
              </w:rPr>
            </w:pPr>
          </w:p>
        </w:tc>
        <w:tc>
          <w:tcPr>
            <w:tcW w:w="1275" w:type="dxa"/>
          </w:tcPr>
          <w:p w14:paraId="531CAFC1" w14:textId="16740732" w:rsidR="007A5442" w:rsidRPr="00524435" w:rsidRDefault="007A5442" w:rsidP="00C33359">
            <w:pPr>
              <w:ind w:left="72"/>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0E8F5FD9"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2D5CCE6A"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5C679664"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Closed</w:t>
            </w:r>
          </w:p>
        </w:tc>
      </w:tr>
      <w:tr w:rsidR="00796A41" w:rsidRPr="00524435" w14:paraId="3A325F7B" w14:textId="77777777" w:rsidTr="00D300E5">
        <w:trPr>
          <w:cnfStyle w:val="000000010000" w:firstRow="0" w:lastRow="0" w:firstColumn="0" w:lastColumn="0" w:oddVBand="0" w:evenVBand="0" w:oddHBand="0" w:evenHBand="1" w:firstRowFirstColumn="0" w:firstRowLastColumn="0" w:lastRowFirstColumn="0" w:lastRowLastColumn="0"/>
          <w:trHeight w:val="37"/>
        </w:trPr>
        <w:tc>
          <w:tcPr>
            <w:tcW w:w="2251" w:type="dxa"/>
          </w:tcPr>
          <w:p w14:paraId="0A737FDA"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w:t>
            </w:r>
            <w:bookmarkStart w:id="46" w:name="BM11_800"/>
            <w:bookmarkEnd w:id="46"/>
            <w:r w:rsidRPr="00524435">
              <w:rPr>
                <w:rFonts w:ascii="Cambria" w:hAnsi="Cambria" w:cs="Cambria"/>
                <w:color w:val="000000" w:themeColor="text1"/>
                <w:sz w:val="18"/>
                <w:szCs w:val="18"/>
              </w:rPr>
              <w:t xml:space="preserve">11.800, Report No. 110/00, César </w:t>
            </w:r>
            <w:proofErr w:type="spellStart"/>
            <w:r w:rsidRPr="00524435">
              <w:rPr>
                <w:rFonts w:ascii="Cambria" w:hAnsi="Cambria" w:cs="Cambria"/>
                <w:color w:val="000000" w:themeColor="text1"/>
                <w:sz w:val="18"/>
                <w:szCs w:val="18"/>
              </w:rPr>
              <w:t>Cabrejos</w:t>
            </w:r>
            <w:proofErr w:type="spellEnd"/>
            <w:r w:rsidRPr="00524435">
              <w:rPr>
                <w:rFonts w:ascii="Cambria" w:hAnsi="Cambria" w:cs="Cambria"/>
                <w:color w:val="000000" w:themeColor="text1"/>
                <w:sz w:val="18"/>
                <w:szCs w:val="18"/>
              </w:rPr>
              <w:t xml:space="preserve"> </w:t>
            </w:r>
            <w:proofErr w:type="spellStart"/>
            <w:r w:rsidRPr="00524435">
              <w:rPr>
                <w:rFonts w:ascii="Cambria" w:hAnsi="Cambria" w:cs="Cambria"/>
                <w:color w:val="000000" w:themeColor="text1"/>
                <w:sz w:val="18"/>
                <w:szCs w:val="18"/>
              </w:rPr>
              <w:t>Bernuy</w:t>
            </w:r>
            <w:proofErr w:type="spellEnd"/>
            <w:r w:rsidRPr="00524435">
              <w:rPr>
                <w:rFonts w:ascii="Cambria" w:hAnsi="Cambria" w:cs="Cambria"/>
                <w:color w:val="000000" w:themeColor="text1"/>
                <w:sz w:val="18"/>
                <w:szCs w:val="18"/>
              </w:rPr>
              <w:t xml:space="preserve"> (Peru)</w:t>
            </w:r>
            <w:r w:rsidRPr="00524435">
              <w:rPr>
                <w:rFonts w:ascii="Cambria" w:hAnsi="Cambria" w:cs="Cambria"/>
                <w:color w:val="000000" w:themeColor="text1"/>
                <w:sz w:val="18"/>
                <w:szCs w:val="18"/>
                <w:vertAlign w:val="superscript"/>
              </w:rPr>
              <w:footnoteReference w:id="138"/>
            </w:r>
          </w:p>
        </w:tc>
        <w:tc>
          <w:tcPr>
            <w:tcW w:w="1125" w:type="dxa"/>
          </w:tcPr>
          <w:p w14:paraId="0BFC8A4B" w14:textId="77777777" w:rsidR="007A5442" w:rsidRPr="00524435" w:rsidRDefault="007A5442" w:rsidP="00C33359">
            <w:pPr>
              <w:ind w:left="72"/>
              <w:jc w:val="center"/>
              <w:rPr>
                <w:rFonts w:ascii="Cambria" w:hAnsi="Cambria"/>
                <w:color w:val="000000" w:themeColor="text1"/>
                <w:sz w:val="18"/>
                <w:szCs w:val="18"/>
                <w:u w:val="single"/>
                <w:lang w:eastAsia="es-ES_tradnl"/>
              </w:rPr>
            </w:pPr>
          </w:p>
        </w:tc>
        <w:tc>
          <w:tcPr>
            <w:tcW w:w="1275" w:type="dxa"/>
          </w:tcPr>
          <w:p w14:paraId="6E3FE421" w14:textId="77777777" w:rsidR="007A5442" w:rsidRPr="00524435" w:rsidRDefault="007A5442" w:rsidP="00C33359">
            <w:pPr>
              <w:ind w:left="72"/>
              <w:jc w:val="center"/>
              <w:rPr>
                <w:rFonts w:ascii="Cambria" w:hAnsi="Cambria" w:cs="Cambria"/>
                <w:color w:val="000000" w:themeColor="text1"/>
                <w:sz w:val="18"/>
                <w:szCs w:val="18"/>
                <w:lang w:eastAsia="es-ES_tradnl"/>
              </w:rPr>
            </w:pPr>
          </w:p>
        </w:tc>
        <w:tc>
          <w:tcPr>
            <w:tcW w:w="1275" w:type="dxa"/>
          </w:tcPr>
          <w:p w14:paraId="72520648" w14:textId="73285B35" w:rsidR="007A5442" w:rsidRPr="00524435" w:rsidRDefault="007A5442" w:rsidP="00C33359">
            <w:pPr>
              <w:ind w:left="72"/>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4FC7EA59"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43762B47"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27671F8E"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Closed</w:t>
            </w:r>
          </w:p>
        </w:tc>
      </w:tr>
      <w:tr w:rsidR="00796A41" w:rsidRPr="00524435" w14:paraId="7E85786B" w14:textId="77777777" w:rsidTr="00D300E5">
        <w:trPr>
          <w:cnfStyle w:val="000000100000" w:firstRow="0" w:lastRow="0" w:firstColumn="0" w:lastColumn="0" w:oddVBand="0" w:evenVBand="0" w:oddHBand="1" w:evenHBand="0" w:firstRowFirstColumn="0" w:firstRowLastColumn="0" w:lastRowFirstColumn="0" w:lastRowLastColumn="0"/>
          <w:trHeight w:val="30"/>
        </w:trPr>
        <w:tc>
          <w:tcPr>
            <w:tcW w:w="2251" w:type="dxa"/>
          </w:tcPr>
          <w:p w14:paraId="3985C3CE" w14:textId="77777777" w:rsidR="007A5442" w:rsidRPr="007A5442" w:rsidRDefault="007A5442" w:rsidP="00C33359">
            <w:pPr>
              <w:rPr>
                <w:rFonts w:ascii="Cambria" w:hAnsi="Cambria" w:cs="Cambria"/>
                <w:color w:val="000000" w:themeColor="text1"/>
                <w:sz w:val="18"/>
                <w:szCs w:val="18"/>
                <w:lang w:val="es-ES"/>
              </w:rPr>
            </w:pPr>
            <w:r w:rsidRPr="007A5442">
              <w:rPr>
                <w:rFonts w:ascii="Cambria" w:hAnsi="Cambria" w:cs="Calibri"/>
                <w:bCs/>
                <w:color w:val="000000" w:themeColor="text1"/>
                <w:sz w:val="18"/>
                <w:szCs w:val="18"/>
                <w:lang w:val="es-ES"/>
              </w:rPr>
              <w:t>Cases del Comunicado de Prensa Conjunto P-1193-CA, 22 de febrero de 2021 (Perú)</w:t>
            </w:r>
          </w:p>
        </w:tc>
        <w:tc>
          <w:tcPr>
            <w:tcW w:w="1125" w:type="dxa"/>
          </w:tcPr>
          <w:p w14:paraId="5BB592AC" w14:textId="02DAE065" w:rsidR="007A5442" w:rsidRPr="00524435" w:rsidRDefault="006B7403" w:rsidP="00C33359">
            <w:pPr>
              <w:jc w:val="center"/>
              <w:rPr>
                <w:rFonts w:ascii="Cambria" w:hAnsi="Cambria"/>
                <w:color w:val="000000" w:themeColor="text1"/>
                <w:sz w:val="18"/>
                <w:szCs w:val="18"/>
              </w:rPr>
            </w:pPr>
            <w:hyperlink r:id="rId154"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72C0CF02" w14:textId="10950C3A" w:rsidR="007A5442" w:rsidRPr="00524435" w:rsidRDefault="00796A41" w:rsidP="00C33359">
            <w:pPr>
              <w:ind w:left="72"/>
              <w:jc w:val="center"/>
              <w:rPr>
                <w:rFonts w:ascii="Cambria" w:hAnsi="Cambria"/>
                <w:color w:val="000000" w:themeColor="text1"/>
                <w:sz w:val="18"/>
                <w:szCs w:val="18"/>
                <w:lang w:eastAsia="es-ES_tradnl"/>
              </w:rPr>
            </w:pPr>
            <w:r>
              <w:rPr>
                <w:rFonts w:ascii="Cambria" w:hAnsi="Cambria"/>
                <w:color w:val="000000" w:themeColor="text1"/>
                <w:sz w:val="18"/>
                <w:szCs w:val="18"/>
                <w:lang w:eastAsia="es-ES_tradnl"/>
              </w:rPr>
              <w:t>X</w:t>
            </w:r>
          </w:p>
        </w:tc>
        <w:tc>
          <w:tcPr>
            <w:tcW w:w="1275" w:type="dxa"/>
          </w:tcPr>
          <w:p w14:paraId="5FC8AC58" w14:textId="241FCB23"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088A055"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047BBA18"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199EDCB3"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46ACCD2F" w14:textId="77777777" w:rsidTr="00D300E5">
        <w:trPr>
          <w:cnfStyle w:val="000000010000" w:firstRow="0" w:lastRow="0" w:firstColumn="0" w:lastColumn="0" w:oddVBand="0" w:evenVBand="0" w:oddHBand="0" w:evenHBand="1" w:firstRowFirstColumn="0" w:firstRowLastColumn="0" w:lastRowFirstColumn="0" w:lastRowLastColumn="0"/>
          <w:trHeight w:val="30"/>
        </w:trPr>
        <w:tc>
          <w:tcPr>
            <w:tcW w:w="2251" w:type="dxa"/>
          </w:tcPr>
          <w:p w14:paraId="6169A651"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w:t>
            </w:r>
            <w:bookmarkStart w:id="47" w:name="BM11_099"/>
            <w:bookmarkEnd w:id="47"/>
            <w:r w:rsidRPr="00524435">
              <w:rPr>
                <w:rFonts w:ascii="Cambria" w:hAnsi="Cambria" w:cs="Cambria"/>
                <w:color w:val="000000" w:themeColor="text1"/>
                <w:sz w:val="18"/>
                <w:szCs w:val="18"/>
              </w:rPr>
              <w:t xml:space="preserve">11.099, Report No. 112/00, </w:t>
            </w:r>
            <w:proofErr w:type="spellStart"/>
            <w:r w:rsidRPr="00524435">
              <w:rPr>
                <w:rFonts w:ascii="Cambria" w:hAnsi="Cambria" w:cs="Cambria"/>
                <w:color w:val="000000" w:themeColor="text1"/>
                <w:sz w:val="18"/>
                <w:szCs w:val="18"/>
              </w:rPr>
              <w:t>Yone</w:t>
            </w:r>
            <w:proofErr w:type="spellEnd"/>
            <w:r w:rsidRPr="00524435">
              <w:rPr>
                <w:rFonts w:ascii="Cambria" w:hAnsi="Cambria" w:cs="Cambria"/>
                <w:color w:val="000000" w:themeColor="text1"/>
                <w:sz w:val="18"/>
                <w:szCs w:val="18"/>
              </w:rPr>
              <w:t xml:space="preserve"> Cruz </w:t>
            </w:r>
            <w:proofErr w:type="spellStart"/>
            <w:r w:rsidRPr="00524435">
              <w:rPr>
                <w:rFonts w:ascii="Cambria" w:hAnsi="Cambria" w:cs="Cambria"/>
                <w:color w:val="000000" w:themeColor="text1"/>
                <w:sz w:val="18"/>
                <w:szCs w:val="18"/>
              </w:rPr>
              <w:t>Ocalio</w:t>
            </w:r>
            <w:proofErr w:type="spellEnd"/>
            <w:r w:rsidRPr="00524435">
              <w:rPr>
                <w:rFonts w:ascii="Cambria" w:hAnsi="Cambria" w:cs="Cambria"/>
                <w:color w:val="000000" w:themeColor="text1"/>
                <w:sz w:val="18"/>
                <w:szCs w:val="18"/>
              </w:rPr>
              <w:t xml:space="preserve"> (Peru)</w:t>
            </w:r>
          </w:p>
        </w:tc>
        <w:tc>
          <w:tcPr>
            <w:tcW w:w="1125" w:type="dxa"/>
          </w:tcPr>
          <w:p w14:paraId="2D1E5E99" w14:textId="08FA7AA6" w:rsidR="007A5442" w:rsidRPr="00524435" w:rsidRDefault="006B7403" w:rsidP="00C33359">
            <w:pPr>
              <w:jc w:val="center"/>
              <w:rPr>
                <w:rFonts w:ascii="Cambria" w:hAnsi="Cambria"/>
                <w:color w:val="000000" w:themeColor="text1"/>
                <w:sz w:val="18"/>
                <w:szCs w:val="18"/>
              </w:rPr>
            </w:pPr>
            <w:hyperlink r:id="rId155"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4BF879D4"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11FE003" w14:textId="69D28300"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EE1910E"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6E86A83E"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3EF135E1"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63543465" w14:textId="77777777" w:rsidTr="00D300E5">
        <w:trPr>
          <w:cnfStyle w:val="000000100000" w:firstRow="0" w:lastRow="0" w:firstColumn="0" w:lastColumn="0" w:oddVBand="0" w:evenVBand="0" w:oddHBand="1" w:evenHBand="0" w:firstRowFirstColumn="0" w:firstRowLastColumn="0" w:lastRowFirstColumn="0" w:lastRowLastColumn="0"/>
          <w:trHeight w:val="37"/>
        </w:trPr>
        <w:tc>
          <w:tcPr>
            <w:tcW w:w="2251" w:type="dxa"/>
          </w:tcPr>
          <w:p w14:paraId="6E4852BF"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12.269, Report No. 28/09, Dexter </w:t>
            </w:r>
            <w:proofErr w:type="spellStart"/>
            <w:r w:rsidRPr="00524435">
              <w:rPr>
                <w:rFonts w:ascii="Cambria" w:hAnsi="Cambria" w:cs="Cambria"/>
                <w:color w:val="000000" w:themeColor="text1"/>
                <w:sz w:val="18"/>
                <w:szCs w:val="18"/>
              </w:rPr>
              <w:t>Lendore</w:t>
            </w:r>
            <w:proofErr w:type="spellEnd"/>
            <w:r w:rsidRPr="00524435">
              <w:rPr>
                <w:rFonts w:ascii="Cambria" w:hAnsi="Cambria" w:cs="Cambria"/>
                <w:color w:val="000000" w:themeColor="text1"/>
                <w:sz w:val="18"/>
                <w:szCs w:val="18"/>
              </w:rPr>
              <w:t xml:space="preserve"> (Trinidad and Tobago)</w:t>
            </w:r>
          </w:p>
        </w:tc>
        <w:tc>
          <w:tcPr>
            <w:tcW w:w="1125" w:type="dxa"/>
          </w:tcPr>
          <w:p w14:paraId="679B5EF2" w14:textId="0850F300" w:rsidR="007A5442" w:rsidRPr="00524435" w:rsidRDefault="006B7403" w:rsidP="00C33359">
            <w:pPr>
              <w:jc w:val="center"/>
              <w:rPr>
                <w:rFonts w:ascii="Cambria" w:hAnsi="Cambria"/>
                <w:color w:val="000000" w:themeColor="text1"/>
                <w:sz w:val="18"/>
                <w:szCs w:val="18"/>
              </w:rPr>
            </w:pPr>
            <w:hyperlink r:id="rId156"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7B9E838F"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E9669F7" w14:textId="1666AA43"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B6C12D3"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7C1B30A5"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3A261DDB"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0503F3C7" w14:textId="77777777" w:rsidTr="00D300E5">
        <w:trPr>
          <w:cnfStyle w:val="000000010000" w:firstRow="0" w:lastRow="0" w:firstColumn="0" w:lastColumn="0" w:oddVBand="0" w:evenVBand="0" w:oddHBand="0" w:evenHBand="1" w:firstRowFirstColumn="0" w:firstRowLastColumn="0" w:lastRowFirstColumn="0" w:lastRowLastColumn="0"/>
          <w:trHeight w:val="32"/>
        </w:trPr>
        <w:tc>
          <w:tcPr>
            <w:tcW w:w="2251" w:type="dxa"/>
          </w:tcPr>
          <w:p w14:paraId="306AFEBA"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9.903, Report No. 51/01, Rafael Ferrer </w:t>
            </w:r>
            <w:proofErr w:type="spellStart"/>
            <w:proofErr w:type="gramStart"/>
            <w:r w:rsidRPr="00524435">
              <w:rPr>
                <w:rFonts w:ascii="Cambria" w:hAnsi="Cambria" w:cs="Cambria"/>
                <w:color w:val="000000" w:themeColor="text1"/>
                <w:sz w:val="18"/>
                <w:szCs w:val="18"/>
              </w:rPr>
              <w:t>Mazorra</w:t>
            </w:r>
            <w:proofErr w:type="spellEnd"/>
            <w:proofErr w:type="gramEnd"/>
            <w:r w:rsidRPr="00524435">
              <w:rPr>
                <w:rFonts w:ascii="Cambria" w:hAnsi="Cambria" w:cs="Cambria"/>
                <w:color w:val="000000" w:themeColor="text1"/>
                <w:sz w:val="18"/>
                <w:szCs w:val="18"/>
              </w:rPr>
              <w:t xml:space="preserve"> and others (United States)</w:t>
            </w:r>
          </w:p>
        </w:tc>
        <w:tc>
          <w:tcPr>
            <w:tcW w:w="1125" w:type="dxa"/>
          </w:tcPr>
          <w:p w14:paraId="13BAFEF6" w14:textId="673BA366" w:rsidR="007A5442" w:rsidRPr="00524435" w:rsidRDefault="006B7403" w:rsidP="00C33359">
            <w:pPr>
              <w:jc w:val="center"/>
              <w:rPr>
                <w:rFonts w:ascii="Cambria" w:hAnsi="Cambria"/>
                <w:color w:val="000000" w:themeColor="text1"/>
                <w:sz w:val="18"/>
                <w:szCs w:val="18"/>
              </w:rPr>
            </w:pPr>
            <w:hyperlink r:id="rId157"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6553E381"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7D3F199" w14:textId="0B2A0023"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68E81FF8"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2C1F5F70"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4A9D0635"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13155F0A" w14:textId="77777777" w:rsidTr="00D300E5">
        <w:trPr>
          <w:cnfStyle w:val="000000100000" w:firstRow="0" w:lastRow="0" w:firstColumn="0" w:lastColumn="0" w:oddVBand="0" w:evenVBand="0" w:oddHBand="1" w:evenHBand="0" w:firstRowFirstColumn="0" w:firstRowLastColumn="0" w:lastRowFirstColumn="0" w:lastRowLastColumn="0"/>
          <w:trHeight w:val="30"/>
        </w:trPr>
        <w:tc>
          <w:tcPr>
            <w:tcW w:w="2251" w:type="dxa"/>
          </w:tcPr>
          <w:p w14:paraId="03ABC894"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Case 12.243, Report No. 52/01, Juan Raúl Garza (United States)</w:t>
            </w:r>
          </w:p>
        </w:tc>
        <w:tc>
          <w:tcPr>
            <w:tcW w:w="1125" w:type="dxa"/>
          </w:tcPr>
          <w:p w14:paraId="703A7A7A" w14:textId="5618BB48" w:rsidR="007A5442" w:rsidRPr="00524435" w:rsidRDefault="006B7403" w:rsidP="00C33359">
            <w:pPr>
              <w:jc w:val="center"/>
              <w:rPr>
                <w:rFonts w:ascii="Cambria" w:hAnsi="Cambria"/>
                <w:color w:val="000000" w:themeColor="text1"/>
                <w:sz w:val="18"/>
                <w:szCs w:val="18"/>
              </w:rPr>
            </w:pPr>
            <w:hyperlink r:id="rId158"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1831CFC7"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E799AAD" w14:textId="5E4BACD2"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6A2F982A"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3EED81BD"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3896FA84"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39F8365C" w14:textId="77777777" w:rsidTr="00D300E5">
        <w:trPr>
          <w:cnfStyle w:val="000000010000" w:firstRow="0" w:lastRow="0" w:firstColumn="0" w:lastColumn="0" w:oddVBand="0" w:evenVBand="0" w:oddHBand="0" w:evenHBand="1" w:firstRowFirstColumn="0" w:firstRowLastColumn="0" w:lastRowFirstColumn="0" w:lastRowLastColumn="0"/>
          <w:trHeight w:val="36"/>
        </w:trPr>
        <w:tc>
          <w:tcPr>
            <w:tcW w:w="2251" w:type="dxa"/>
          </w:tcPr>
          <w:p w14:paraId="35EBC83E"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Case 11.753, Report No. 52/02, Ramón Martinez Villarreal (United States)</w:t>
            </w:r>
          </w:p>
        </w:tc>
        <w:tc>
          <w:tcPr>
            <w:tcW w:w="1125" w:type="dxa"/>
          </w:tcPr>
          <w:p w14:paraId="316DC28C" w14:textId="56E501C1" w:rsidR="007A5442" w:rsidRPr="00524435" w:rsidRDefault="006B7403" w:rsidP="00C33359">
            <w:pPr>
              <w:jc w:val="center"/>
              <w:rPr>
                <w:rFonts w:ascii="Cambria" w:hAnsi="Cambria"/>
                <w:color w:val="000000" w:themeColor="text1"/>
                <w:sz w:val="18"/>
                <w:szCs w:val="18"/>
              </w:rPr>
            </w:pPr>
            <w:hyperlink r:id="rId159"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03C9DB62"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5ACD4E66" w14:textId="49FCD6D1"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11457B38"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3194D6DB"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36035C49"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180B6C94" w14:textId="77777777" w:rsidTr="00D300E5">
        <w:trPr>
          <w:cnfStyle w:val="000000100000" w:firstRow="0" w:lastRow="0" w:firstColumn="0" w:lastColumn="0" w:oddVBand="0" w:evenVBand="0" w:oddHBand="1" w:evenHBand="0" w:firstRowFirstColumn="0" w:firstRowLastColumn="0" w:lastRowFirstColumn="0" w:lastRowLastColumn="0"/>
          <w:trHeight w:val="36"/>
        </w:trPr>
        <w:tc>
          <w:tcPr>
            <w:tcW w:w="2251" w:type="dxa"/>
          </w:tcPr>
          <w:p w14:paraId="024A3919"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12.285, Report No. 62/02, Michael </w:t>
            </w:r>
            <w:proofErr w:type="spellStart"/>
            <w:r w:rsidRPr="00524435">
              <w:rPr>
                <w:rFonts w:ascii="Cambria" w:hAnsi="Cambria" w:cs="Cambria"/>
                <w:color w:val="000000" w:themeColor="text1"/>
                <w:sz w:val="18"/>
                <w:szCs w:val="18"/>
              </w:rPr>
              <w:t>Domingues</w:t>
            </w:r>
            <w:proofErr w:type="spellEnd"/>
            <w:r w:rsidRPr="00524435">
              <w:rPr>
                <w:rFonts w:ascii="Cambria" w:hAnsi="Cambria" w:cs="Cambria"/>
                <w:color w:val="000000" w:themeColor="text1"/>
                <w:sz w:val="18"/>
                <w:szCs w:val="18"/>
              </w:rPr>
              <w:t xml:space="preserve"> (United States)</w:t>
            </w:r>
            <w:r w:rsidRPr="00524435">
              <w:rPr>
                <w:rFonts w:ascii="Cambria" w:hAnsi="Cambria" w:cs="Cambria"/>
                <w:color w:val="000000" w:themeColor="text1"/>
                <w:sz w:val="18"/>
                <w:szCs w:val="18"/>
                <w:vertAlign w:val="superscript"/>
              </w:rPr>
              <w:footnoteReference w:id="139"/>
            </w:r>
          </w:p>
        </w:tc>
        <w:tc>
          <w:tcPr>
            <w:tcW w:w="1125" w:type="dxa"/>
          </w:tcPr>
          <w:p w14:paraId="747D271B" w14:textId="77777777" w:rsidR="007A5442" w:rsidRPr="00524435" w:rsidRDefault="007A5442" w:rsidP="00C33359">
            <w:pPr>
              <w:ind w:left="72"/>
              <w:jc w:val="center"/>
              <w:rPr>
                <w:rFonts w:ascii="Cambria" w:hAnsi="Cambria"/>
                <w:color w:val="000000" w:themeColor="text1"/>
                <w:sz w:val="18"/>
                <w:szCs w:val="18"/>
                <w:u w:val="single"/>
                <w:lang w:eastAsia="es-ES_tradnl"/>
              </w:rPr>
            </w:pPr>
          </w:p>
        </w:tc>
        <w:tc>
          <w:tcPr>
            <w:tcW w:w="1275" w:type="dxa"/>
          </w:tcPr>
          <w:p w14:paraId="695F60C1" w14:textId="77777777" w:rsidR="007A5442" w:rsidRPr="00524435" w:rsidRDefault="007A5442" w:rsidP="00C33359">
            <w:pPr>
              <w:ind w:left="72"/>
              <w:jc w:val="center"/>
              <w:rPr>
                <w:rFonts w:ascii="Cambria" w:hAnsi="Cambria" w:cs="Cambria"/>
                <w:color w:val="000000" w:themeColor="text1"/>
                <w:sz w:val="18"/>
                <w:szCs w:val="18"/>
                <w:lang w:eastAsia="es-ES_tradnl"/>
              </w:rPr>
            </w:pPr>
          </w:p>
        </w:tc>
        <w:tc>
          <w:tcPr>
            <w:tcW w:w="1275" w:type="dxa"/>
          </w:tcPr>
          <w:p w14:paraId="00522B67" w14:textId="71F1EEB4" w:rsidR="007A5442" w:rsidRPr="00524435" w:rsidRDefault="007A5442" w:rsidP="00C33359">
            <w:pPr>
              <w:ind w:left="72"/>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6B57CAE2"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220F3059"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3BBE8BF1"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Closed</w:t>
            </w:r>
          </w:p>
        </w:tc>
      </w:tr>
      <w:tr w:rsidR="00796A41" w:rsidRPr="00524435" w14:paraId="296442AF" w14:textId="77777777" w:rsidTr="00D300E5">
        <w:trPr>
          <w:cnfStyle w:val="000000010000" w:firstRow="0" w:lastRow="0" w:firstColumn="0" w:lastColumn="0" w:oddVBand="0" w:evenVBand="0" w:oddHBand="0" w:evenHBand="1" w:firstRowFirstColumn="0" w:firstRowLastColumn="0" w:lastRowFirstColumn="0" w:lastRowLastColumn="0"/>
          <w:trHeight w:val="36"/>
        </w:trPr>
        <w:tc>
          <w:tcPr>
            <w:tcW w:w="2251" w:type="dxa"/>
          </w:tcPr>
          <w:p w14:paraId="09511CF2"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11.140, Report No. 75/02, </w:t>
            </w:r>
            <w:proofErr w:type="gramStart"/>
            <w:r w:rsidRPr="00524435">
              <w:rPr>
                <w:rFonts w:ascii="Cambria" w:hAnsi="Cambria" w:cs="Cambria"/>
                <w:color w:val="000000" w:themeColor="text1"/>
                <w:sz w:val="18"/>
                <w:szCs w:val="18"/>
              </w:rPr>
              <w:t>Mary</w:t>
            </w:r>
            <w:proofErr w:type="gramEnd"/>
            <w:r w:rsidRPr="00524435">
              <w:rPr>
                <w:rFonts w:ascii="Cambria" w:hAnsi="Cambria" w:cs="Cambria"/>
                <w:color w:val="000000" w:themeColor="text1"/>
                <w:sz w:val="18"/>
                <w:szCs w:val="18"/>
              </w:rPr>
              <w:t xml:space="preserve"> and Carrie Dann (United States)</w:t>
            </w:r>
          </w:p>
        </w:tc>
        <w:tc>
          <w:tcPr>
            <w:tcW w:w="1125" w:type="dxa"/>
          </w:tcPr>
          <w:p w14:paraId="07D025B7" w14:textId="38856C89" w:rsidR="007A5442" w:rsidRPr="00524435" w:rsidRDefault="006B7403" w:rsidP="00C33359">
            <w:pPr>
              <w:jc w:val="center"/>
              <w:rPr>
                <w:rFonts w:ascii="Cambria" w:hAnsi="Cambria"/>
                <w:color w:val="000000" w:themeColor="text1"/>
                <w:sz w:val="18"/>
                <w:szCs w:val="18"/>
              </w:rPr>
            </w:pPr>
            <w:hyperlink r:id="rId160"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771B5CBC"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5743A0FD" w14:textId="0B0FC593"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5883FD00"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5A8DC2D6"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0B7883C8"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70831FA7" w14:textId="77777777" w:rsidTr="00D300E5">
        <w:trPr>
          <w:cnfStyle w:val="000000100000" w:firstRow="0" w:lastRow="0" w:firstColumn="0" w:lastColumn="0" w:oddVBand="0" w:evenVBand="0" w:oddHBand="1" w:evenHBand="0" w:firstRowFirstColumn="0" w:firstRowLastColumn="0" w:lastRowFirstColumn="0" w:lastRowLastColumn="0"/>
          <w:trHeight w:val="35"/>
        </w:trPr>
        <w:tc>
          <w:tcPr>
            <w:tcW w:w="2251" w:type="dxa"/>
          </w:tcPr>
          <w:p w14:paraId="065F01CE"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11.193, Report No. 97/03, </w:t>
            </w:r>
            <w:proofErr w:type="spellStart"/>
            <w:r w:rsidRPr="00524435">
              <w:rPr>
                <w:rFonts w:ascii="Cambria" w:hAnsi="Cambria" w:cs="Cambria"/>
                <w:color w:val="000000" w:themeColor="text1"/>
                <w:sz w:val="18"/>
                <w:szCs w:val="18"/>
              </w:rPr>
              <w:t>Shaka</w:t>
            </w:r>
            <w:proofErr w:type="spellEnd"/>
            <w:r w:rsidRPr="00524435">
              <w:rPr>
                <w:rFonts w:ascii="Cambria" w:hAnsi="Cambria" w:cs="Cambria"/>
                <w:color w:val="000000" w:themeColor="text1"/>
                <w:sz w:val="18"/>
                <w:szCs w:val="18"/>
              </w:rPr>
              <w:t xml:space="preserve"> Sankofa (United States)</w:t>
            </w:r>
          </w:p>
        </w:tc>
        <w:tc>
          <w:tcPr>
            <w:tcW w:w="1125" w:type="dxa"/>
          </w:tcPr>
          <w:p w14:paraId="05D4E13B" w14:textId="5F7BC31A" w:rsidR="007A5442" w:rsidRPr="00524435" w:rsidRDefault="006B7403" w:rsidP="00C33359">
            <w:pPr>
              <w:jc w:val="center"/>
              <w:rPr>
                <w:rFonts w:ascii="Cambria" w:hAnsi="Cambria"/>
                <w:color w:val="000000" w:themeColor="text1"/>
                <w:sz w:val="18"/>
                <w:szCs w:val="18"/>
              </w:rPr>
            </w:pPr>
            <w:hyperlink r:id="rId161"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6F0A4F01"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52D13A0C" w14:textId="6FC18B4F"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FACBF3E"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6131820A"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4356B5A4"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747D099B" w14:textId="77777777" w:rsidTr="00D300E5">
        <w:trPr>
          <w:cnfStyle w:val="000000010000" w:firstRow="0" w:lastRow="0" w:firstColumn="0" w:lastColumn="0" w:oddVBand="0" w:evenVBand="0" w:oddHBand="0" w:evenHBand="1" w:firstRowFirstColumn="0" w:firstRowLastColumn="0" w:lastRowFirstColumn="0" w:lastRowLastColumn="0"/>
          <w:trHeight w:val="32"/>
        </w:trPr>
        <w:tc>
          <w:tcPr>
            <w:tcW w:w="2251" w:type="dxa"/>
          </w:tcPr>
          <w:p w14:paraId="71624A04"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lastRenderedPageBreak/>
              <w:t>Case 11.204, Report No. 98/03, Statehood Solidarity Committee (United States)</w:t>
            </w:r>
          </w:p>
        </w:tc>
        <w:tc>
          <w:tcPr>
            <w:tcW w:w="1125" w:type="dxa"/>
          </w:tcPr>
          <w:p w14:paraId="62BE8180" w14:textId="432E2339" w:rsidR="007A5442" w:rsidRPr="00524435" w:rsidRDefault="006B7403" w:rsidP="00C33359">
            <w:pPr>
              <w:jc w:val="center"/>
              <w:rPr>
                <w:rFonts w:ascii="Cambria" w:hAnsi="Cambria"/>
                <w:color w:val="000000" w:themeColor="text1"/>
                <w:sz w:val="18"/>
                <w:szCs w:val="18"/>
              </w:rPr>
            </w:pPr>
            <w:hyperlink r:id="rId162"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1F6B5C40"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17AE3B1" w14:textId="7985DC8F"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27DCF20"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4F7FBF96"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72E5C9D6"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56803B3F" w14:textId="77777777" w:rsidTr="00D300E5">
        <w:trPr>
          <w:cnfStyle w:val="000000100000" w:firstRow="0" w:lastRow="0" w:firstColumn="0" w:lastColumn="0" w:oddVBand="0" w:evenVBand="0" w:oddHBand="1" w:evenHBand="0" w:firstRowFirstColumn="0" w:firstRowLastColumn="0" w:lastRowFirstColumn="0" w:lastRowLastColumn="0"/>
          <w:trHeight w:val="30"/>
        </w:trPr>
        <w:tc>
          <w:tcPr>
            <w:tcW w:w="2251" w:type="dxa"/>
          </w:tcPr>
          <w:p w14:paraId="7BE66AAD"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Case 11.331, Report No. 99/03, Cesar Fierro (United States)</w:t>
            </w:r>
          </w:p>
        </w:tc>
        <w:tc>
          <w:tcPr>
            <w:tcW w:w="1125" w:type="dxa"/>
          </w:tcPr>
          <w:p w14:paraId="51977A4A" w14:textId="0A626073" w:rsidR="007A5442" w:rsidRPr="00524435" w:rsidRDefault="006B7403" w:rsidP="00C33359">
            <w:pPr>
              <w:jc w:val="center"/>
              <w:rPr>
                <w:rFonts w:ascii="Cambria" w:hAnsi="Cambria"/>
                <w:color w:val="000000" w:themeColor="text1"/>
                <w:sz w:val="18"/>
                <w:szCs w:val="18"/>
              </w:rPr>
            </w:pPr>
            <w:hyperlink r:id="rId163"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587C954E"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B3B4412" w14:textId="74BED84A"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6BAF428C"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3D98F729"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304EB4F0"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7B66C098" w14:textId="77777777" w:rsidTr="00D300E5">
        <w:trPr>
          <w:cnfStyle w:val="000000010000" w:firstRow="0" w:lastRow="0" w:firstColumn="0" w:lastColumn="0" w:oddVBand="0" w:evenVBand="0" w:oddHBand="0" w:evenHBand="1" w:firstRowFirstColumn="0" w:firstRowLastColumn="0" w:lastRowFirstColumn="0" w:lastRowLastColumn="0"/>
          <w:trHeight w:val="35"/>
        </w:trPr>
        <w:tc>
          <w:tcPr>
            <w:tcW w:w="2251" w:type="dxa"/>
          </w:tcPr>
          <w:p w14:paraId="106DB47C"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Case 12.240, Report No. 100/03, Douglas Christopher Thomas (United States)</w:t>
            </w:r>
          </w:p>
        </w:tc>
        <w:tc>
          <w:tcPr>
            <w:tcW w:w="1125" w:type="dxa"/>
          </w:tcPr>
          <w:p w14:paraId="5BB1AF4B" w14:textId="4EF53DA1" w:rsidR="007A5442" w:rsidRPr="00524435" w:rsidRDefault="006B7403" w:rsidP="00C33359">
            <w:pPr>
              <w:jc w:val="center"/>
              <w:rPr>
                <w:rFonts w:ascii="Cambria" w:hAnsi="Cambria"/>
                <w:color w:val="000000" w:themeColor="text1"/>
                <w:sz w:val="18"/>
                <w:szCs w:val="18"/>
              </w:rPr>
            </w:pPr>
            <w:hyperlink r:id="rId164"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358837D1"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A9EBD91" w14:textId="3E78A615"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6DB3E0A"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63E7E1B8"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51CB32C0"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0D87C6D6" w14:textId="77777777" w:rsidTr="00D300E5">
        <w:trPr>
          <w:cnfStyle w:val="000000100000" w:firstRow="0" w:lastRow="0" w:firstColumn="0" w:lastColumn="0" w:oddVBand="0" w:evenVBand="0" w:oddHBand="1" w:evenHBand="0" w:firstRowFirstColumn="0" w:firstRowLastColumn="0" w:lastRowFirstColumn="0" w:lastRowLastColumn="0"/>
          <w:trHeight w:val="31"/>
        </w:trPr>
        <w:tc>
          <w:tcPr>
            <w:tcW w:w="2251" w:type="dxa"/>
          </w:tcPr>
          <w:p w14:paraId="2FF7870C"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12.412, Report No. 101/03, </w:t>
            </w:r>
            <w:proofErr w:type="spellStart"/>
            <w:r w:rsidRPr="00524435">
              <w:rPr>
                <w:rFonts w:ascii="Cambria" w:hAnsi="Cambria" w:cs="Cambria"/>
                <w:color w:val="000000" w:themeColor="text1"/>
                <w:sz w:val="18"/>
                <w:szCs w:val="18"/>
              </w:rPr>
              <w:t>Napoleón</w:t>
            </w:r>
            <w:proofErr w:type="spellEnd"/>
            <w:r w:rsidRPr="00524435">
              <w:rPr>
                <w:rFonts w:ascii="Cambria" w:hAnsi="Cambria" w:cs="Cambria"/>
                <w:color w:val="000000" w:themeColor="text1"/>
                <w:sz w:val="18"/>
                <w:szCs w:val="18"/>
              </w:rPr>
              <w:t xml:space="preserve"> Beazley (United States)</w:t>
            </w:r>
          </w:p>
        </w:tc>
        <w:tc>
          <w:tcPr>
            <w:tcW w:w="1125" w:type="dxa"/>
          </w:tcPr>
          <w:p w14:paraId="4604ACB4" w14:textId="04F216EA" w:rsidR="007A5442" w:rsidRPr="00524435" w:rsidRDefault="006B7403" w:rsidP="00C33359">
            <w:pPr>
              <w:jc w:val="center"/>
              <w:rPr>
                <w:rFonts w:ascii="Cambria" w:hAnsi="Cambria"/>
                <w:color w:val="000000" w:themeColor="text1"/>
                <w:sz w:val="18"/>
                <w:szCs w:val="18"/>
              </w:rPr>
            </w:pPr>
            <w:hyperlink r:id="rId165"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26156DB1"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C624AF6" w14:textId="45D20BA4"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1E2837B"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09DABD6F"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27A20432"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28DB7094" w14:textId="77777777" w:rsidTr="00D300E5">
        <w:trPr>
          <w:cnfStyle w:val="000000010000" w:firstRow="0" w:lastRow="0" w:firstColumn="0" w:lastColumn="0" w:oddVBand="0" w:evenVBand="0" w:oddHBand="0" w:evenHBand="1" w:firstRowFirstColumn="0" w:firstRowLastColumn="0" w:lastRowFirstColumn="0" w:lastRowLastColumn="0"/>
          <w:trHeight w:val="29"/>
        </w:trPr>
        <w:tc>
          <w:tcPr>
            <w:tcW w:w="2251" w:type="dxa"/>
          </w:tcPr>
          <w:p w14:paraId="2CE3BCF6"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Case 12.430, Report No. 1/05, Roberto Moreno Ramos (United States)</w:t>
            </w:r>
          </w:p>
        </w:tc>
        <w:tc>
          <w:tcPr>
            <w:tcW w:w="1125" w:type="dxa"/>
          </w:tcPr>
          <w:p w14:paraId="37D4EC34" w14:textId="19899938" w:rsidR="007A5442" w:rsidRPr="00524435" w:rsidRDefault="006B7403" w:rsidP="00C33359">
            <w:pPr>
              <w:jc w:val="center"/>
              <w:rPr>
                <w:rFonts w:ascii="Cambria" w:hAnsi="Cambria"/>
                <w:color w:val="000000" w:themeColor="text1"/>
                <w:sz w:val="18"/>
                <w:szCs w:val="18"/>
              </w:rPr>
            </w:pPr>
            <w:hyperlink r:id="rId166"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5B33B407"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E7661A0" w14:textId="1F1DF459"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1E8C360E"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0402858A"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6FC9B96D"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0AEE284B" w14:textId="77777777" w:rsidTr="00D300E5">
        <w:trPr>
          <w:cnfStyle w:val="000000100000" w:firstRow="0" w:lastRow="0" w:firstColumn="0" w:lastColumn="0" w:oddVBand="0" w:evenVBand="0" w:oddHBand="1" w:evenHBand="0" w:firstRowFirstColumn="0" w:firstRowLastColumn="0" w:lastRowFirstColumn="0" w:lastRowLastColumn="0"/>
          <w:trHeight w:val="35"/>
        </w:trPr>
        <w:tc>
          <w:tcPr>
            <w:tcW w:w="2251" w:type="dxa"/>
          </w:tcPr>
          <w:p w14:paraId="057A997D"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12.439, Report No. 25/05, Toronto </w:t>
            </w:r>
            <w:proofErr w:type="spellStart"/>
            <w:r w:rsidRPr="00524435">
              <w:rPr>
                <w:rFonts w:ascii="Cambria" w:hAnsi="Cambria" w:cs="Cambria"/>
                <w:color w:val="000000" w:themeColor="text1"/>
                <w:sz w:val="18"/>
                <w:szCs w:val="18"/>
              </w:rPr>
              <w:t>Markkey</w:t>
            </w:r>
            <w:proofErr w:type="spellEnd"/>
            <w:r w:rsidRPr="00524435">
              <w:rPr>
                <w:rFonts w:ascii="Cambria" w:hAnsi="Cambria" w:cs="Cambria"/>
                <w:color w:val="000000" w:themeColor="text1"/>
                <w:sz w:val="18"/>
                <w:szCs w:val="18"/>
              </w:rPr>
              <w:t xml:space="preserve"> Patterson (United States)</w:t>
            </w:r>
          </w:p>
        </w:tc>
        <w:tc>
          <w:tcPr>
            <w:tcW w:w="1125" w:type="dxa"/>
          </w:tcPr>
          <w:p w14:paraId="4B5EFAF8" w14:textId="619913C8" w:rsidR="007A5442" w:rsidRPr="00524435" w:rsidRDefault="006B7403" w:rsidP="00C33359">
            <w:pPr>
              <w:jc w:val="center"/>
              <w:rPr>
                <w:rFonts w:ascii="Cambria" w:hAnsi="Cambria"/>
                <w:color w:val="000000" w:themeColor="text1"/>
                <w:sz w:val="18"/>
                <w:szCs w:val="18"/>
              </w:rPr>
            </w:pPr>
            <w:hyperlink r:id="rId167"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11FF2C54"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15CEDC88" w14:textId="698E4523"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BEEF81E"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59B15EE7"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0492B31E"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7FDA572E" w14:textId="77777777" w:rsidTr="00D300E5">
        <w:trPr>
          <w:cnfStyle w:val="000000010000" w:firstRow="0" w:lastRow="0" w:firstColumn="0" w:lastColumn="0" w:oddVBand="0" w:evenVBand="0" w:oddHBand="0" w:evenHBand="1" w:firstRowFirstColumn="0" w:firstRowLastColumn="0" w:lastRowFirstColumn="0" w:lastRowLastColumn="0"/>
          <w:trHeight w:val="30"/>
        </w:trPr>
        <w:tc>
          <w:tcPr>
            <w:tcW w:w="2251" w:type="dxa"/>
          </w:tcPr>
          <w:p w14:paraId="6D8C8708"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Case 12.421, Report No. 91/05, Javier Suarez Medina (United States)</w:t>
            </w:r>
          </w:p>
        </w:tc>
        <w:tc>
          <w:tcPr>
            <w:tcW w:w="1125" w:type="dxa"/>
          </w:tcPr>
          <w:p w14:paraId="43252A2E" w14:textId="27D73A60" w:rsidR="007A5442" w:rsidRPr="00524435" w:rsidRDefault="006B7403" w:rsidP="00C33359">
            <w:pPr>
              <w:jc w:val="center"/>
              <w:rPr>
                <w:rFonts w:ascii="Cambria" w:hAnsi="Cambria"/>
                <w:color w:val="000000" w:themeColor="text1"/>
                <w:sz w:val="18"/>
                <w:szCs w:val="18"/>
              </w:rPr>
            </w:pPr>
            <w:hyperlink r:id="rId168"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0FF95153"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3CFEC53" w14:textId="0554597A"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5AA9D5D0"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407C661A"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7F65CF9B"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6503257F" w14:textId="77777777" w:rsidTr="00D300E5">
        <w:trPr>
          <w:cnfStyle w:val="000000100000" w:firstRow="0" w:lastRow="0" w:firstColumn="0" w:lastColumn="0" w:oddVBand="0" w:evenVBand="0" w:oddHBand="1" w:evenHBand="0" w:firstRowFirstColumn="0" w:firstRowLastColumn="0" w:lastRowFirstColumn="0" w:lastRowLastColumn="0"/>
          <w:trHeight w:val="29"/>
        </w:trPr>
        <w:tc>
          <w:tcPr>
            <w:tcW w:w="2251" w:type="dxa"/>
          </w:tcPr>
          <w:p w14:paraId="764F72DF"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12.534, Report No. 63/08, Andrea </w:t>
            </w:r>
            <w:proofErr w:type="spellStart"/>
            <w:r w:rsidRPr="00524435">
              <w:rPr>
                <w:rFonts w:ascii="Cambria" w:hAnsi="Cambria" w:cs="Cambria"/>
                <w:color w:val="000000" w:themeColor="text1"/>
                <w:sz w:val="18"/>
                <w:szCs w:val="18"/>
              </w:rPr>
              <w:t>Mortlock</w:t>
            </w:r>
            <w:proofErr w:type="spellEnd"/>
            <w:r w:rsidRPr="00524435">
              <w:rPr>
                <w:rFonts w:ascii="Cambria" w:hAnsi="Cambria" w:cs="Cambria"/>
                <w:color w:val="000000" w:themeColor="text1"/>
                <w:sz w:val="18"/>
                <w:szCs w:val="18"/>
              </w:rPr>
              <w:t xml:space="preserve"> (United States)</w:t>
            </w:r>
          </w:p>
        </w:tc>
        <w:tc>
          <w:tcPr>
            <w:tcW w:w="1125" w:type="dxa"/>
          </w:tcPr>
          <w:p w14:paraId="60F6DC41" w14:textId="72DA931D" w:rsidR="007A5442" w:rsidRPr="00524435" w:rsidRDefault="006B7403" w:rsidP="00C33359">
            <w:pPr>
              <w:jc w:val="center"/>
              <w:rPr>
                <w:rFonts w:ascii="Cambria" w:hAnsi="Cambria"/>
                <w:color w:val="000000" w:themeColor="text1"/>
                <w:sz w:val="18"/>
                <w:szCs w:val="18"/>
              </w:rPr>
            </w:pPr>
            <w:hyperlink r:id="rId169"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395C7E48"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96CA491" w14:textId="6AB192E0"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57F251A6"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06333AA1"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765CE67C"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454A25B5" w14:textId="77777777" w:rsidTr="00D300E5">
        <w:trPr>
          <w:cnfStyle w:val="000000010000" w:firstRow="0" w:lastRow="0" w:firstColumn="0" w:lastColumn="0" w:oddVBand="0" w:evenVBand="0" w:oddHBand="0" w:evenHBand="1" w:firstRowFirstColumn="0" w:firstRowLastColumn="0" w:lastRowFirstColumn="0" w:lastRowLastColumn="0"/>
          <w:trHeight w:val="33"/>
        </w:trPr>
        <w:tc>
          <w:tcPr>
            <w:tcW w:w="2251" w:type="dxa"/>
          </w:tcPr>
          <w:p w14:paraId="44C25C1E"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Case 12.644, Report No. 90/09, Medellín, Ramírez Cárdenas and Leal García (United States)</w:t>
            </w:r>
          </w:p>
        </w:tc>
        <w:tc>
          <w:tcPr>
            <w:tcW w:w="1125" w:type="dxa"/>
          </w:tcPr>
          <w:p w14:paraId="6F54C2B6" w14:textId="3D683EDF" w:rsidR="007A5442" w:rsidRPr="00524435" w:rsidRDefault="006B7403" w:rsidP="00C33359">
            <w:pPr>
              <w:jc w:val="center"/>
              <w:rPr>
                <w:rFonts w:ascii="Cambria" w:hAnsi="Cambria"/>
                <w:color w:val="000000" w:themeColor="text1"/>
                <w:sz w:val="18"/>
                <w:szCs w:val="18"/>
              </w:rPr>
            </w:pPr>
            <w:hyperlink r:id="rId170"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48473CD4"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1BEBBD3" w14:textId="2C656101"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D38634C"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674625AF"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0920AAEE"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6499BF0B" w14:textId="77777777" w:rsidTr="00D300E5">
        <w:trPr>
          <w:cnfStyle w:val="000000100000" w:firstRow="0" w:lastRow="0" w:firstColumn="0" w:lastColumn="0" w:oddVBand="0" w:evenVBand="0" w:oddHBand="1" w:evenHBand="0" w:firstRowFirstColumn="0" w:firstRowLastColumn="0" w:lastRowFirstColumn="0" w:lastRowLastColumn="0"/>
          <w:trHeight w:val="31"/>
        </w:trPr>
        <w:tc>
          <w:tcPr>
            <w:tcW w:w="2251" w:type="dxa"/>
          </w:tcPr>
          <w:p w14:paraId="489561E7"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12.562, Report No. 81/10, Wayne Smith, Hugo </w:t>
            </w:r>
            <w:proofErr w:type="gramStart"/>
            <w:r w:rsidRPr="00524435">
              <w:rPr>
                <w:rFonts w:ascii="Cambria" w:hAnsi="Cambria" w:cs="Cambria"/>
                <w:color w:val="000000" w:themeColor="text1"/>
                <w:sz w:val="18"/>
                <w:szCs w:val="18"/>
              </w:rPr>
              <w:t>Armendariz</w:t>
            </w:r>
            <w:proofErr w:type="gramEnd"/>
            <w:r w:rsidRPr="00524435">
              <w:rPr>
                <w:rFonts w:ascii="Cambria" w:hAnsi="Cambria" w:cs="Cambria"/>
                <w:color w:val="000000" w:themeColor="text1"/>
                <w:sz w:val="18"/>
                <w:szCs w:val="18"/>
              </w:rPr>
              <w:t xml:space="preserve"> and others (United States)</w:t>
            </w:r>
          </w:p>
        </w:tc>
        <w:tc>
          <w:tcPr>
            <w:tcW w:w="1125" w:type="dxa"/>
          </w:tcPr>
          <w:p w14:paraId="25D9A9E5" w14:textId="4828B991" w:rsidR="007A5442" w:rsidRPr="00524435" w:rsidRDefault="006B7403" w:rsidP="00C33359">
            <w:pPr>
              <w:jc w:val="center"/>
              <w:rPr>
                <w:rFonts w:ascii="Cambria" w:hAnsi="Cambria"/>
                <w:color w:val="000000" w:themeColor="text1"/>
                <w:sz w:val="18"/>
                <w:szCs w:val="18"/>
              </w:rPr>
            </w:pPr>
            <w:hyperlink r:id="rId171"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345EED40"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A577AE7" w14:textId="6FF56635"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912B90B"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5E51E5FD"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06F0F2A8"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233D427D" w14:textId="77777777" w:rsidTr="00D300E5">
        <w:trPr>
          <w:cnfStyle w:val="000000010000" w:firstRow="0" w:lastRow="0" w:firstColumn="0" w:lastColumn="0" w:oddVBand="0" w:evenVBand="0" w:oddHBand="0" w:evenHBand="1" w:firstRowFirstColumn="0" w:firstRowLastColumn="0" w:lastRowFirstColumn="0" w:lastRowLastColumn="0"/>
          <w:trHeight w:val="36"/>
        </w:trPr>
        <w:tc>
          <w:tcPr>
            <w:tcW w:w="2251" w:type="dxa"/>
          </w:tcPr>
          <w:p w14:paraId="7942E2AF"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12.626, Report No. 80/11, Jessica </w:t>
            </w:r>
            <w:proofErr w:type="spellStart"/>
            <w:r w:rsidRPr="00524435">
              <w:rPr>
                <w:rFonts w:ascii="Cambria" w:hAnsi="Cambria" w:cs="Cambria"/>
                <w:color w:val="000000" w:themeColor="text1"/>
                <w:sz w:val="18"/>
                <w:szCs w:val="18"/>
              </w:rPr>
              <w:t>Lenahan</w:t>
            </w:r>
            <w:proofErr w:type="spellEnd"/>
            <w:r w:rsidRPr="00524435">
              <w:rPr>
                <w:rFonts w:ascii="Cambria" w:hAnsi="Cambria" w:cs="Cambria"/>
                <w:color w:val="000000" w:themeColor="text1"/>
                <w:sz w:val="18"/>
                <w:szCs w:val="18"/>
              </w:rPr>
              <w:t xml:space="preserve"> (Gonzales) (United States)</w:t>
            </w:r>
          </w:p>
        </w:tc>
        <w:tc>
          <w:tcPr>
            <w:tcW w:w="1125" w:type="dxa"/>
          </w:tcPr>
          <w:p w14:paraId="15FF3DAD" w14:textId="55D25A2C" w:rsidR="007A5442" w:rsidRPr="00524435" w:rsidRDefault="006B7403" w:rsidP="00C33359">
            <w:pPr>
              <w:jc w:val="center"/>
              <w:rPr>
                <w:rFonts w:ascii="Cambria" w:hAnsi="Cambria"/>
                <w:color w:val="000000" w:themeColor="text1"/>
                <w:sz w:val="18"/>
                <w:szCs w:val="18"/>
              </w:rPr>
            </w:pPr>
            <w:hyperlink r:id="rId172"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4B78FD4E"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BEDD11D" w14:textId="38C07C9A"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6D7C395F"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51B1EAD2"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318A5720"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2FCB67CE" w14:textId="77777777" w:rsidTr="00D300E5">
        <w:trPr>
          <w:cnfStyle w:val="000000100000" w:firstRow="0" w:lastRow="0" w:firstColumn="0" w:lastColumn="0" w:oddVBand="0" w:evenVBand="0" w:oddHBand="1" w:evenHBand="0" w:firstRowFirstColumn="0" w:firstRowLastColumn="0" w:lastRowFirstColumn="0" w:lastRowLastColumn="0"/>
          <w:trHeight w:val="31"/>
        </w:trPr>
        <w:tc>
          <w:tcPr>
            <w:tcW w:w="2251" w:type="dxa"/>
          </w:tcPr>
          <w:p w14:paraId="002C836A"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12.776, Report No. 81/11, Jeffrey Timothy </w:t>
            </w:r>
            <w:proofErr w:type="spellStart"/>
            <w:r w:rsidRPr="00524435">
              <w:rPr>
                <w:rFonts w:ascii="Cambria" w:hAnsi="Cambria" w:cs="Cambria"/>
                <w:color w:val="000000" w:themeColor="text1"/>
                <w:sz w:val="18"/>
                <w:szCs w:val="18"/>
              </w:rPr>
              <w:t>Landrigan</w:t>
            </w:r>
            <w:proofErr w:type="spellEnd"/>
            <w:r w:rsidRPr="00524435">
              <w:rPr>
                <w:rFonts w:ascii="Cambria" w:hAnsi="Cambria" w:cs="Cambria"/>
                <w:color w:val="000000" w:themeColor="text1"/>
                <w:sz w:val="18"/>
                <w:szCs w:val="18"/>
              </w:rPr>
              <w:t xml:space="preserve"> (United States)</w:t>
            </w:r>
          </w:p>
        </w:tc>
        <w:tc>
          <w:tcPr>
            <w:tcW w:w="1125" w:type="dxa"/>
          </w:tcPr>
          <w:p w14:paraId="46BA305B" w14:textId="27DC8FFE" w:rsidR="007A5442" w:rsidRPr="00524435" w:rsidRDefault="006B7403" w:rsidP="00C33359">
            <w:pPr>
              <w:jc w:val="center"/>
              <w:rPr>
                <w:rFonts w:ascii="Cambria" w:hAnsi="Cambria"/>
                <w:color w:val="000000" w:themeColor="text1"/>
                <w:sz w:val="18"/>
                <w:szCs w:val="18"/>
              </w:rPr>
            </w:pPr>
            <w:hyperlink r:id="rId173"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711E818C"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6FDDEB66" w14:textId="7B9A7F9C"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F9C9633"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253AFCF8"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630772C9"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75410BA5" w14:textId="77777777" w:rsidTr="00D300E5">
        <w:trPr>
          <w:cnfStyle w:val="000000010000" w:firstRow="0" w:lastRow="0" w:firstColumn="0" w:lastColumn="0" w:oddVBand="0" w:evenVBand="0" w:oddHBand="0" w:evenHBand="1" w:firstRowFirstColumn="0" w:firstRowLastColumn="0" w:lastRowFirstColumn="0" w:lastRowLastColumn="0"/>
          <w:trHeight w:val="37"/>
        </w:trPr>
        <w:tc>
          <w:tcPr>
            <w:tcW w:w="2251" w:type="dxa"/>
          </w:tcPr>
          <w:p w14:paraId="295A1B0F"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Cases 11.575, 12.333 &amp; 12.341, Report No. 52/13, Clarence Allen Jackey and others; Miguel </w:t>
            </w:r>
            <w:proofErr w:type="spellStart"/>
            <w:r w:rsidRPr="00524435">
              <w:rPr>
                <w:rFonts w:ascii="Cambria" w:hAnsi="Cambria" w:cs="Cambria"/>
                <w:color w:val="000000" w:themeColor="text1"/>
                <w:sz w:val="18"/>
                <w:szCs w:val="18"/>
              </w:rPr>
              <w:t>Ángel</w:t>
            </w:r>
            <w:proofErr w:type="spellEnd"/>
            <w:r w:rsidRPr="00524435">
              <w:rPr>
                <w:rFonts w:ascii="Cambria" w:hAnsi="Cambria" w:cs="Cambria"/>
                <w:color w:val="000000" w:themeColor="text1"/>
                <w:sz w:val="18"/>
                <w:szCs w:val="18"/>
              </w:rPr>
              <w:t xml:space="preserve"> Flores, James Wilson Chambers (United States)</w:t>
            </w:r>
          </w:p>
        </w:tc>
        <w:tc>
          <w:tcPr>
            <w:tcW w:w="1125" w:type="dxa"/>
          </w:tcPr>
          <w:p w14:paraId="00CCE465" w14:textId="595CE023" w:rsidR="007A5442" w:rsidRPr="00524435" w:rsidRDefault="006B7403" w:rsidP="00C33359">
            <w:pPr>
              <w:jc w:val="center"/>
              <w:rPr>
                <w:rFonts w:ascii="Cambria" w:hAnsi="Cambria"/>
                <w:color w:val="000000" w:themeColor="text1"/>
                <w:sz w:val="18"/>
                <w:szCs w:val="18"/>
              </w:rPr>
            </w:pPr>
            <w:hyperlink r:id="rId174"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17BFA537"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F62B747" w14:textId="3A5CDE0E"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191E0EAA"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312555F8"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005FC624"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4B27A5DD" w14:textId="77777777" w:rsidTr="00D300E5">
        <w:trPr>
          <w:cnfStyle w:val="000000100000" w:firstRow="0" w:lastRow="0" w:firstColumn="0" w:lastColumn="0" w:oddVBand="0" w:evenVBand="0" w:oddHBand="1" w:evenHBand="0" w:firstRowFirstColumn="0" w:firstRowLastColumn="0" w:lastRowFirstColumn="0" w:lastRowLastColumn="0"/>
          <w:trHeight w:val="33"/>
        </w:trPr>
        <w:tc>
          <w:tcPr>
            <w:tcW w:w="2251" w:type="dxa"/>
          </w:tcPr>
          <w:p w14:paraId="5B68BE77"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12.864, Report No. 53/13, Iván </w:t>
            </w:r>
            <w:proofErr w:type="spellStart"/>
            <w:r w:rsidRPr="00524435">
              <w:rPr>
                <w:rFonts w:ascii="Cambria" w:hAnsi="Cambria" w:cs="Cambria"/>
                <w:color w:val="000000" w:themeColor="text1"/>
                <w:sz w:val="18"/>
                <w:szCs w:val="18"/>
              </w:rPr>
              <w:t>Teleguz</w:t>
            </w:r>
            <w:proofErr w:type="spellEnd"/>
            <w:r w:rsidRPr="00524435">
              <w:rPr>
                <w:rFonts w:ascii="Cambria" w:hAnsi="Cambria" w:cs="Cambria"/>
                <w:color w:val="000000" w:themeColor="text1"/>
                <w:sz w:val="18"/>
                <w:szCs w:val="18"/>
              </w:rPr>
              <w:t xml:space="preserve"> (United States)</w:t>
            </w:r>
          </w:p>
        </w:tc>
        <w:tc>
          <w:tcPr>
            <w:tcW w:w="1125" w:type="dxa"/>
          </w:tcPr>
          <w:p w14:paraId="5C5FB751" w14:textId="7EB58D0B" w:rsidR="007A5442" w:rsidRPr="00524435" w:rsidRDefault="006B7403" w:rsidP="00C33359">
            <w:pPr>
              <w:jc w:val="center"/>
              <w:rPr>
                <w:rFonts w:ascii="Cambria" w:hAnsi="Cambria"/>
                <w:color w:val="000000" w:themeColor="text1"/>
                <w:sz w:val="18"/>
                <w:szCs w:val="18"/>
              </w:rPr>
            </w:pPr>
            <w:hyperlink r:id="rId175"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4E196E06"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5F088154" w14:textId="2E31F890"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64566ABA"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62493B08"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2E6A9D77"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711EB091" w14:textId="77777777" w:rsidTr="00D300E5">
        <w:trPr>
          <w:cnfStyle w:val="000000010000" w:firstRow="0" w:lastRow="0" w:firstColumn="0" w:lastColumn="0" w:oddVBand="0" w:evenVBand="0" w:oddHBand="0" w:evenHBand="1" w:firstRowFirstColumn="0" w:firstRowLastColumn="0" w:lastRowFirstColumn="0" w:lastRowLastColumn="0"/>
          <w:trHeight w:val="37"/>
        </w:trPr>
        <w:tc>
          <w:tcPr>
            <w:tcW w:w="2251" w:type="dxa"/>
          </w:tcPr>
          <w:p w14:paraId="4B12DBA3"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12.422, Report No. 13/14, Abu-Ali </w:t>
            </w:r>
            <w:proofErr w:type="spellStart"/>
            <w:r w:rsidRPr="00524435">
              <w:rPr>
                <w:rFonts w:ascii="Cambria" w:hAnsi="Cambria" w:cs="Cambria"/>
                <w:color w:val="000000" w:themeColor="text1"/>
                <w:sz w:val="18"/>
                <w:szCs w:val="18"/>
              </w:rPr>
              <w:t>Abdur</w:t>
            </w:r>
            <w:proofErr w:type="spellEnd"/>
            <w:r w:rsidRPr="00524435">
              <w:rPr>
                <w:rFonts w:ascii="Cambria" w:hAnsi="Cambria" w:cs="Cambria"/>
                <w:color w:val="000000" w:themeColor="text1"/>
                <w:sz w:val="18"/>
                <w:szCs w:val="18"/>
              </w:rPr>
              <w:t>' Rahman (United States)</w:t>
            </w:r>
          </w:p>
        </w:tc>
        <w:tc>
          <w:tcPr>
            <w:tcW w:w="1125" w:type="dxa"/>
          </w:tcPr>
          <w:p w14:paraId="2D80D994" w14:textId="542B3F39" w:rsidR="007A5442" w:rsidRPr="00524435" w:rsidRDefault="006B7403" w:rsidP="00C33359">
            <w:pPr>
              <w:jc w:val="center"/>
              <w:rPr>
                <w:rFonts w:ascii="Cambria" w:hAnsi="Cambria"/>
                <w:color w:val="000000" w:themeColor="text1"/>
                <w:sz w:val="18"/>
                <w:szCs w:val="18"/>
              </w:rPr>
            </w:pPr>
            <w:hyperlink r:id="rId176"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25717BB4"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327C2AE" w14:textId="409EC17C"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676464BA"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11791368"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6CEA3C78"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119E220B" w14:textId="77777777" w:rsidTr="00D300E5">
        <w:trPr>
          <w:cnfStyle w:val="000000100000" w:firstRow="0" w:lastRow="0" w:firstColumn="0" w:lastColumn="0" w:oddVBand="0" w:evenVBand="0" w:oddHBand="1" w:evenHBand="0" w:firstRowFirstColumn="0" w:firstRowLastColumn="0" w:lastRowFirstColumn="0" w:lastRowLastColumn="0"/>
          <w:trHeight w:val="29"/>
        </w:trPr>
        <w:tc>
          <w:tcPr>
            <w:tcW w:w="2251" w:type="dxa"/>
          </w:tcPr>
          <w:p w14:paraId="416896F3"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Case 12.873, Report No. 44/14, Edgar Tamayo Arias (United States)</w:t>
            </w:r>
          </w:p>
        </w:tc>
        <w:tc>
          <w:tcPr>
            <w:tcW w:w="1125" w:type="dxa"/>
          </w:tcPr>
          <w:p w14:paraId="6473ADE2" w14:textId="23DA7029" w:rsidR="007A5442" w:rsidRPr="00524435" w:rsidRDefault="006B7403" w:rsidP="00C33359">
            <w:pPr>
              <w:jc w:val="center"/>
              <w:rPr>
                <w:rFonts w:ascii="Cambria" w:hAnsi="Cambria"/>
                <w:color w:val="000000" w:themeColor="text1"/>
                <w:sz w:val="18"/>
                <w:szCs w:val="18"/>
              </w:rPr>
            </w:pPr>
            <w:hyperlink r:id="rId177"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5235A0B8"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4E2AD7D" w14:textId="0DA37113"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7266DF3"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2854DF71"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5B0CB58F"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6AF28A3B" w14:textId="77777777" w:rsidTr="00D300E5">
        <w:trPr>
          <w:cnfStyle w:val="000000010000" w:firstRow="0" w:lastRow="0" w:firstColumn="0" w:lastColumn="0" w:oddVBand="0" w:evenVBand="0" w:oddHBand="0" w:evenHBand="1" w:firstRowFirstColumn="0" w:firstRowLastColumn="0" w:lastRowFirstColumn="0" w:lastRowLastColumn="0"/>
          <w:trHeight w:val="37"/>
        </w:trPr>
        <w:tc>
          <w:tcPr>
            <w:tcW w:w="2251" w:type="dxa"/>
          </w:tcPr>
          <w:p w14:paraId="7A8CB378"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lastRenderedPageBreak/>
              <w:t>Case 12.833, Report No. 11/15, Felix Rocha Diaz (United States)</w:t>
            </w:r>
          </w:p>
        </w:tc>
        <w:tc>
          <w:tcPr>
            <w:tcW w:w="1125" w:type="dxa"/>
          </w:tcPr>
          <w:p w14:paraId="02CDFAA2" w14:textId="3D2EDCE5" w:rsidR="007A5442" w:rsidRPr="00524435" w:rsidRDefault="006B7403" w:rsidP="00C33359">
            <w:pPr>
              <w:jc w:val="center"/>
              <w:rPr>
                <w:rFonts w:ascii="Cambria" w:hAnsi="Cambria"/>
                <w:color w:val="000000" w:themeColor="text1"/>
                <w:sz w:val="18"/>
                <w:szCs w:val="18"/>
              </w:rPr>
            </w:pPr>
            <w:hyperlink r:id="rId178"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7F7A2051"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314CC07" w14:textId="6E63A33C"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FE404B5"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29956E45"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64B410BA"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06734253" w14:textId="77777777" w:rsidTr="00D300E5">
        <w:trPr>
          <w:cnfStyle w:val="000000100000" w:firstRow="0" w:lastRow="0" w:firstColumn="0" w:lastColumn="0" w:oddVBand="0" w:evenVBand="0" w:oddHBand="1" w:evenHBand="0" w:firstRowFirstColumn="0" w:firstRowLastColumn="0" w:lastRowFirstColumn="0" w:lastRowLastColumn="0"/>
          <w:trHeight w:val="30"/>
        </w:trPr>
        <w:tc>
          <w:tcPr>
            <w:tcW w:w="2251" w:type="dxa"/>
          </w:tcPr>
          <w:p w14:paraId="75ADF164"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Case 12.831, Report No. 78/15, Kevin Cooper (United States)</w:t>
            </w:r>
          </w:p>
        </w:tc>
        <w:tc>
          <w:tcPr>
            <w:tcW w:w="1125" w:type="dxa"/>
          </w:tcPr>
          <w:p w14:paraId="2D128230" w14:textId="3E56E748" w:rsidR="007A5442" w:rsidRPr="00524435" w:rsidRDefault="006B7403" w:rsidP="00C33359">
            <w:pPr>
              <w:jc w:val="center"/>
              <w:rPr>
                <w:rFonts w:ascii="Cambria" w:hAnsi="Cambria"/>
                <w:color w:val="000000" w:themeColor="text1"/>
                <w:sz w:val="18"/>
                <w:szCs w:val="18"/>
              </w:rPr>
            </w:pPr>
            <w:hyperlink r:id="rId179"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4D01DFFF"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A1944D4" w14:textId="0B36B672"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672473D"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1923E147"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10862CD9"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117B2983" w14:textId="77777777" w:rsidTr="00D300E5">
        <w:trPr>
          <w:cnfStyle w:val="000000010000" w:firstRow="0" w:lastRow="0" w:firstColumn="0" w:lastColumn="0" w:oddVBand="0" w:evenVBand="0" w:oddHBand="0" w:evenHBand="1" w:firstRowFirstColumn="0" w:firstRowLastColumn="0" w:lastRowFirstColumn="0" w:lastRowLastColumn="0"/>
          <w:trHeight w:val="32"/>
        </w:trPr>
        <w:tc>
          <w:tcPr>
            <w:tcW w:w="2251" w:type="dxa"/>
          </w:tcPr>
          <w:p w14:paraId="0EC41431"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12.994, Report No. 79/15, Bernardo </w:t>
            </w:r>
            <w:proofErr w:type="spellStart"/>
            <w:r w:rsidRPr="00524435">
              <w:rPr>
                <w:rFonts w:ascii="Cambria" w:hAnsi="Cambria" w:cs="Cambria"/>
                <w:color w:val="000000" w:themeColor="text1"/>
                <w:sz w:val="18"/>
                <w:szCs w:val="18"/>
              </w:rPr>
              <w:t>Aban</w:t>
            </w:r>
            <w:proofErr w:type="spellEnd"/>
            <w:r w:rsidRPr="00524435">
              <w:rPr>
                <w:rFonts w:ascii="Cambria" w:hAnsi="Cambria" w:cs="Cambria"/>
                <w:color w:val="000000" w:themeColor="text1"/>
                <w:sz w:val="18"/>
                <w:szCs w:val="18"/>
              </w:rPr>
              <w:t xml:space="preserve"> </w:t>
            </w:r>
            <w:proofErr w:type="spellStart"/>
            <w:r w:rsidRPr="00524435">
              <w:rPr>
                <w:rFonts w:ascii="Cambria" w:hAnsi="Cambria" w:cs="Cambria"/>
                <w:color w:val="000000" w:themeColor="text1"/>
                <w:sz w:val="18"/>
                <w:szCs w:val="18"/>
              </w:rPr>
              <w:t>Tercero</w:t>
            </w:r>
            <w:proofErr w:type="spellEnd"/>
            <w:r w:rsidRPr="00524435">
              <w:rPr>
                <w:rFonts w:ascii="Cambria" w:hAnsi="Cambria" w:cs="Cambria"/>
                <w:color w:val="000000" w:themeColor="text1"/>
                <w:sz w:val="18"/>
                <w:szCs w:val="18"/>
              </w:rPr>
              <w:t xml:space="preserve"> (United States)</w:t>
            </w:r>
          </w:p>
        </w:tc>
        <w:tc>
          <w:tcPr>
            <w:tcW w:w="1125" w:type="dxa"/>
          </w:tcPr>
          <w:p w14:paraId="13474B75" w14:textId="6890C081" w:rsidR="007A5442" w:rsidRPr="00524435" w:rsidRDefault="006B7403" w:rsidP="00C33359">
            <w:pPr>
              <w:jc w:val="center"/>
              <w:rPr>
                <w:rFonts w:ascii="Cambria" w:hAnsi="Cambria"/>
                <w:color w:val="000000" w:themeColor="text1"/>
                <w:sz w:val="18"/>
                <w:szCs w:val="18"/>
              </w:rPr>
            </w:pPr>
            <w:hyperlink r:id="rId180"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4A971BF3"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1268F10" w14:textId="5BFB1666"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F4B1E33"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6FD245A5"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70C6B0D7"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36A005DA" w14:textId="77777777" w:rsidTr="00D300E5">
        <w:trPr>
          <w:cnfStyle w:val="000000100000" w:firstRow="0" w:lastRow="0" w:firstColumn="0" w:lastColumn="0" w:oddVBand="0" w:evenVBand="0" w:oddHBand="1" w:evenHBand="0" w:firstRowFirstColumn="0" w:firstRowLastColumn="0" w:lastRowFirstColumn="0" w:lastRowLastColumn="0"/>
          <w:trHeight w:val="30"/>
        </w:trPr>
        <w:tc>
          <w:tcPr>
            <w:tcW w:w="2251" w:type="dxa"/>
          </w:tcPr>
          <w:p w14:paraId="3CF42E61"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Case 12.834, Report No. 50/16, Undocumented workers (United States)</w:t>
            </w:r>
          </w:p>
        </w:tc>
        <w:tc>
          <w:tcPr>
            <w:tcW w:w="1125" w:type="dxa"/>
          </w:tcPr>
          <w:p w14:paraId="7EA40405" w14:textId="78C1EB21" w:rsidR="007A5442" w:rsidRPr="00524435" w:rsidRDefault="006B7403" w:rsidP="00C33359">
            <w:pPr>
              <w:jc w:val="center"/>
              <w:rPr>
                <w:rFonts w:ascii="Cambria" w:hAnsi="Cambria"/>
                <w:color w:val="000000" w:themeColor="text1"/>
                <w:sz w:val="18"/>
                <w:szCs w:val="18"/>
              </w:rPr>
            </w:pPr>
            <w:hyperlink r:id="rId181"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0F7A24E5"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53B2A46" w14:textId="22180B6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9D1C65F"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7FB42FF5"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3EA0B72D"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58B00B70" w14:textId="77777777" w:rsidTr="00D300E5">
        <w:trPr>
          <w:cnfStyle w:val="000000010000" w:firstRow="0" w:lastRow="0" w:firstColumn="0" w:lastColumn="0" w:oddVBand="0" w:evenVBand="0" w:oddHBand="0" w:evenHBand="1" w:firstRowFirstColumn="0" w:firstRowLastColumn="0" w:lastRowFirstColumn="0" w:lastRowLastColumn="0"/>
          <w:trHeight w:val="37"/>
        </w:trPr>
        <w:tc>
          <w:tcPr>
            <w:tcW w:w="2251" w:type="dxa"/>
          </w:tcPr>
          <w:p w14:paraId="340D4121"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12.254, Report No. 24/17, Víctor Hugo </w:t>
            </w:r>
            <w:proofErr w:type="spellStart"/>
            <w:r w:rsidRPr="00524435">
              <w:rPr>
                <w:rFonts w:ascii="Cambria" w:hAnsi="Cambria" w:cs="Cambria"/>
                <w:color w:val="000000" w:themeColor="text1"/>
                <w:sz w:val="18"/>
                <w:szCs w:val="18"/>
              </w:rPr>
              <w:t>Saldaño</w:t>
            </w:r>
            <w:proofErr w:type="spellEnd"/>
            <w:r w:rsidRPr="00524435">
              <w:rPr>
                <w:rFonts w:ascii="Cambria" w:hAnsi="Cambria" w:cs="Cambria"/>
                <w:color w:val="000000" w:themeColor="text1"/>
                <w:sz w:val="18"/>
                <w:szCs w:val="18"/>
              </w:rPr>
              <w:t xml:space="preserve"> (United States)</w:t>
            </w:r>
          </w:p>
        </w:tc>
        <w:tc>
          <w:tcPr>
            <w:tcW w:w="1125" w:type="dxa"/>
          </w:tcPr>
          <w:p w14:paraId="7B886D05" w14:textId="6B6229D1" w:rsidR="007A5442" w:rsidRPr="00524435" w:rsidRDefault="006B7403" w:rsidP="00C33359">
            <w:pPr>
              <w:jc w:val="center"/>
              <w:rPr>
                <w:rFonts w:ascii="Cambria" w:hAnsi="Cambria"/>
                <w:color w:val="000000" w:themeColor="text1"/>
                <w:sz w:val="18"/>
                <w:szCs w:val="18"/>
              </w:rPr>
            </w:pPr>
            <w:hyperlink r:id="rId182"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259AC64E"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BCB5772" w14:textId="5BE61AB0"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2E6895C"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613032D6"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111B203A"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240ABD30" w14:textId="77777777" w:rsidTr="00D300E5">
        <w:trPr>
          <w:cnfStyle w:val="000000100000" w:firstRow="0" w:lastRow="0" w:firstColumn="0" w:lastColumn="0" w:oddVBand="0" w:evenVBand="0" w:oddHBand="1" w:evenHBand="0" w:firstRowFirstColumn="0" w:firstRowLastColumn="0" w:lastRowFirstColumn="0" w:lastRowLastColumn="0"/>
          <w:trHeight w:val="37"/>
        </w:trPr>
        <w:tc>
          <w:tcPr>
            <w:tcW w:w="2251" w:type="dxa"/>
          </w:tcPr>
          <w:p w14:paraId="74B3B4A1"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10.573, Report No. 121/18, José Isabel Salas </w:t>
            </w:r>
            <w:proofErr w:type="gramStart"/>
            <w:r w:rsidRPr="00524435">
              <w:rPr>
                <w:rFonts w:ascii="Cambria" w:hAnsi="Cambria" w:cs="Cambria"/>
                <w:color w:val="000000" w:themeColor="text1"/>
                <w:sz w:val="18"/>
                <w:szCs w:val="18"/>
              </w:rPr>
              <w:t>Galindo</w:t>
            </w:r>
            <w:proofErr w:type="gramEnd"/>
            <w:r w:rsidRPr="00524435">
              <w:rPr>
                <w:rFonts w:ascii="Cambria" w:hAnsi="Cambria" w:cs="Cambria"/>
                <w:color w:val="000000" w:themeColor="text1"/>
                <w:sz w:val="18"/>
                <w:szCs w:val="18"/>
              </w:rPr>
              <w:t xml:space="preserve"> and others (United States)</w:t>
            </w:r>
          </w:p>
        </w:tc>
        <w:tc>
          <w:tcPr>
            <w:tcW w:w="1125" w:type="dxa"/>
          </w:tcPr>
          <w:p w14:paraId="2D2588BD" w14:textId="6C0DF18F" w:rsidR="007A5442" w:rsidRPr="00524435" w:rsidRDefault="006B7403" w:rsidP="00C33359">
            <w:pPr>
              <w:jc w:val="center"/>
              <w:rPr>
                <w:rFonts w:ascii="Cambria" w:hAnsi="Cambria"/>
                <w:color w:val="000000" w:themeColor="text1"/>
                <w:sz w:val="18"/>
                <w:szCs w:val="18"/>
              </w:rPr>
            </w:pPr>
            <w:hyperlink r:id="rId183"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16EEC46B"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13FB8511" w14:textId="3DB6552F"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32C9ED0"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51D56FE5"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04329856"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4A904462" w14:textId="77777777" w:rsidTr="00D300E5">
        <w:trPr>
          <w:cnfStyle w:val="000000010000" w:firstRow="0" w:lastRow="0" w:firstColumn="0" w:lastColumn="0" w:oddVBand="0" w:evenVBand="0" w:oddHBand="0" w:evenHBand="1" w:firstRowFirstColumn="0" w:firstRowLastColumn="0" w:lastRowFirstColumn="0" w:lastRowLastColumn="0"/>
          <w:trHeight w:val="37"/>
        </w:trPr>
        <w:tc>
          <w:tcPr>
            <w:tcW w:w="2251" w:type="dxa"/>
          </w:tcPr>
          <w:p w14:paraId="4B0898C7"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12.958, Report No. 71/18, Russell </w:t>
            </w:r>
            <w:proofErr w:type="spellStart"/>
            <w:r w:rsidRPr="00524435">
              <w:rPr>
                <w:rFonts w:ascii="Cambria" w:hAnsi="Cambria" w:cs="Cambria"/>
                <w:color w:val="000000" w:themeColor="text1"/>
                <w:sz w:val="18"/>
                <w:szCs w:val="18"/>
              </w:rPr>
              <w:t>Bucklew</w:t>
            </w:r>
            <w:proofErr w:type="spellEnd"/>
            <w:r w:rsidRPr="00524435">
              <w:rPr>
                <w:rFonts w:ascii="Cambria" w:hAnsi="Cambria" w:cs="Cambria"/>
                <w:color w:val="000000" w:themeColor="text1"/>
                <w:sz w:val="18"/>
                <w:szCs w:val="18"/>
              </w:rPr>
              <w:t xml:space="preserve"> (United States)</w:t>
            </w:r>
          </w:p>
        </w:tc>
        <w:tc>
          <w:tcPr>
            <w:tcW w:w="1125" w:type="dxa"/>
          </w:tcPr>
          <w:p w14:paraId="23D9E8EE" w14:textId="035D7DC7" w:rsidR="007A5442" w:rsidRPr="00524435" w:rsidRDefault="006B7403" w:rsidP="00C33359">
            <w:pPr>
              <w:jc w:val="center"/>
              <w:rPr>
                <w:rFonts w:ascii="Cambria" w:hAnsi="Cambria"/>
                <w:color w:val="000000" w:themeColor="text1"/>
                <w:sz w:val="18"/>
                <w:szCs w:val="18"/>
              </w:rPr>
            </w:pPr>
            <w:hyperlink r:id="rId184"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3D816DCA"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9C9B5BE" w14:textId="60F1F644"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A4E3E92"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36C34D51"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7D79F3F0"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96A41" w:rsidRPr="00524435" w14:paraId="2103D17C" w14:textId="77777777" w:rsidTr="00D300E5">
        <w:trPr>
          <w:cnfStyle w:val="000000100000" w:firstRow="0" w:lastRow="0" w:firstColumn="0" w:lastColumn="0" w:oddVBand="0" w:evenVBand="0" w:oddHBand="1" w:evenHBand="0" w:firstRowFirstColumn="0" w:firstRowLastColumn="0" w:lastRowFirstColumn="0" w:lastRowLastColumn="0"/>
          <w:trHeight w:val="37"/>
        </w:trPr>
        <w:tc>
          <w:tcPr>
            <w:tcW w:w="2251" w:type="dxa"/>
          </w:tcPr>
          <w:p w14:paraId="1B9C49BB" w14:textId="7498C24D" w:rsidR="007A5442" w:rsidRPr="00524435" w:rsidRDefault="007A5442" w:rsidP="00C33359">
            <w:pPr>
              <w:rPr>
                <w:rFonts w:ascii="Cambria" w:hAnsi="Cambria" w:cs="Cambria"/>
                <w:color w:val="000000" w:themeColor="text1"/>
                <w:sz w:val="18"/>
                <w:szCs w:val="18"/>
              </w:rPr>
            </w:pPr>
            <w:bookmarkStart w:id="48" w:name="_Hlk91002286"/>
            <w:r w:rsidRPr="00524435">
              <w:rPr>
                <w:rFonts w:ascii="Cambria" w:hAnsi="Cambria" w:cs="Cambria"/>
                <w:color w:val="000000" w:themeColor="text1"/>
                <w:sz w:val="18"/>
                <w:szCs w:val="18"/>
              </w:rPr>
              <w:t xml:space="preserve">Case </w:t>
            </w:r>
            <w:r w:rsidRPr="00524435">
              <w:rPr>
                <w:rFonts w:ascii="Cambria" w:hAnsi="Cambria" w:cs="Calibri"/>
                <w:color w:val="000000" w:themeColor="text1"/>
                <w:sz w:val="18"/>
                <w:szCs w:val="18"/>
              </w:rPr>
              <w:t xml:space="preserve">13.570, Report de </w:t>
            </w:r>
            <w:proofErr w:type="spellStart"/>
            <w:r w:rsidRPr="00524435">
              <w:rPr>
                <w:rFonts w:ascii="Cambria" w:hAnsi="Cambria" w:cs="Calibri"/>
                <w:color w:val="000000" w:themeColor="text1"/>
                <w:sz w:val="18"/>
                <w:szCs w:val="18"/>
              </w:rPr>
              <w:t>Fondo</w:t>
            </w:r>
            <w:proofErr w:type="spellEnd"/>
            <w:r w:rsidRPr="00524435">
              <w:rPr>
                <w:rFonts w:ascii="Cambria" w:hAnsi="Cambria" w:cs="Calibri"/>
                <w:color w:val="000000" w:themeColor="text1"/>
                <w:sz w:val="18"/>
                <w:szCs w:val="18"/>
              </w:rPr>
              <w:t xml:space="preserve"> Nº 211/20, </w:t>
            </w:r>
            <w:proofErr w:type="spellStart"/>
            <w:r w:rsidRPr="00524435">
              <w:rPr>
                <w:rFonts w:ascii="Cambria" w:hAnsi="Cambria"/>
                <w:color w:val="000000" w:themeColor="text1"/>
                <w:sz w:val="18"/>
                <w:szCs w:val="18"/>
              </w:rPr>
              <w:t>Lezmond</w:t>
            </w:r>
            <w:proofErr w:type="spellEnd"/>
            <w:r w:rsidRPr="00524435">
              <w:rPr>
                <w:rFonts w:ascii="Cambria" w:hAnsi="Cambria"/>
                <w:color w:val="000000" w:themeColor="text1"/>
                <w:sz w:val="18"/>
                <w:szCs w:val="18"/>
              </w:rPr>
              <w:t xml:space="preserve"> C. Mitchell </w:t>
            </w:r>
            <w:r w:rsidRPr="00524435">
              <w:rPr>
                <w:rFonts w:ascii="Cambria" w:hAnsi="Cambria" w:cs="Cambria"/>
                <w:color w:val="000000" w:themeColor="text1"/>
                <w:sz w:val="18"/>
                <w:szCs w:val="18"/>
              </w:rPr>
              <w:t>(United States)</w:t>
            </w:r>
            <w:bookmarkEnd w:id="48"/>
          </w:p>
        </w:tc>
        <w:tc>
          <w:tcPr>
            <w:tcW w:w="1125" w:type="dxa"/>
          </w:tcPr>
          <w:p w14:paraId="55C55483" w14:textId="790CA576" w:rsidR="007A5442" w:rsidRPr="00524435" w:rsidRDefault="0075226B" w:rsidP="00C33359">
            <w:pPr>
              <w:jc w:val="center"/>
              <w:rPr>
                <w:rFonts w:ascii="Cambria" w:hAnsi="Cambria"/>
                <w:color w:val="000000" w:themeColor="text1"/>
                <w:sz w:val="18"/>
                <w:szCs w:val="18"/>
              </w:rPr>
            </w:pPr>
            <w:hyperlink r:id="rId185" w:history="1">
              <w:r w:rsidR="007A5442" w:rsidRPr="0075226B">
                <w:rPr>
                  <w:rStyle w:val="Hyperlink"/>
                  <w:rFonts w:ascii="Cambria" w:hAnsi="Cambria" w:cs="Cambria"/>
                  <w:sz w:val="18"/>
                  <w:szCs w:val="18"/>
                </w:rPr>
                <w:t>Li</w:t>
              </w:r>
              <w:r w:rsidR="007A5442" w:rsidRPr="0075226B">
                <w:rPr>
                  <w:rStyle w:val="Hyperlink"/>
                  <w:rFonts w:ascii="Cambria" w:hAnsi="Cambria" w:cs="Cambria"/>
                  <w:sz w:val="18"/>
                  <w:szCs w:val="18"/>
                </w:rPr>
                <w:t>nk</w:t>
              </w:r>
            </w:hyperlink>
          </w:p>
        </w:tc>
        <w:tc>
          <w:tcPr>
            <w:tcW w:w="1275" w:type="dxa"/>
          </w:tcPr>
          <w:p w14:paraId="0894355C"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E480DAB" w14:textId="295DA51E"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D41180F"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4544E778"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7F70AF58" w14:textId="77777777" w:rsidR="007A5442" w:rsidRPr="00524435" w:rsidRDefault="007A5442" w:rsidP="00C33359">
            <w:pPr>
              <w:jc w:val="center"/>
              <w:rPr>
                <w:rFonts w:ascii="Cambria" w:hAnsi="Cambria" w:cs="Cambria"/>
                <w:color w:val="000000" w:themeColor="text1"/>
                <w:sz w:val="18"/>
                <w:szCs w:val="18"/>
              </w:rPr>
            </w:pPr>
            <w:r w:rsidRPr="00524435">
              <w:rPr>
                <w:rFonts w:ascii="Cambria" w:hAnsi="Cambria" w:cs="Cambria"/>
                <w:color w:val="000000" w:themeColor="text1"/>
                <w:sz w:val="18"/>
                <w:szCs w:val="18"/>
              </w:rPr>
              <w:t>Open</w:t>
            </w:r>
          </w:p>
        </w:tc>
      </w:tr>
      <w:tr w:rsidR="00796A41" w:rsidRPr="00524435" w14:paraId="515548A3" w14:textId="77777777" w:rsidTr="00D300E5">
        <w:trPr>
          <w:cnfStyle w:val="000000010000" w:firstRow="0" w:lastRow="0" w:firstColumn="0" w:lastColumn="0" w:oddVBand="0" w:evenVBand="0" w:oddHBand="0" w:evenHBand="1" w:firstRowFirstColumn="0" w:firstRowLastColumn="0" w:lastRowFirstColumn="0" w:lastRowLastColumn="0"/>
          <w:trHeight w:val="37"/>
        </w:trPr>
        <w:tc>
          <w:tcPr>
            <w:tcW w:w="2251" w:type="dxa"/>
          </w:tcPr>
          <w:p w14:paraId="2A88481B" w14:textId="2459F580" w:rsidR="007A5442" w:rsidRPr="00524435" w:rsidRDefault="007A5442" w:rsidP="00C33359">
            <w:pPr>
              <w:rPr>
                <w:rFonts w:ascii="Cambria" w:hAnsi="Cambria" w:cs="Cambria"/>
                <w:color w:val="000000" w:themeColor="text1"/>
                <w:sz w:val="18"/>
                <w:szCs w:val="18"/>
              </w:rPr>
            </w:pPr>
            <w:bookmarkStart w:id="49" w:name="_Hlk91002290"/>
            <w:r w:rsidRPr="00524435">
              <w:rPr>
                <w:rFonts w:ascii="Cambria" w:hAnsi="Cambria" w:cs="Cambria"/>
                <w:color w:val="000000" w:themeColor="text1"/>
                <w:sz w:val="18"/>
                <w:szCs w:val="18"/>
              </w:rPr>
              <w:t xml:space="preserve">Case </w:t>
            </w:r>
            <w:r w:rsidRPr="00524435">
              <w:rPr>
                <w:rFonts w:ascii="Cambria" w:hAnsi="Cambria" w:cs="Calibri"/>
                <w:color w:val="000000" w:themeColor="text1"/>
                <w:sz w:val="18"/>
                <w:szCs w:val="18"/>
              </w:rPr>
              <w:t xml:space="preserve">13.361, Report de </w:t>
            </w:r>
            <w:proofErr w:type="spellStart"/>
            <w:r w:rsidRPr="00524435">
              <w:rPr>
                <w:rFonts w:ascii="Cambria" w:hAnsi="Cambria" w:cs="Calibri"/>
                <w:color w:val="000000" w:themeColor="text1"/>
                <w:sz w:val="18"/>
                <w:szCs w:val="18"/>
              </w:rPr>
              <w:t>Fondo</w:t>
            </w:r>
            <w:proofErr w:type="spellEnd"/>
            <w:r w:rsidRPr="00524435">
              <w:rPr>
                <w:rFonts w:ascii="Cambria" w:hAnsi="Cambria" w:cs="Calibri"/>
                <w:color w:val="000000" w:themeColor="text1"/>
                <w:sz w:val="18"/>
                <w:szCs w:val="18"/>
              </w:rPr>
              <w:t xml:space="preserve"> Nº 220/20, </w:t>
            </w:r>
            <w:r w:rsidRPr="00524435">
              <w:rPr>
                <w:rFonts w:ascii="Cambria" w:eastAsia="Times New Roman" w:hAnsi="Cambria"/>
                <w:color w:val="000000" w:themeColor="text1"/>
                <w:sz w:val="18"/>
                <w:szCs w:val="18"/>
              </w:rPr>
              <w:t xml:space="preserve">Julius Omar Robinson </w:t>
            </w:r>
            <w:r w:rsidRPr="00524435">
              <w:rPr>
                <w:rFonts w:ascii="Cambria" w:hAnsi="Cambria" w:cs="Cambria"/>
                <w:color w:val="000000" w:themeColor="text1"/>
                <w:sz w:val="18"/>
                <w:szCs w:val="18"/>
              </w:rPr>
              <w:t>(United States)</w:t>
            </w:r>
            <w:bookmarkEnd w:id="49"/>
          </w:p>
        </w:tc>
        <w:tc>
          <w:tcPr>
            <w:tcW w:w="1125" w:type="dxa"/>
          </w:tcPr>
          <w:p w14:paraId="49430747" w14:textId="233CCECC" w:rsidR="007A5442" w:rsidRPr="00524435" w:rsidRDefault="00855C51" w:rsidP="00C33359">
            <w:pPr>
              <w:jc w:val="center"/>
              <w:rPr>
                <w:rFonts w:ascii="Cambria" w:hAnsi="Cambria"/>
                <w:color w:val="000000" w:themeColor="text1"/>
                <w:sz w:val="18"/>
                <w:szCs w:val="18"/>
              </w:rPr>
            </w:pPr>
            <w:hyperlink r:id="rId186" w:history="1">
              <w:r w:rsidR="007A5442" w:rsidRPr="00855C51">
                <w:rPr>
                  <w:rStyle w:val="Hyperlink"/>
                  <w:rFonts w:ascii="Cambria" w:hAnsi="Cambria" w:cs="Cambria"/>
                  <w:sz w:val="18"/>
                  <w:szCs w:val="18"/>
                </w:rPr>
                <w:t>Li</w:t>
              </w:r>
              <w:r w:rsidR="007A5442" w:rsidRPr="00855C51">
                <w:rPr>
                  <w:rStyle w:val="Hyperlink"/>
                  <w:rFonts w:ascii="Cambria" w:hAnsi="Cambria" w:cs="Cambria"/>
                  <w:sz w:val="18"/>
                  <w:szCs w:val="18"/>
                </w:rPr>
                <w:t>nk</w:t>
              </w:r>
            </w:hyperlink>
          </w:p>
        </w:tc>
        <w:tc>
          <w:tcPr>
            <w:tcW w:w="1275" w:type="dxa"/>
          </w:tcPr>
          <w:p w14:paraId="16E57903"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B7B15F9" w14:textId="38CFCC82"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C06A981"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16A18E9C"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4EE8BADB" w14:textId="77777777" w:rsidR="007A5442" w:rsidRPr="00524435" w:rsidRDefault="007A5442" w:rsidP="00C33359">
            <w:pPr>
              <w:jc w:val="center"/>
              <w:rPr>
                <w:rFonts w:ascii="Cambria" w:hAnsi="Cambria" w:cs="Cambria"/>
                <w:color w:val="000000" w:themeColor="text1"/>
                <w:sz w:val="18"/>
                <w:szCs w:val="18"/>
              </w:rPr>
            </w:pPr>
            <w:r w:rsidRPr="00524435">
              <w:rPr>
                <w:rFonts w:ascii="Cambria" w:hAnsi="Cambria" w:cs="Cambria"/>
                <w:color w:val="000000" w:themeColor="text1"/>
                <w:sz w:val="18"/>
                <w:szCs w:val="18"/>
              </w:rPr>
              <w:t>Open</w:t>
            </w:r>
          </w:p>
        </w:tc>
      </w:tr>
      <w:tr w:rsidR="00796A41" w:rsidRPr="00524435" w14:paraId="5810033D" w14:textId="77777777" w:rsidTr="00D300E5">
        <w:trPr>
          <w:cnfStyle w:val="000000100000" w:firstRow="0" w:lastRow="0" w:firstColumn="0" w:lastColumn="0" w:oddVBand="0" w:evenVBand="0" w:oddHBand="1" w:evenHBand="0" w:firstRowFirstColumn="0" w:firstRowLastColumn="0" w:lastRowFirstColumn="0" w:lastRowLastColumn="0"/>
          <w:trHeight w:val="37"/>
        </w:trPr>
        <w:tc>
          <w:tcPr>
            <w:tcW w:w="2251" w:type="dxa"/>
          </w:tcPr>
          <w:p w14:paraId="4FD07054" w14:textId="71DD34E9" w:rsidR="007A5442" w:rsidRPr="00524435" w:rsidRDefault="007A5442" w:rsidP="00C33359">
            <w:pPr>
              <w:rPr>
                <w:rFonts w:ascii="Cambria" w:hAnsi="Cambria" w:cs="Cambria"/>
                <w:color w:val="000000" w:themeColor="text1"/>
                <w:sz w:val="18"/>
                <w:szCs w:val="18"/>
              </w:rPr>
            </w:pPr>
            <w:bookmarkStart w:id="50" w:name="_Hlk90999666"/>
            <w:r w:rsidRPr="00524435">
              <w:rPr>
                <w:rFonts w:ascii="Cambria" w:hAnsi="Cambria" w:cs="Cambria"/>
                <w:color w:val="000000" w:themeColor="text1"/>
                <w:sz w:val="18"/>
                <w:szCs w:val="18"/>
              </w:rPr>
              <w:t>Case</w:t>
            </w:r>
            <w:r w:rsidRPr="00524435">
              <w:rPr>
                <w:rFonts w:ascii="Cambria" w:hAnsi="Cambria" w:cs="Calibri"/>
                <w:color w:val="000000" w:themeColor="text1"/>
                <w:sz w:val="18"/>
                <w:szCs w:val="18"/>
              </w:rPr>
              <w:t xml:space="preserve"> 13.356, Report de </w:t>
            </w:r>
            <w:proofErr w:type="spellStart"/>
            <w:r w:rsidRPr="00524435">
              <w:rPr>
                <w:rFonts w:ascii="Cambria" w:hAnsi="Cambria" w:cs="Calibri"/>
                <w:color w:val="000000" w:themeColor="text1"/>
                <w:sz w:val="18"/>
                <w:szCs w:val="18"/>
              </w:rPr>
              <w:t>Fondo</w:t>
            </w:r>
            <w:proofErr w:type="spellEnd"/>
            <w:r w:rsidRPr="00524435">
              <w:rPr>
                <w:rFonts w:ascii="Cambria" w:hAnsi="Cambria" w:cs="Calibri"/>
                <w:color w:val="000000" w:themeColor="text1"/>
                <w:sz w:val="18"/>
                <w:szCs w:val="18"/>
              </w:rPr>
              <w:t xml:space="preserve"> Nº 200/20, </w:t>
            </w:r>
            <w:r w:rsidRPr="00524435">
              <w:rPr>
                <w:rFonts w:ascii="Cambria" w:hAnsi="Cambria"/>
                <w:bCs/>
                <w:color w:val="000000" w:themeColor="text1"/>
                <w:sz w:val="18"/>
                <w:szCs w:val="18"/>
              </w:rPr>
              <w:t xml:space="preserve">Nelson Iván Serrano </w:t>
            </w:r>
            <w:proofErr w:type="spellStart"/>
            <w:r w:rsidRPr="00524435">
              <w:rPr>
                <w:rFonts w:ascii="Cambria" w:hAnsi="Cambria"/>
                <w:bCs/>
                <w:color w:val="000000" w:themeColor="text1"/>
                <w:sz w:val="18"/>
                <w:szCs w:val="18"/>
              </w:rPr>
              <w:t>Sáenz</w:t>
            </w:r>
            <w:proofErr w:type="spellEnd"/>
            <w:r w:rsidRPr="00524435">
              <w:rPr>
                <w:rFonts w:ascii="Cambria" w:hAnsi="Cambria"/>
                <w:bCs/>
                <w:color w:val="000000" w:themeColor="text1"/>
                <w:sz w:val="18"/>
                <w:szCs w:val="18"/>
              </w:rPr>
              <w:t xml:space="preserve"> </w:t>
            </w:r>
            <w:r w:rsidRPr="00524435">
              <w:rPr>
                <w:rFonts w:ascii="Cambria" w:hAnsi="Cambria" w:cs="Cambria"/>
                <w:color w:val="000000" w:themeColor="text1"/>
                <w:sz w:val="18"/>
                <w:szCs w:val="18"/>
              </w:rPr>
              <w:t>(United States)</w:t>
            </w:r>
            <w:bookmarkEnd w:id="50"/>
          </w:p>
        </w:tc>
        <w:tc>
          <w:tcPr>
            <w:tcW w:w="1125" w:type="dxa"/>
          </w:tcPr>
          <w:p w14:paraId="0A721B90" w14:textId="35CE490F" w:rsidR="007A5442" w:rsidRPr="00524435" w:rsidRDefault="00855C51" w:rsidP="00C33359">
            <w:pPr>
              <w:jc w:val="center"/>
              <w:rPr>
                <w:rFonts w:ascii="Cambria" w:hAnsi="Cambria"/>
                <w:color w:val="000000" w:themeColor="text1"/>
                <w:sz w:val="18"/>
                <w:szCs w:val="18"/>
              </w:rPr>
            </w:pPr>
            <w:hyperlink r:id="rId187" w:history="1">
              <w:r w:rsidR="007A5442" w:rsidRPr="00855C51">
                <w:rPr>
                  <w:rStyle w:val="Hyperlink"/>
                  <w:rFonts w:ascii="Cambria" w:hAnsi="Cambria" w:cs="Cambria"/>
                  <w:sz w:val="18"/>
                  <w:szCs w:val="18"/>
                </w:rPr>
                <w:t>Lin</w:t>
              </w:r>
              <w:r w:rsidR="007A5442" w:rsidRPr="00855C51">
                <w:rPr>
                  <w:rStyle w:val="Hyperlink"/>
                  <w:rFonts w:ascii="Cambria" w:hAnsi="Cambria" w:cs="Cambria"/>
                  <w:sz w:val="18"/>
                  <w:szCs w:val="18"/>
                </w:rPr>
                <w:t>k</w:t>
              </w:r>
            </w:hyperlink>
          </w:p>
        </w:tc>
        <w:tc>
          <w:tcPr>
            <w:tcW w:w="1275" w:type="dxa"/>
          </w:tcPr>
          <w:p w14:paraId="0E4AB8A3"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56981D02" w14:textId="7C601D23"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49DAA53"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4F9BE866"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2B2F7E60" w14:textId="77777777" w:rsidR="007A5442" w:rsidRPr="00524435" w:rsidRDefault="007A5442" w:rsidP="00C33359">
            <w:pPr>
              <w:jc w:val="center"/>
              <w:rPr>
                <w:rFonts w:ascii="Cambria" w:hAnsi="Cambria" w:cs="Cambria"/>
                <w:color w:val="000000" w:themeColor="text1"/>
                <w:sz w:val="18"/>
                <w:szCs w:val="18"/>
              </w:rPr>
            </w:pPr>
            <w:r w:rsidRPr="00524435">
              <w:rPr>
                <w:rFonts w:ascii="Cambria" w:hAnsi="Cambria" w:cs="Cambria"/>
                <w:color w:val="000000" w:themeColor="text1"/>
                <w:sz w:val="18"/>
                <w:szCs w:val="18"/>
              </w:rPr>
              <w:t>Open</w:t>
            </w:r>
          </w:p>
        </w:tc>
      </w:tr>
      <w:tr w:rsidR="00796A41" w:rsidRPr="00524435" w14:paraId="18944D9C" w14:textId="77777777" w:rsidTr="00D300E5">
        <w:trPr>
          <w:cnfStyle w:val="000000010000" w:firstRow="0" w:lastRow="0" w:firstColumn="0" w:lastColumn="0" w:oddVBand="0" w:evenVBand="0" w:oddHBand="0" w:evenHBand="1" w:firstRowFirstColumn="0" w:firstRowLastColumn="0" w:lastRowFirstColumn="0" w:lastRowLastColumn="0"/>
          <w:trHeight w:val="37"/>
        </w:trPr>
        <w:tc>
          <w:tcPr>
            <w:tcW w:w="2251" w:type="dxa"/>
          </w:tcPr>
          <w:p w14:paraId="7959173E" w14:textId="18B6DFED" w:rsidR="007A5442" w:rsidRPr="00524435" w:rsidRDefault="007A5442" w:rsidP="00C33359">
            <w:pPr>
              <w:rPr>
                <w:rFonts w:ascii="Cambria" w:hAnsi="Cambria" w:cs="Cambria"/>
                <w:color w:val="000000" w:themeColor="text1"/>
                <w:sz w:val="18"/>
                <w:szCs w:val="18"/>
              </w:rPr>
            </w:pPr>
            <w:bookmarkStart w:id="51" w:name="_Hlk91002299"/>
            <w:r w:rsidRPr="00524435">
              <w:rPr>
                <w:rFonts w:ascii="Cambria" w:hAnsi="Cambria" w:cs="Cambria"/>
                <w:color w:val="000000" w:themeColor="text1"/>
                <w:sz w:val="18"/>
                <w:szCs w:val="18"/>
              </w:rPr>
              <w:t>Case</w:t>
            </w:r>
            <w:r w:rsidRPr="00524435">
              <w:rPr>
                <w:rFonts w:ascii="Cambria" w:hAnsi="Cambria" w:cs="Calibri"/>
                <w:color w:val="000000" w:themeColor="text1"/>
                <w:sz w:val="18"/>
                <w:szCs w:val="18"/>
              </w:rPr>
              <w:t xml:space="preserve"> 12.865, Report de </w:t>
            </w:r>
            <w:proofErr w:type="spellStart"/>
            <w:r w:rsidRPr="00524435">
              <w:rPr>
                <w:rFonts w:ascii="Cambria" w:hAnsi="Cambria" w:cs="Calibri"/>
                <w:color w:val="000000" w:themeColor="text1"/>
                <w:sz w:val="18"/>
                <w:szCs w:val="18"/>
              </w:rPr>
              <w:t>Fondo</w:t>
            </w:r>
            <w:proofErr w:type="spellEnd"/>
            <w:r w:rsidRPr="00524435">
              <w:rPr>
                <w:rFonts w:ascii="Cambria" w:hAnsi="Cambria" w:cs="Calibri"/>
                <w:color w:val="000000" w:themeColor="text1"/>
                <w:sz w:val="18"/>
                <w:szCs w:val="18"/>
              </w:rPr>
              <w:t xml:space="preserve"> Nº 29/20, </w:t>
            </w:r>
            <w:r w:rsidRPr="00524435">
              <w:rPr>
                <w:rFonts w:ascii="Cambria" w:hAnsi="Cambria"/>
                <w:bCs/>
                <w:color w:val="000000" w:themeColor="text1"/>
                <w:sz w:val="18"/>
                <w:szCs w:val="18"/>
              </w:rPr>
              <w:t xml:space="preserve">Djamel </w:t>
            </w:r>
            <w:proofErr w:type="spellStart"/>
            <w:r w:rsidRPr="00524435">
              <w:rPr>
                <w:rFonts w:ascii="Cambria" w:hAnsi="Cambria"/>
                <w:bCs/>
                <w:color w:val="000000" w:themeColor="text1"/>
                <w:sz w:val="18"/>
                <w:szCs w:val="18"/>
              </w:rPr>
              <w:t>Ameziane</w:t>
            </w:r>
            <w:proofErr w:type="spellEnd"/>
            <w:r w:rsidRPr="00524435">
              <w:rPr>
                <w:rFonts w:ascii="Cambria" w:hAnsi="Cambria"/>
                <w:bCs/>
                <w:color w:val="000000" w:themeColor="text1"/>
                <w:sz w:val="18"/>
                <w:szCs w:val="18"/>
              </w:rPr>
              <w:t xml:space="preserve"> </w:t>
            </w:r>
            <w:r w:rsidRPr="00524435">
              <w:rPr>
                <w:rFonts w:ascii="Cambria" w:hAnsi="Cambria" w:cs="Cambria"/>
                <w:color w:val="000000" w:themeColor="text1"/>
                <w:sz w:val="18"/>
                <w:szCs w:val="18"/>
              </w:rPr>
              <w:t>(United States)</w:t>
            </w:r>
            <w:bookmarkEnd w:id="51"/>
          </w:p>
        </w:tc>
        <w:tc>
          <w:tcPr>
            <w:tcW w:w="1125" w:type="dxa"/>
          </w:tcPr>
          <w:p w14:paraId="69DDAECA" w14:textId="4E68C33D" w:rsidR="007A5442" w:rsidRPr="00524435" w:rsidRDefault="00855C51" w:rsidP="00C33359">
            <w:pPr>
              <w:jc w:val="center"/>
              <w:rPr>
                <w:rFonts w:ascii="Cambria" w:hAnsi="Cambria"/>
                <w:color w:val="000000" w:themeColor="text1"/>
                <w:sz w:val="18"/>
                <w:szCs w:val="18"/>
              </w:rPr>
            </w:pPr>
            <w:hyperlink r:id="rId188" w:history="1">
              <w:r w:rsidR="007A5442" w:rsidRPr="00855C51">
                <w:rPr>
                  <w:rStyle w:val="Hyperlink"/>
                  <w:rFonts w:ascii="Cambria" w:hAnsi="Cambria" w:cs="Cambria"/>
                  <w:sz w:val="18"/>
                  <w:szCs w:val="18"/>
                </w:rPr>
                <w:t>L</w:t>
              </w:r>
              <w:r w:rsidR="007A5442" w:rsidRPr="00855C51">
                <w:rPr>
                  <w:rStyle w:val="Hyperlink"/>
                  <w:rFonts w:ascii="Cambria" w:hAnsi="Cambria" w:cs="Cambria"/>
                  <w:sz w:val="18"/>
                  <w:szCs w:val="18"/>
                </w:rPr>
                <w:t>ink</w:t>
              </w:r>
            </w:hyperlink>
          </w:p>
        </w:tc>
        <w:tc>
          <w:tcPr>
            <w:tcW w:w="1275" w:type="dxa"/>
          </w:tcPr>
          <w:p w14:paraId="235F8190"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8877297" w14:textId="6399EE80"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7F440AAE"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705AB0EA"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6241FD03" w14:textId="77777777" w:rsidR="007A5442" w:rsidRPr="00524435" w:rsidRDefault="007A5442" w:rsidP="00C33359">
            <w:pPr>
              <w:jc w:val="center"/>
              <w:rPr>
                <w:rFonts w:ascii="Cambria" w:hAnsi="Cambria" w:cs="Cambria"/>
                <w:color w:val="000000" w:themeColor="text1"/>
                <w:sz w:val="18"/>
                <w:szCs w:val="18"/>
              </w:rPr>
            </w:pPr>
            <w:r w:rsidRPr="00524435">
              <w:rPr>
                <w:rFonts w:ascii="Cambria" w:hAnsi="Cambria" w:cs="Cambria"/>
                <w:color w:val="000000" w:themeColor="text1"/>
                <w:sz w:val="18"/>
                <w:szCs w:val="18"/>
              </w:rPr>
              <w:t>Open</w:t>
            </w:r>
          </w:p>
        </w:tc>
      </w:tr>
      <w:tr w:rsidR="00796A41" w:rsidRPr="00524435" w14:paraId="57167FA1" w14:textId="77777777" w:rsidTr="00D300E5">
        <w:trPr>
          <w:cnfStyle w:val="000000100000" w:firstRow="0" w:lastRow="0" w:firstColumn="0" w:lastColumn="0" w:oddVBand="0" w:evenVBand="0" w:oddHBand="1" w:evenHBand="0" w:firstRowFirstColumn="0" w:firstRowLastColumn="0" w:lastRowFirstColumn="0" w:lastRowLastColumn="0"/>
          <w:trHeight w:val="37"/>
        </w:trPr>
        <w:tc>
          <w:tcPr>
            <w:tcW w:w="2251" w:type="dxa"/>
          </w:tcPr>
          <w:p w14:paraId="0C721445" w14:textId="7116F368" w:rsidR="007A5442" w:rsidRPr="00524435" w:rsidRDefault="007A5442" w:rsidP="00C33359">
            <w:pPr>
              <w:rPr>
                <w:rFonts w:ascii="Cambria" w:hAnsi="Cambria" w:cs="Cambria"/>
                <w:color w:val="000000" w:themeColor="text1"/>
                <w:sz w:val="18"/>
                <w:szCs w:val="18"/>
              </w:rPr>
            </w:pPr>
            <w:bookmarkStart w:id="52" w:name="_Hlk91002303"/>
            <w:r w:rsidRPr="00524435">
              <w:rPr>
                <w:rFonts w:ascii="Cambria" w:hAnsi="Cambria" w:cs="Cambria"/>
                <w:color w:val="000000" w:themeColor="text1"/>
                <w:sz w:val="18"/>
                <w:szCs w:val="18"/>
              </w:rPr>
              <w:t xml:space="preserve">Case </w:t>
            </w:r>
            <w:r w:rsidRPr="00524435">
              <w:rPr>
                <w:rFonts w:ascii="Cambria" w:hAnsi="Cambria" w:cs="Calibri"/>
                <w:color w:val="000000" w:themeColor="text1"/>
                <w:sz w:val="18"/>
                <w:szCs w:val="18"/>
              </w:rPr>
              <w:t xml:space="preserve">12.719, Report de </w:t>
            </w:r>
            <w:proofErr w:type="spellStart"/>
            <w:r w:rsidRPr="00524435">
              <w:rPr>
                <w:rFonts w:ascii="Cambria" w:hAnsi="Cambria" w:cs="Calibri"/>
                <w:color w:val="000000" w:themeColor="text1"/>
                <w:sz w:val="18"/>
                <w:szCs w:val="18"/>
              </w:rPr>
              <w:t>Fondo</w:t>
            </w:r>
            <w:proofErr w:type="spellEnd"/>
            <w:r w:rsidRPr="00524435">
              <w:rPr>
                <w:rFonts w:ascii="Cambria" w:hAnsi="Cambria" w:cs="Calibri"/>
                <w:color w:val="000000" w:themeColor="text1"/>
                <w:sz w:val="18"/>
                <w:szCs w:val="18"/>
              </w:rPr>
              <w:t xml:space="preserve"> Nº 28/20, </w:t>
            </w:r>
            <w:r w:rsidRPr="00524435">
              <w:rPr>
                <w:rFonts w:ascii="Cambria" w:hAnsi="Cambria"/>
                <w:bCs/>
                <w:color w:val="000000" w:themeColor="text1"/>
                <w:sz w:val="18"/>
                <w:szCs w:val="18"/>
              </w:rPr>
              <w:t xml:space="preserve">Orlando Cordia Hall </w:t>
            </w:r>
            <w:r w:rsidRPr="00524435">
              <w:rPr>
                <w:rFonts w:ascii="Cambria" w:hAnsi="Cambria" w:cs="Cambria"/>
                <w:color w:val="000000" w:themeColor="text1"/>
                <w:sz w:val="18"/>
                <w:szCs w:val="18"/>
              </w:rPr>
              <w:t>(United States)</w:t>
            </w:r>
            <w:bookmarkEnd w:id="52"/>
          </w:p>
        </w:tc>
        <w:tc>
          <w:tcPr>
            <w:tcW w:w="1125" w:type="dxa"/>
          </w:tcPr>
          <w:p w14:paraId="0F805032" w14:textId="4FAA197C" w:rsidR="007A5442" w:rsidRPr="00524435" w:rsidRDefault="00855C51" w:rsidP="00C33359">
            <w:pPr>
              <w:jc w:val="center"/>
              <w:rPr>
                <w:rFonts w:ascii="Cambria" w:hAnsi="Cambria"/>
                <w:color w:val="000000" w:themeColor="text1"/>
                <w:sz w:val="18"/>
                <w:szCs w:val="18"/>
              </w:rPr>
            </w:pPr>
            <w:hyperlink r:id="rId189" w:history="1">
              <w:r w:rsidR="007A5442" w:rsidRPr="00855C51">
                <w:rPr>
                  <w:rStyle w:val="Hyperlink"/>
                  <w:rFonts w:ascii="Cambria" w:hAnsi="Cambria" w:cs="Cambria"/>
                  <w:sz w:val="18"/>
                  <w:szCs w:val="18"/>
                </w:rPr>
                <w:t>Link</w:t>
              </w:r>
            </w:hyperlink>
          </w:p>
        </w:tc>
        <w:tc>
          <w:tcPr>
            <w:tcW w:w="1275" w:type="dxa"/>
          </w:tcPr>
          <w:p w14:paraId="17D1C37C"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48913953" w14:textId="21FA3BB8"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0650F09C"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6A2B40C6"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1860DD4D" w14:textId="77777777" w:rsidR="007A5442" w:rsidRPr="00524435" w:rsidRDefault="007A5442" w:rsidP="00C33359">
            <w:pPr>
              <w:jc w:val="center"/>
              <w:rPr>
                <w:rFonts w:ascii="Cambria" w:hAnsi="Cambria" w:cs="Cambria"/>
                <w:color w:val="000000" w:themeColor="text1"/>
                <w:sz w:val="18"/>
                <w:szCs w:val="18"/>
              </w:rPr>
            </w:pPr>
            <w:r w:rsidRPr="00524435">
              <w:rPr>
                <w:rFonts w:ascii="Cambria" w:hAnsi="Cambria" w:cs="Cambria"/>
                <w:color w:val="000000" w:themeColor="text1"/>
                <w:sz w:val="18"/>
                <w:szCs w:val="18"/>
              </w:rPr>
              <w:t>Open</w:t>
            </w:r>
          </w:p>
        </w:tc>
      </w:tr>
      <w:tr w:rsidR="00796A41" w:rsidRPr="00524435" w14:paraId="683439D6" w14:textId="77777777" w:rsidTr="00D300E5">
        <w:trPr>
          <w:cnfStyle w:val="000000010000" w:firstRow="0" w:lastRow="0" w:firstColumn="0" w:lastColumn="0" w:oddVBand="0" w:evenVBand="0" w:oddHBand="0" w:evenHBand="1" w:firstRowFirstColumn="0" w:firstRowLastColumn="0" w:lastRowFirstColumn="0" w:lastRowLastColumn="0"/>
          <w:trHeight w:val="37"/>
        </w:trPr>
        <w:tc>
          <w:tcPr>
            <w:tcW w:w="2251" w:type="dxa"/>
          </w:tcPr>
          <w:p w14:paraId="152B2739" w14:textId="38448D94" w:rsidR="007A5442" w:rsidRPr="00524435" w:rsidRDefault="007A5442" w:rsidP="00C33359">
            <w:pPr>
              <w:rPr>
                <w:rFonts w:ascii="Cambria" w:hAnsi="Cambria" w:cs="Cambria"/>
                <w:color w:val="000000" w:themeColor="text1"/>
                <w:sz w:val="18"/>
                <w:szCs w:val="18"/>
              </w:rPr>
            </w:pPr>
            <w:bookmarkStart w:id="53" w:name="_Hlk91002308"/>
            <w:r w:rsidRPr="00524435">
              <w:rPr>
                <w:rFonts w:ascii="Cambria" w:hAnsi="Cambria" w:cs="Cambria"/>
                <w:color w:val="000000" w:themeColor="text1"/>
                <w:sz w:val="18"/>
                <w:szCs w:val="18"/>
              </w:rPr>
              <w:t>Case</w:t>
            </w:r>
            <w:r w:rsidRPr="00524435">
              <w:rPr>
                <w:rFonts w:ascii="Cambria" w:hAnsi="Cambria" w:cs="Calibri"/>
                <w:color w:val="000000" w:themeColor="text1"/>
                <w:sz w:val="18"/>
                <w:szCs w:val="18"/>
              </w:rPr>
              <w:t xml:space="preserve"> 12.754, Report de </w:t>
            </w:r>
            <w:proofErr w:type="spellStart"/>
            <w:r w:rsidRPr="00524435">
              <w:rPr>
                <w:rFonts w:ascii="Cambria" w:hAnsi="Cambria" w:cs="Calibri"/>
                <w:color w:val="000000" w:themeColor="text1"/>
                <w:sz w:val="18"/>
                <w:szCs w:val="18"/>
              </w:rPr>
              <w:t>Fondo</w:t>
            </w:r>
            <w:proofErr w:type="spellEnd"/>
            <w:r w:rsidRPr="00524435">
              <w:rPr>
                <w:rFonts w:ascii="Cambria" w:hAnsi="Cambria" w:cs="Calibri"/>
                <w:color w:val="000000" w:themeColor="text1"/>
                <w:sz w:val="18"/>
                <w:szCs w:val="18"/>
              </w:rPr>
              <w:t xml:space="preserve"> Nº 27/20, </w:t>
            </w:r>
            <w:proofErr w:type="spellStart"/>
            <w:r w:rsidRPr="00524435">
              <w:rPr>
                <w:rFonts w:ascii="Cambria" w:hAnsi="Cambria"/>
                <w:bCs/>
                <w:color w:val="000000" w:themeColor="text1"/>
                <w:sz w:val="18"/>
                <w:szCs w:val="18"/>
              </w:rPr>
              <w:t>Nvwtohiyada</w:t>
            </w:r>
            <w:proofErr w:type="spellEnd"/>
            <w:r w:rsidRPr="00524435">
              <w:rPr>
                <w:rFonts w:ascii="Cambria" w:hAnsi="Cambria"/>
                <w:bCs/>
                <w:color w:val="000000" w:themeColor="text1"/>
                <w:sz w:val="18"/>
                <w:szCs w:val="18"/>
              </w:rPr>
              <w:t xml:space="preserve"> </w:t>
            </w:r>
            <w:proofErr w:type="spellStart"/>
            <w:r w:rsidRPr="00524435">
              <w:rPr>
                <w:rFonts w:ascii="Cambria" w:hAnsi="Cambria"/>
                <w:bCs/>
                <w:color w:val="000000" w:themeColor="text1"/>
                <w:sz w:val="18"/>
                <w:szCs w:val="18"/>
              </w:rPr>
              <w:t>Idehesdi</w:t>
            </w:r>
            <w:proofErr w:type="spellEnd"/>
            <w:r w:rsidRPr="00524435">
              <w:rPr>
                <w:rFonts w:ascii="Cambria" w:hAnsi="Cambria"/>
                <w:bCs/>
                <w:color w:val="000000" w:themeColor="text1"/>
                <w:sz w:val="18"/>
                <w:szCs w:val="18"/>
              </w:rPr>
              <w:t xml:space="preserve"> Sequoyah </w:t>
            </w:r>
            <w:r w:rsidRPr="00524435">
              <w:rPr>
                <w:rFonts w:ascii="Cambria" w:hAnsi="Cambria" w:cs="Cambria"/>
                <w:color w:val="000000" w:themeColor="text1"/>
                <w:sz w:val="18"/>
                <w:szCs w:val="18"/>
              </w:rPr>
              <w:t>(United States)</w:t>
            </w:r>
            <w:bookmarkEnd w:id="53"/>
          </w:p>
        </w:tc>
        <w:tc>
          <w:tcPr>
            <w:tcW w:w="1125" w:type="dxa"/>
          </w:tcPr>
          <w:p w14:paraId="338C601E" w14:textId="5519BACB" w:rsidR="007A5442" w:rsidRPr="00524435" w:rsidRDefault="00855C51" w:rsidP="00C33359">
            <w:pPr>
              <w:jc w:val="center"/>
              <w:rPr>
                <w:rFonts w:ascii="Cambria" w:hAnsi="Cambria"/>
                <w:color w:val="000000" w:themeColor="text1"/>
                <w:sz w:val="18"/>
                <w:szCs w:val="18"/>
              </w:rPr>
            </w:pPr>
            <w:hyperlink r:id="rId190" w:history="1">
              <w:r w:rsidR="007A5442" w:rsidRPr="00855C51">
                <w:rPr>
                  <w:rStyle w:val="Hyperlink"/>
                  <w:rFonts w:ascii="Cambria" w:hAnsi="Cambria" w:cs="Cambria"/>
                  <w:sz w:val="18"/>
                  <w:szCs w:val="18"/>
                </w:rPr>
                <w:t>Link</w:t>
              </w:r>
            </w:hyperlink>
          </w:p>
        </w:tc>
        <w:tc>
          <w:tcPr>
            <w:tcW w:w="1275" w:type="dxa"/>
          </w:tcPr>
          <w:p w14:paraId="2883A198"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B503165" w14:textId="65452404"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E83C902"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60C318FB"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37A24B6C" w14:textId="77777777" w:rsidR="007A5442" w:rsidRPr="00524435" w:rsidRDefault="007A5442" w:rsidP="00C33359">
            <w:pPr>
              <w:jc w:val="center"/>
              <w:rPr>
                <w:rFonts w:ascii="Cambria" w:hAnsi="Cambria" w:cs="Cambria"/>
                <w:color w:val="000000" w:themeColor="text1"/>
                <w:sz w:val="18"/>
                <w:szCs w:val="18"/>
              </w:rPr>
            </w:pPr>
            <w:r w:rsidRPr="00524435">
              <w:rPr>
                <w:rFonts w:ascii="Cambria" w:hAnsi="Cambria" w:cs="Cambria"/>
                <w:color w:val="000000" w:themeColor="text1"/>
                <w:sz w:val="18"/>
                <w:szCs w:val="18"/>
              </w:rPr>
              <w:t>Open</w:t>
            </w:r>
          </w:p>
        </w:tc>
      </w:tr>
      <w:tr w:rsidR="00796A41" w:rsidRPr="00524435" w14:paraId="67559C93" w14:textId="77777777" w:rsidTr="00D300E5">
        <w:trPr>
          <w:cnfStyle w:val="000000100000" w:firstRow="0" w:lastRow="0" w:firstColumn="0" w:lastColumn="0" w:oddVBand="0" w:evenVBand="0" w:oddHBand="1" w:evenHBand="0" w:firstRowFirstColumn="0" w:firstRowLastColumn="0" w:lastRowFirstColumn="0" w:lastRowLastColumn="0"/>
          <w:trHeight w:val="37"/>
        </w:trPr>
        <w:tc>
          <w:tcPr>
            <w:tcW w:w="2251" w:type="dxa"/>
          </w:tcPr>
          <w:p w14:paraId="369BAB26" w14:textId="25DEF6FA" w:rsidR="007A5442" w:rsidRPr="00524435" w:rsidRDefault="007A5442" w:rsidP="00C33359">
            <w:pPr>
              <w:rPr>
                <w:rFonts w:ascii="Cambria" w:hAnsi="Cambria" w:cs="Cambria"/>
                <w:color w:val="000000" w:themeColor="text1"/>
                <w:sz w:val="18"/>
                <w:szCs w:val="18"/>
              </w:rPr>
            </w:pPr>
            <w:bookmarkStart w:id="54" w:name="_Hlk91002313"/>
            <w:r w:rsidRPr="00524435">
              <w:rPr>
                <w:rFonts w:ascii="Cambria" w:hAnsi="Cambria" w:cs="Cambria"/>
                <w:color w:val="000000" w:themeColor="text1"/>
                <w:sz w:val="18"/>
                <w:szCs w:val="18"/>
              </w:rPr>
              <w:t>Case</w:t>
            </w:r>
            <w:r w:rsidRPr="00524435">
              <w:rPr>
                <w:rFonts w:ascii="Cambria" w:hAnsi="Cambria" w:cs="Calibri"/>
                <w:color w:val="000000" w:themeColor="text1"/>
                <w:sz w:val="18"/>
                <w:szCs w:val="18"/>
              </w:rPr>
              <w:t xml:space="preserve"> 12.545, Report de </w:t>
            </w:r>
            <w:proofErr w:type="spellStart"/>
            <w:r w:rsidRPr="00524435">
              <w:rPr>
                <w:rFonts w:ascii="Cambria" w:hAnsi="Cambria" w:cs="Calibri"/>
                <w:color w:val="000000" w:themeColor="text1"/>
                <w:sz w:val="18"/>
                <w:szCs w:val="18"/>
              </w:rPr>
              <w:t>Fondo</w:t>
            </w:r>
            <w:proofErr w:type="spellEnd"/>
            <w:r w:rsidRPr="00524435">
              <w:rPr>
                <w:rFonts w:ascii="Cambria" w:hAnsi="Cambria" w:cs="Calibri"/>
                <w:color w:val="000000" w:themeColor="text1"/>
                <w:sz w:val="18"/>
                <w:szCs w:val="18"/>
              </w:rPr>
              <w:t xml:space="preserve"> Nº 26/20, </w:t>
            </w:r>
            <w:r w:rsidRPr="00524435">
              <w:rPr>
                <w:rFonts w:ascii="Cambria" w:hAnsi="Cambria"/>
                <w:bCs/>
                <w:color w:val="000000" w:themeColor="text1"/>
                <w:sz w:val="18"/>
                <w:szCs w:val="18"/>
              </w:rPr>
              <w:t xml:space="preserve">Isamu Carlos </w:t>
            </w:r>
            <w:proofErr w:type="spellStart"/>
            <w:r w:rsidRPr="00524435">
              <w:rPr>
                <w:rFonts w:ascii="Cambria" w:hAnsi="Cambria"/>
                <w:bCs/>
                <w:color w:val="000000" w:themeColor="text1"/>
                <w:sz w:val="18"/>
                <w:szCs w:val="18"/>
              </w:rPr>
              <w:t>Shibayama</w:t>
            </w:r>
            <w:proofErr w:type="spellEnd"/>
            <w:r w:rsidRPr="00524435">
              <w:rPr>
                <w:rFonts w:ascii="Cambria" w:hAnsi="Cambria"/>
                <w:bCs/>
                <w:color w:val="000000" w:themeColor="text1"/>
                <w:sz w:val="18"/>
                <w:szCs w:val="18"/>
              </w:rPr>
              <w:t xml:space="preserve">, Kenichi Javier </w:t>
            </w:r>
            <w:proofErr w:type="spellStart"/>
            <w:r w:rsidRPr="00524435">
              <w:rPr>
                <w:rFonts w:ascii="Cambria" w:hAnsi="Cambria"/>
                <w:bCs/>
                <w:color w:val="000000" w:themeColor="text1"/>
                <w:sz w:val="18"/>
                <w:szCs w:val="18"/>
              </w:rPr>
              <w:t>Shibayama</w:t>
            </w:r>
            <w:proofErr w:type="spellEnd"/>
            <w:r w:rsidRPr="00524435">
              <w:rPr>
                <w:rFonts w:ascii="Cambria" w:hAnsi="Cambria"/>
                <w:bCs/>
                <w:color w:val="000000" w:themeColor="text1"/>
                <w:sz w:val="18"/>
                <w:szCs w:val="18"/>
              </w:rPr>
              <w:t xml:space="preserve">, Takeshi Jorge </w:t>
            </w:r>
            <w:proofErr w:type="spellStart"/>
            <w:r w:rsidRPr="00524435">
              <w:rPr>
                <w:rFonts w:ascii="Cambria" w:hAnsi="Cambria"/>
                <w:bCs/>
                <w:color w:val="000000" w:themeColor="text1"/>
                <w:sz w:val="18"/>
                <w:szCs w:val="18"/>
              </w:rPr>
              <w:t>Shibayama</w:t>
            </w:r>
            <w:proofErr w:type="spellEnd"/>
            <w:r w:rsidRPr="00524435">
              <w:rPr>
                <w:rFonts w:ascii="Cambria" w:hAnsi="Cambria"/>
                <w:bCs/>
                <w:color w:val="000000" w:themeColor="text1"/>
                <w:sz w:val="18"/>
                <w:szCs w:val="18"/>
              </w:rPr>
              <w:t xml:space="preserve"> </w:t>
            </w:r>
            <w:r w:rsidRPr="00524435">
              <w:rPr>
                <w:rFonts w:ascii="Cambria" w:hAnsi="Cambria" w:cs="Cambria"/>
                <w:color w:val="000000" w:themeColor="text1"/>
                <w:sz w:val="18"/>
                <w:szCs w:val="18"/>
              </w:rPr>
              <w:t>(United States)</w:t>
            </w:r>
            <w:bookmarkEnd w:id="54"/>
          </w:p>
        </w:tc>
        <w:tc>
          <w:tcPr>
            <w:tcW w:w="1125" w:type="dxa"/>
          </w:tcPr>
          <w:p w14:paraId="0D019392" w14:textId="48991B7F" w:rsidR="007A5442" w:rsidRPr="00524435" w:rsidRDefault="00855C51" w:rsidP="00C33359">
            <w:pPr>
              <w:jc w:val="center"/>
              <w:rPr>
                <w:rFonts w:ascii="Cambria" w:hAnsi="Cambria"/>
                <w:color w:val="000000" w:themeColor="text1"/>
                <w:sz w:val="18"/>
                <w:szCs w:val="18"/>
              </w:rPr>
            </w:pPr>
            <w:hyperlink r:id="rId191" w:history="1">
              <w:r w:rsidR="007A5442" w:rsidRPr="00855C51">
                <w:rPr>
                  <w:rStyle w:val="Hyperlink"/>
                  <w:rFonts w:ascii="Cambria" w:hAnsi="Cambria" w:cs="Cambria"/>
                  <w:sz w:val="18"/>
                  <w:szCs w:val="18"/>
                </w:rPr>
                <w:t>Link</w:t>
              </w:r>
            </w:hyperlink>
          </w:p>
        </w:tc>
        <w:tc>
          <w:tcPr>
            <w:tcW w:w="1275" w:type="dxa"/>
          </w:tcPr>
          <w:p w14:paraId="5A7C5562"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1086F573" w14:textId="5CDB0C86"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482F31A"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4EB4FA5F"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0FF5E4C2" w14:textId="77777777" w:rsidR="007A5442" w:rsidRPr="00524435" w:rsidRDefault="007A5442" w:rsidP="00C33359">
            <w:pPr>
              <w:jc w:val="center"/>
              <w:rPr>
                <w:rFonts w:ascii="Cambria" w:hAnsi="Cambria" w:cs="Cambria"/>
                <w:color w:val="000000" w:themeColor="text1"/>
                <w:sz w:val="18"/>
                <w:szCs w:val="18"/>
              </w:rPr>
            </w:pPr>
            <w:r w:rsidRPr="00524435">
              <w:rPr>
                <w:rFonts w:ascii="Cambria" w:hAnsi="Cambria" w:cs="Cambria"/>
                <w:color w:val="000000" w:themeColor="text1"/>
                <w:sz w:val="18"/>
                <w:szCs w:val="18"/>
              </w:rPr>
              <w:t>Open</w:t>
            </w:r>
          </w:p>
        </w:tc>
      </w:tr>
      <w:tr w:rsidR="00796A41" w:rsidRPr="00524435" w14:paraId="130F3708" w14:textId="77777777" w:rsidTr="00D300E5">
        <w:trPr>
          <w:cnfStyle w:val="000000010000" w:firstRow="0" w:lastRow="0" w:firstColumn="0" w:lastColumn="0" w:oddVBand="0" w:evenVBand="0" w:oddHBand="0" w:evenHBand="1" w:firstRowFirstColumn="0" w:firstRowLastColumn="0" w:lastRowFirstColumn="0" w:lastRowLastColumn="0"/>
          <w:trHeight w:val="450"/>
        </w:trPr>
        <w:tc>
          <w:tcPr>
            <w:tcW w:w="2251" w:type="dxa"/>
          </w:tcPr>
          <w:p w14:paraId="5A6492C9" w14:textId="77777777" w:rsidR="007A5442" w:rsidRPr="00524435" w:rsidRDefault="007A5442" w:rsidP="00C33359">
            <w:pPr>
              <w:rPr>
                <w:rFonts w:ascii="Cambria" w:hAnsi="Cambria" w:cs="Cambria"/>
                <w:color w:val="000000" w:themeColor="text1"/>
                <w:sz w:val="18"/>
                <w:szCs w:val="18"/>
              </w:rPr>
            </w:pPr>
            <w:r w:rsidRPr="00524435">
              <w:rPr>
                <w:rFonts w:ascii="Cambria" w:hAnsi="Cambria" w:cs="Cambria"/>
                <w:color w:val="000000" w:themeColor="text1"/>
                <w:sz w:val="18"/>
                <w:szCs w:val="18"/>
              </w:rPr>
              <w:t xml:space="preserve">Case 11.500, Report No. 124/06, Tomás Eduardo </w:t>
            </w:r>
            <w:proofErr w:type="spellStart"/>
            <w:r w:rsidRPr="00524435">
              <w:rPr>
                <w:rFonts w:ascii="Cambria" w:hAnsi="Cambria" w:cs="Cambria"/>
                <w:color w:val="000000" w:themeColor="text1"/>
                <w:sz w:val="18"/>
                <w:szCs w:val="18"/>
              </w:rPr>
              <w:t>Cirio</w:t>
            </w:r>
            <w:proofErr w:type="spellEnd"/>
            <w:r w:rsidRPr="00524435">
              <w:rPr>
                <w:rFonts w:ascii="Cambria" w:hAnsi="Cambria" w:cs="Cambria"/>
                <w:color w:val="000000" w:themeColor="text1"/>
                <w:sz w:val="18"/>
                <w:szCs w:val="18"/>
              </w:rPr>
              <w:t xml:space="preserve"> (Uruguay)</w:t>
            </w:r>
            <w:r w:rsidRPr="00524435">
              <w:rPr>
                <w:rFonts w:ascii="Cambria" w:hAnsi="Cambria" w:cs="Cambria"/>
                <w:color w:val="000000" w:themeColor="text1"/>
                <w:sz w:val="18"/>
                <w:szCs w:val="18"/>
                <w:vertAlign w:val="superscript"/>
              </w:rPr>
              <w:footnoteReference w:id="140"/>
            </w:r>
          </w:p>
        </w:tc>
        <w:tc>
          <w:tcPr>
            <w:tcW w:w="1125" w:type="dxa"/>
          </w:tcPr>
          <w:p w14:paraId="5F600BA0" w14:textId="77777777" w:rsidR="007A5442" w:rsidRPr="00524435" w:rsidRDefault="007A5442" w:rsidP="00C33359">
            <w:pPr>
              <w:ind w:left="72"/>
              <w:jc w:val="center"/>
              <w:rPr>
                <w:rFonts w:ascii="Cambria" w:hAnsi="Cambria"/>
                <w:color w:val="000000" w:themeColor="text1"/>
                <w:sz w:val="18"/>
                <w:szCs w:val="18"/>
                <w:u w:val="single"/>
                <w:lang w:eastAsia="es-ES_tradnl"/>
              </w:rPr>
            </w:pPr>
          </w:p>
        </w:tc>
        <w:tc>
          <w:tcPr>
            <w:tcW w:w="1275" w:type="dxa"/>
          </w:tcPr>
          <w:p w14:paraId="4C8C3A72" w14:textId="77777777" w:rsidR="007A5442" w:rsidRPr="00524435" w:rsidRDefault="007A5442" w:rsidP="00C33359">
            <w:pPr>
              <w:ind w:left="72"/>
              <w:jc w:val="center"/>
              <w:rPr>
                <w:rFonts w:ascii="Cambria" w:hAnsi="Cambria" w:cs="Cambria"/>
                <w:color w:val="000000" w:themeColor="text1"/>
                <w:sz w:val="18"/>
                <w:szCs w:val="18"/>
                <w:lang w:eastAsia="es-ES_tradnl"/>
              </w:rPr>
            </w:pPr>
          </w:p>
        </w:tc>
        <w:tc>
          <w:tcPr>
            <w:tcW w:w="1275" w:type="dxa"/>
          </w:tcPr>
          <w:p w14:paraId="02AAD477" w14:textId="6EE46F3C" w:rsidR="007A5442" w:rsidRPr="00524435" w:rsidRDefault="007A5442" w:rsidP="00C33359">
            <w:pPr>
              <w:ind w:left="72"/>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6EA59CD0"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627DD19F" w14:textId="77777777" w:rsidR="007A5442" w:rsidRPr="00524435" w:rsidRDefault="007A5442" w:rsidP="00C33359">
            <w:pPr>
              <w:jc w:val="center"/>
              <w:rPr>
                <w:rFonts w:ascii="Cambria" w:hAnsi="Cambria"/>
                <w:color w:val="000000" w:themeColor="text1"/>
                <w:sz w:val="18"/>
                <w:szCs w:val="18"/>
                <w:lang w:eastAsia="es-ES_tradnl"/>
              </w:rPr>
            </w:pPr>
          </w:p>
        </w:tc>
        <w:tc>
          <w:tcPr>
            <w:tcW w:w="1275" w:type="dxa"/>
          </w:tcPr>
          <w:p w14:paraId="0FDFAD7C"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Closed</w:t>
            </w:r>
          </w:p>
        </w:tc>
      </w:tr>
      <w:tr w:rsidR="00796A41" w:rsidRPr="00524435" w14:paraId="75192453" w14:textId="77777777" w:rsidTr="00D300E5">
        <w:trPr>
          <w:cnfStyle w:val="000000100000" w:firstRow="0" w:lastRow="0" w:firstColumn="0" w:lastColumn="0" w:oddVBand="0" w:evenVBand="0" w:oddHBand="1" w:evenHBand="0" w:firstRowFirstColumn="0" w:firstRowLastColumn="0" w:lastRowFirstColumn="0" w:lastRowLastColumn="0"/>
          <w:trHeight w:val="37"/>
        </w:trPr>
        <w:tc>
          <w:tcPr>
            <w:tcW w:w="2251" w:type="dxa"/>
          </w:tcPr>
          <w:p w14:paraId="49BEDE3C" w14:textId="77777777" w:rsidR="007A5442" w:rsidRPr="007A5442" w:rsidRDefault="007A5442" w:rsidP="00C33359">
            <w:pPr>
              <w:rPr>
                <w:rFonts w:ascii="Cambria" w:hAnsi="Cambria" w:cs="Cambria"/>
                <w:color w:val="000000" w:themeColor="text1"/>
                <w:sz w:val="18"/>
                <w:szCs w:val="18"/>
                <w:lang w:val="pt-PT"/>
              </w:rPr>
            </w:pPr>
            <w:r w:rsidRPr="007A5442">
              <w:rPr>
                <w:rFonts w:ascii="Cambria" w:hAnsi="Cambria" w:cs="Cambria"/>
                <w:color w:val="000000" w:themeColor="text1"/>
                <w:sz w:val="18"/>
                <w:szCs w:val="18"/>
                <w:lang w:val="pt-PT"/>
              </w:rPr>
              <w:lastRenderedPageBreak/>
              <w:t>Case 12.553, Report No. 86/09, Jorge, José and Dante Peirano Basso (Uruguay)</w:t>
            </w:r>
          </w:p>
        </w:tc>
        <w:tc>
          <w:tcPr>
            <w:tcW w:w="1125" w:type="dxa"/>
          </w:tcPr>
          <w:p w14:paraId="3A6083B5" w14:textId="37EDB783" w:rsidR="007A5442" w:rsidRPr="00524435" w:rsidRDefault="006B7403" w:rsidP="00C33359">
            <w:pPr>
              <w:ind w:left="72"/>
              <w:jc w:val="center"/>
              <w:rPr>
                <w:rFonts w:ascii="Cambria" w:hAnsi="Cambria"/>
                <w:color w:val="000000" w:themeColor="text1"/>
                <w:sz w:val="18"/>
                <w:szCs w:val="18"/>
                <w:lang w:eastAsia="es-ES_tradnl"/>
              </w:rPr>
            </w:pPr>
            <w:hyperlink r:id="rId192" w:history="1">
              <w:r w:rsidR="007A5442" w:rsidRPr="00524435">
                <w:rPr>
                  <w:rStyle w:val="Hyperlink"/>
                  <w:rFonts w:ascii="Cambria" w:hAnsi="Cambria" w:cs="Cambria"/>
                  <w:color w:val="000000" w:themeColor="text1"/>
                  <w:sz w:val="18"/>
                  <w:szCs w:val="18"/>
                  <w:lang w:eastAsia="es-ES_tradnl"/>
                </w:rPr>
                <w:t>Link</w:t>
              </w:r>
            </w:hyperlink>
          </w:p>
        </w:tc>
        <w:tc>
          <w:tcPr>
            <w:tcW w:w="1275" w:type="dxa"/>
          </w:tcPr>
          <w:p w14:paraId="4E086486" w14:textId="77777777"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23A97D6A" w14:textId="3AAB05C0" w:rsidR="007A5442" w:rsidRPr="00524435" w:rsidRDefault="007A5442" w:rsidP="00C33359">
            <w:pPr>
              <w:ind w:left="72"/>
              <w:jc w:val="center"/>
              <w:rPr>
                <w:rFonts w:ascii="Cambria" w:hAnsi="Cambria"/>
                <w:color w:val="000000" w:themeColor="text1"/>
                <w:sz w:val="18"/>
                <w:szCs w:val="18"/>
                <w:lang w:eastAsia="es-ES_tradnl"/>
              </w:rPr>
            </w:pPr>
          </w:p>
        </w:tc>
        <w:tc>
          <w:tcPr>
            <w:tcW w:w="1275" w:type="dxa"/>
          </w:tcPr>
          <w:p w14:paraId="383D0A00" w14:textId="77777777" w:rsidR="007A5442" w:rsidRPr="00524435" w:rsidRDefault="007A5442" w:rsidP="00C33359">
            <w:pPr>
              <w:jc w:val="center"/>
              <w:rPr>
                <w:rFonts w:ascii="Cambria" w:hAnsi="Cambria" w:cs="Cambria"/>
                <w:color w:val="000000" w:themeColor="text1"/>
                <w:sz w:val="18"/>
                <w:szCs w:val="18"/>
                <w:lang w:eastAsia="es-ES_tradnl"/>
              </w:rPr>
            </w:pPr>
            <w:r w:rsidRPr="00524435">
              <w:rPr>
                <w:rFonts w:ascii="Cambria" w:hAnsi="Cambria" w:cs="Cambria"/>
                <w:color w:val="000000" w:themeColor="text1"/>
                <w:sz w:val="18"/>
                <w:szCs w:val="18"/>
                <w:lang w:eastAsia="es-ES_tradnl"/>
              </w:rPr>
              <w:t>X</w:t>
            </w:r>
          </w:p>
        </w:tc>
        <w:tc>
          <w:tcPr>
            <w:tcW w:w="1275" w:type="dxa"/>
          </w:tcPr>
          <w:p w14:paraId="18B56836" w14:textId="77777777" w:rsidR="007A5442" w:rsidRPr="00524435" w:rsidRDefault="007A5442" w:rsidP="00C33359">
            <w:pPr>
              <w:jc w:val="center"/>
              <w:rPr>
                <w:rFonts w:ascii="Cambria" w:hAnsi="Cambria" w:cs="Cambria"/>
                <w:color w:val="000000" w:themeColor="text1"/>
                <w:sz w:val="18"/>
                <w:szCs w:val="18"/>
                <w:lang w:eastAsia="es-ES_tradnl"/>
              </w:rPr>
            </w:pPr>
          </w:p>
        </w:tc>
        <w:tc>
          <w:tcPr>
            <w:tcW w:w="1275" w:type="dxa"/>
          </w:tcPr>
          <w:p w14:paraId="026B9AAA" w14:textId="77777777" w:rsidR="007A5442" w:rsidRPr="00524435" w:rsidRDefault="007A5442" w:rsidP="00C33359">
            <w:pPr>
              <w:jc w:val="center"/>
              <w:rPr>
                <w:rFonts w:ascii="Cambria" w:hAnsi="Cambria"/>
                <w:color w:val="000000" w:themeColor="text1"/>
                <w:sz w:val="18"/>
                <w:szCs w:val="18"/>
                <w:lang w:eastAsia="es-ES_tradnl"/>
              </w:rPr>
            </w:pPr>
            <w:r w:rsidRPr="00524435">
              <w:rPr>
                <w:rFonts w:ascii="Cambria" w:hAnsi="Cambria" w:cs="Cambria"/>
                <w:color w:val="000000" w:themeColor="text1"/>
                <w:sz w:val="18"/>
                <w:szCs w:val="18"/>
              </w:rPr>
              <w:t>Open</w:t>
            </w:r>
          </w:p>
        </w:tc>
      </w:tr>
      <w:tr w:rsidR="00761314" w:rsidRPr="00524435" w14:paraId="7AD5AF47" w14:textId="77777777" w:rsidTr="00D300E5">
        <w:trPr>
          <w:cnfStyle w:val="000000010000" w:firstRow="0" w:lastRow="0" w:firstColumn="0" w:lastColumn="0" w:oddVBand="0" w:evenVBand="0" w:oddHBand="0" w:evenHBand="1" w:firstRowFirstColumn="0" w:firstRowLastColumn="0" w:lastRowFirstColumn="0" w:lastRowLastColumn="0"/>
          <w:trHeight w:val="261"/>
        </w:trPr>
        <w:tc>
          <w:tcPr>
            <w:tcW w:w="2251" w:type="dxa"/>
            <w:vMerge w:val="restart"/>
          </w:tcPr>
          <w:p w14:paraId="609389AD" w14:textId="415BC510" w:rsidR="00761314" w:rsidRPr="00524435" w:rsidRDefault="00761314" w:rsidP="00C33359">
            <w:pPr>
              <w:jc w:val="center"/>
              <w:rPr>
                <w:rFonts w:ascii="Cambria" w:hAnsi="Cambria" w:cs="Cambria"/>
                <w:b/>
                <w:bCs/>
                <w:color w:val="000000" w:themeColor="text1"/>
                <w:sz w:val="18"/>
                <w:szCs w:val="18"/>
              </w:rPr>
            </w:pPr>
            <w:bookmarkStart w:id="55" w:name="_Hlk99544475"/>
            <w:r w:rsidRPr="00524435">
              <w:rPr>
                <w:rFonts w:ascii="Cambria" w:hAnsi="Cambria" w:cs="Cambria"/>
                <w:b/>
                <w:bCs/>
                <w:color w:val="000000" w:themeColor="text1"/>
                <w:sz w:val="18"/>
                <w:szCs w:val="18"/>
              </w:rPr>
              <w:br/>
              <w:t>Total: 124</w:t>
            </w:r>
          </w:p>
        </w:tc>
        <w:tc>
          <w:tcPr>
            <w:tcW w:w="1125" w:type="dxa"/>
            <w:vMerge w:val="restart"/>
          </w:tcPr>
          <w:p w14:paraId="171596A1" w14:textId="77777777" w:rsidR="00761314" w:rsidRPr="00524435" w:rsidRDefault="00761314" w:rsidP="00C33359">
            <w:pPr>
              <w:ind w:left="72"/>
              <w:jc w:val="center"/>
              <w:rPr>
                <w:rFonts w:ascii="Cambria" w:hAnsi="Cambria"/>
                <w:b/>
                <w:bCs/>
                <w:color w:val="000000" w:themeColor="text1"/>
                <w:sz w:val="18"/>
                <w:szCs w:val="18"/>
                <w:lang w:eastAsia="es-ES_tradnl"/>
              </w:rPr>
            </w:pPr>
          </w:p>
        </w:tc>
        <w:tc>
          <w:tcPr>
            <w:tcW w:w="1275" w:type="dxa"/>
            <w:vMerge w:val="restart"/>
          </w:tcPr>
          <w:p w14:paraId="6EF4D608" w14:textId="4360E957" w:rsidR="00761314" w:rsidRPr="00524435" w:rsidRDefault="00761314" w:rsidP="00C33359">
            <w:pPr>
              <w:ind w:left="72"/>
              <w:jc w:val="center"/>
              <w:rPr>
                <w:rFonts w:ascii="Cambria" w:hAnsi="Cambria" w:cs="Cambria"/>
                <w:b/>
                <w:bCs/>
                <w:color w:val="000000" w:themeColor="text1"/>
                <w:sz w:val="18"/>
                <w:szCs w:val="18"/>
                <w:lang w:eastAsia="es-ES_tradnl"/>
              </w:rPr>
            </w:pPr>
            <w:r w:rsidRPr="00761314">
              <w:rPr>
                <w:rFonts w:ascii="Cambria" w:hAnsi="Cambria" w:cs="Cambria"/>
                <w:b/>
                <w:bCs/>
                <w:color w:val="000000" w:themeColor="text1"/>
                <w:sz w:val="18"/>
                <w:szCs w:val="18"/>
                <w:lang w:eastAsia="es-ES_tradnl"/>
              </w:rPr>
              <w:t>In process of determining level of compliance</w:t>
            </w:r>
            <w:r>
              <w:rPr>
                <w:rFonts w:ascii="Cambria" w:hAnsi="Cambria" w:cs="Cambria"/>
                <w:b/>
                <w:bCs/>
                <w:color w:val="000000" w:themeColor="text1"/>
                <w:sz w:val="18"/>
                <w:szCs w:val="18"/>
                <w:lang w:eastAsia="es-ES_tradnl"/>
              </w:rPr>
              <w:t>: 1</w:t>
            </w:r>
          </w:p>
        </w:tc>
        <w:tc>
          <w:tcPr>
            <w:tcW w:w="1275" w:type="dxa"/>
            <w:vMerge w:val="restart"/>
          </w:tcPr>
          <w:p w14:paraId="32405DBB" w14:textId="3305575A" w:rsidR="00761314" w:rsidRPr="00524435" w:rsidRDefault="00761314" w:rsidP="00C33359">
            <w:pPr>
              <w:ind w:left="72"/>
              <w:jc w:val="center"/>
              <w:rPr>
                <w:rFonts w:ascii="Cambria" w:hAnsi="Cambria" w:cs="Cambria"/>
                <w:b/>
                <w:bCs/>
                <w:color w:val="000000" w:themeColor="text1"/>
                <w:sz w:val="18"/>
                <w:szCs w:val="18"/>
                <w:lang w:eastAsia="es-ES_tradnl"/>
              </w:rPr>
            </w:pPr>
            <w:r w:rsidRPr="00524435">
              <w:rPr>
                <w:rFonts w:ascii="Cambria" w:hAnsi="Cambria" w:cs="Cambria"/>
                <w:b/>
                <w:bCs/>
                <w:color w:val="000000" w:themeColor="text1"/>
                <w:sz w:val="18"/>
                <w:szCs w:val="18"/>
                <w:lang w:eastAsia="es-ES_tradnl"/>
              </w:rPr>
              <w:t>Total compliance: 9</w:t>
            </w:r>
          </w:p>
        </w:tc>
        <w:tc>
          <w:tcPr>
            <w:tcW w:w="1275" w:type="dxa"/>
            <w:vMerge w:val="restart"/>
          </w:tcPr>
          <w:p w14:paraId="6A588E19" w14:textId="6AD2C8A2" w:rsidR="00761314" w:rsidRPr="00524435" w:rsidRDefault="00761314" w:rsidP="00C33359">
            <w:pPr>
              <w:jc w:val="center"/>
              <w:rPr>
                <w:rFonts w:ascii="Cambria" w:hAnsi="Cambria" w:cs="Cambria"/>
                <w:b/>
                <w:bCs/>
                <w:color w:val="000000" w:themeColor="text1"/>
                <w:sz w:val="18"/>
                <w:szCs w:val="18"/>
                <w:lang w:eastAsia="es-ES_tradnl"/>
              </w:rPr>
            </w:pPr>
            <w:r w:rsidRPr="00524435">
              <w:rPr>
                <w:rFonts w:ascii="Cambria" w:hAnsi="Cambria" w:cs="Cambria"/>
                <w:b/>
                <w:bCs/>
                <w:color w:val="000000" w:themeColor="text1"/>
                <w:sz w:val="18"/>
                <w:szCs w:val="18"/>
                <w:lang w:eastAsia="es-ES_tradnl"/>
              </w:rPr>
              <w:t>Partial compliance: 91</w:t>
            </w:r>
          </w:p>
        </w:tc>
        <w:tc>
          <w:tcPr>
            <w:tcW w:w="1275" w:type="dxa"/>
            <w:vMerge w:val="restart"/>
          </w:tcPr>
          <w:p w14:paraId="625033A4" w14:textId="77777777" w:rsidR="00761314" w:rsidRPr="00524435" w:rsidRDefault="00761314" w:rsidP="00C33359">
            <w:pPr>
              <w:jc w:val="center"/>
              <w:rPr>
                <w:rFonts w:ascii="Cambria" w:hAnsi="Cambria" w:cs="Cambria"/>
                <w:b/>
                <w:bCs/>
                <w:color w:val="000000" w:themeColor="text1"/>
                <w:sz w:val="18"/>
                <w:szCs w:val="18"/>
                <w:lang w:eastAsia="es-ES_tradnl"/>
              </w:rPr>
            </w:pPr>
            <w:r w:rsidRPr="00524435">
              <w:rPr>
                <w:rFonts w:ascii="Cambria" w:hAnsi="Cambria" w:cs="Cambria"/>
                <w:b/>
                <w:bCs/>
                <w:color w:val="000000" w:themeColor="text1"/>
                <w:sz w:val="18"/>
                <w:szCs w:val="18"/>
                <w:lang w:eastAsia="es-ES_tradnl"/>
              </w:rPr>
              <w:t>Pending compliance: 23</w:t>
            </w:r>
          </w:p>
        </w:tc>
        <w:tc>
          <w:tcPr>
            <w:tcW w:w="1275" w:type="dxa"/>
          </w:tcPr>
          <w:p w14:paraId="39D9FD42" w14:textId="560AA51D" w:rsidR="00761314" w:rsidRPr="00524435" w:rsidRDefault="00761314" w:rsidP="00C33359">
            <w:pPr>
              <w:jc w:val="center"/>
              <w:rPr>
                <w:rFonts w:ascii="Cambria" w:hAnsi="Cambria"/>
                <w:color w:val="000000" w:themeColor="text1"/>
                <w:sz w:val="18"/>
                <w:szCs w:val="18"/>
                <w:lang w:eastAsia="es-ES_tradnl"/>
              </w:rPr>
            </w:pPr>
            <w:proofErr w:type="gramStart"/>
            <w:r w:rsidRPr="00524435">
              <w:rPr>
                <w:rFonts w:ascii="Cambria" w:hAnsi="Cambria" w:cs="Cambria"/>
                <w:b/>
                <w:bCs/>
                <w:color w:val="000000" w:themeColor="text1"/>
                <w:sz w:val="18"/>
                <w:szCs w:val="18"/>
                <w:lang w:eastAsia="es-ES_tradnl"/>
              </w:rPr>
              <w:t>Open :</w:t>
            </w:r>
            <w:proofErr w:type="gramEnd"/>
            <w:r w:rsidRPr="00524435">
              <w:rPr>
                <w:rFonts w:ascii="Cambria" w:hAnsi="Cambria" w:cs="Cambria"/>
                <w:b/>
                <w:bCs/>
                <w:color w:val="000000" w:themeColor="text1"/>
                <w:sz w:val="18"/>
                <w:szCs w:val="18"/>
                <w:lang w:eastAsia="es-ES_tradnl"/>
              </w:rPr>
              <w:t xml:space="preserve"> 114</w:t>
            </w:r>
          </w:p>
        </w:tc>
      </w:tr>
      <w:bookmarkEnd w:id="55"/>
      <w:tr w:rsidR="00761314" w:rsidRPr="00524435" w14:paraId="2E63CA23" w14:textId="77777777" w:rsidTr="00D300E5">
        <w:trPr>
          <w:cnfStyle w:val="000000100000" w:firstRow="0" w:lastRow="0" w:firstColumn="0" w:lastColumn="0" w:oddVBand="0" w:evenVBand="0" w:oddHBand="1" w:evenHBand="0" w:firstRowFirstColumn="0" w:firstRowLastColumn="0" w:lastRowFirstColumn="0" w:lastRowLastColumn="0"/>
          <w:trHeight w:val="260"/>
        </w:trPr>
        <w:tc>
          <w:tcPr>
            <w:tcW w:w="2251" w:type="dxa"/>
            <w:vMerge/>
          </w:tcPr>
          <w:p w14:paraId="72B242FB" w14:textId="77777777" w:rsidR="00761314" w:rsidRPr="00524435" w:rsidRDefault="00761314" w:rsidP="00C33359">
            <w:pPr>
              <w:jc w:val="center"/>
              <w:rPr>
                <w:rFonts w:ascii="Cambria" w:hAnsi="Cambria" w:cs="Cambria"/>
                <w:b/>
                <w:bCs/>
                <w:color w:val="000000" w:themeColor="text1"/>
                <w:sz w:val="18"/>
                <w:szCs w:val="18"/>
              </w:rPr>
            </w:pPr>
          </w:p>
        </w:tc>
        <w:tc>
          <w:tcPr>
            <w:tcW w:w="1125" w:type="dxa"/>
            <w:vMerge/>
          </w:tcPr>
          <w:p w14:paraId="3BC091B1" w14:textId="77777777" w:rsidR="00761314" w:rsidRPr="00524435" w:rsidRDefault="00761314" w:rsidP="00C33359">
            <w:pPr>
              <w:ind w:left="72"/>
              <w:jc w:val="center"/>
              <w:rPr>
                <w:rFonts w:ascii="Cambria" w:hAnsi="Cambria"/>
                <w:b/>
                <w:bCs/>
                <w:color w:val="000000" w:themeColor="text1"/>
                <w:sz w:val="18"/>
                <w:szCs w:val="18"/>
                <w:lang w:eastAsia="es-ES_tradnl"/>
              </w:rPr>
            </w:pPr>
          </w:p>
        </w:tc>
        <w:tc>
          <w:tcPr>
            <w:tcW w:w="1275" w:type="dxa"/>
            <w:vMerge/>
          </w:tcPr>
          <w:p w14:paraId="15BD88A5" w14:textId="77E48E70" w:rsidR="00761314" w:rsidRPr="00524435" w:rsidRDefault="00761314" w:rsidP="00C33359">
            <w:pPr>
              <w:ind w:left="72"/>
              <w:jc w:val="center"/>
              <w:rPr>
                <w:rFonts w:ascii="Cambria" w:hAnsi="Cambria"/>
                <w:b/>
                <w:bCs/>
                <w:color w:val="000000" w:themeColor="text1"/>
                <w:sz w:val="18"/>
                <w:szCs w:val="18"/>
                <w:lang w:eastAsia="es-ES_tradnl"/>
              </w:rPr>
            </w:pPr>
          </w:p>
        </w:tc>
        <w:tc>
          <w:tcPr>
            <w:tcW w:w="1275" w:type="dxa"/>
            <w:vMerge/>
          </w:tcPr>
          <w:p w14:paraId="65A20C8A" w14:textId="41C3F5E7" w:rsidR="00761314" w:rsidRPr="00524435" w:rsidRDefault="00761314" w:rsidP="00C33359">
            <w:pPr>
              <w:ind w:left="72"/>
              <w:jc w:val="center"/>
              <w:rPr>
                <w:rFonts w:ascii="Cambria" w:hAnsi="Cambria"/>
                <w:b/>
                <w:bCs/>
                <w:color w:val="000000" w:themeColor="text1"/>
                <w:sz w:val="18"/>
                <w:szCs w:val="18"/>
                <w:lang w:eastAsia="es-ES_tradnl"/>
              </w:rPr>
            </w:pPr>
          </w:p>
        </w:tc>
        <w:tc>
          <w:tcPr>
            <w:tcW w:w="1275" w:type="dxa"/>
            <w:vMerge/>
          </w:tcPr>
          <w:p w14:paraId="14C7F0CA" w14:textId="77777777" w:rsidR="00761314" w:rsidRPr="00524435" w:rsidRDefault="00761314" w:rsidP="00C33359">
            <w:pPr>
              <w:jc w:val="center"/>
              <w:rPr>
                <w:rFonts w:ascii="Cambria" w:hAnsi="Cambria"/>
                <w:b/>
                <w:bCs/>
                <w:color w:val="000000" w:themeColor="text1"/>
                <w:sz w:val="18"/>
                <w:szCs w:val="18"/>
                <w:lang w:eastAsia="es-ES_tradnl"/>
              </w:rPr>
            </w:pPr>
          </w:p>
        </w:tc>
        <w:tc>
          <w:tcPr>
            <w:tcW w:w="1275" w:type="dxa"/>
            <w:vMerge/>
          </w:tcPr>
          <w:p w14:paraId="556D2303" w14:textId="77777777" w:rsidR="00761314" w:rsidRPr="00524435" w:rsidRDefault="00761314" w:rsidP="00C33359">
            <w:pPr>
              <w:jc w:val="center"/>
              <w:rPr>
                <w:rFonts w:ascii="Cambria" w:hAnsi="Cambria"/>
                <w:b/>
                <w:bCs/>
                <w:color w:val="000000" w:themeColor="text1"/>
                <w:sz w:val="18"/>
                <w:szCs w:val="18"/>
                <w:lang w:eastAsia="es-ES_tradnl"/>
              </w:rPr>
            </w:pPr>
          </w:p>
        </w:tc>
        <w:tc>
          <w:tcPr>
            <w:tcW w:w="1275" w:type="dxa"/>
          </w:tcPr>
          <w:p w14:paraId="56E51BAE" w14:textId="77777777" w:rsidR="00761314" w:rsidRPr="00524435" w:rsidRDefault="00761314" w:rsidP="00C33359">
            <w:pPr>
              <w:rPr>
                <w:rFonts w:ascii="Cambria" w:hAnsi="Cambria" w:cs="Cambria"/>
                <w:b/>
                <w:bCs/>
                <w:color w:val="000000" w:themeColor="text1"/>
                <w:sz w:val="18"/>
                <w:szCs w:val="18"/>
                <w:lang w:eastAsia="es-ES_tradnl"/>
              </w:rPr>
            </w:pPr>
            <w:r w:rsidRPr="00524435">
              <w:rPr>
                <w:rFonts w:ascii="Cambria" w:hAnsi="Cambria" w:cs="Cambria"/>
                <w:b/>
                <w:bCs/>
                <w:color w:val="000000" w:themeColor="text1"/>
                <w:sz w:val="18"/>
                <w:szCs w:val="18"/>
                <w:lang w:eastAsia="es-ES_tradnl"/>
              </w:rPr>
              <w:t>Closed:  10</w:t>
            </w:r>
          </w:p>
        </w:tc>
      </w:tr>
    </w:tbl>
    <w:p w14:paraId="454E7815" w14:textId="77777777" w:rsidR="00302253" w:rsidRPr="00524435" w:rsidRDefault="00302253" w:rsidP="00302253">
      <w:pPr>
        <w:rPr>
          <w:rFonts w:ascii="Cambria" w:hAnsi="Cambria"/>
          <w:color w:val="000000" w:themeColor="text1"/>
          <w:sz w:val="20"/>
          <w:szCs w:val="20"/>
        </w:rPr>
      </w:pPr>
      <w:bookmarkStart w:id="56" w:name="_Hlk99544673"/>
    </w:p>
    <w:bookmarkEnd w:id="56"/>
    <w:p w14:paraId="6E618F86" w14:textId="77777777" w:rsidR="00302253" w:rsidRPr="00524435" w:rsidRDefault="00302253" w:rsidP="00E82663">
      <w:pPr>
        <w:pStyle w:val="Heading3"/>
      </w:pPr>
      <w:r w:rsidRPr="00524435">
        <w:t>Activities Conducted as Part of the Follow</w:t>
      </w:r>
      <w:r w:rsidRPr="00524435">
        <w:noBreakHyphen/>
        <w:t>up Process in 2021</w:t>
      </w:r>
    </w:p>
    <w:p w14:paraId="2FCBF5FA" w14:textId="77777777" w:rsidR="00302253" w:rsidRPr="00524435" w:rsidRDefault="00302253" w:rsidP="002B4C78">
      <w:pPr>
        <w:pStyle w:val="ListParagraph"/>
      </w:pPr>
      <w:r w:rsidRPr="00524435">
        <w:t>As part of the Special Program to Monitor IACHR Recommendations (Program 21) of the 2017</w:t>
      </w:r>
      <w:r w:rsidRPr="00524435">
        <w:noBreakHyphen/>
        <w:t xml:space="preserve">2021 Strategic Plan, in 2021, the Commission adopted a strategy in relation to cases with published merits reports in the follow-up of recommendations stage. This strategy focused on increasing the number of </w:t>
      </w:r>
      <w:proofErr w:type="gramStart"/>
      <w:r w:rsidRPr="00524435">
        <w:t>follow</w:t>
      </w:r>
      <w:proofErr w:type="gramEnd"/>
      <w:r w:rsidRPr="00524435">
        <w:noBreakHyphen/>
        <w:t xml:space="preserve">up actions undertaken throughout the year with the aim of building consensus around compliance with recommendations and of reestablishing contact with both the States and the victims and their representatives in cases in which the IACHR had not received information in the last few years. Additionally, the Commission held telephone conversations with victims and their representatives throughout the year. </w:t>
      </w:r>
    </w:p>
    <w:p w14:paraId="56B9BB73" w14:textId="77777777" w:rsidR="00302253" w:rsidRPr="00524435" w:rsidRDefault="00302253" w:rsidP="002B4C78">
      <w:pPr>
        <w:pStyle w:val="ListParagraph"/>
      </w:pPr>
      <w:r w:rsidRPr="00524435">
        <w:t xml:space="preserve">The IACHR is aware that the current conditions in the region due to the SARSCOV-2 virus pandemic have had a significant impact on States’ domestic follow-up and implementation actions. For that reason, the IACHR appreciates and recognizes the efforts made by petitioners and victims to maintain the rates at which they submitted information at levels </w:t>
      </w:r>
      <w:proofErr w:type="gramStart"/>
      <w:r w:rsidRPr="00524435">
        <w:t>similar to</w:t>
      </w:r>
      <w:proofErr w:type="gramEnd"/>
      <w:r w:rsidRPr="00524435">
        <w:t xml:space="preserve"> those recorded last year, with a response rate of nearly 83,3% in the cases subject to follow-up. The IACHR received information from both parties in 27.2% of cases; similarly, at least one of the parties did so in 56.1% of cases. </w:t>
      </w:r>
    </w:p>
    <w:p w14:paraId="2E59128E" w14:textId="77777777" w:rsidR="00302253" w:rsidRPr="00524435" w:rsidRDefault="00302253" w:rsidP="002B4C78">
      <w:pPr>
        <w:pStyle w:val="ListParagraph"/>
      </w:pPr>
      <w:r w:rsidRPr="00524435">
        <w:t xml:space="preserve"> It also welcomes the fact that despite the conditions experienced over the past year, States have taken steps to continue to report on the measures adopted to comply with the Commission’s recommendations. In this regard, the IACHR received information from the petitioning party regarding 33.3% of the </w:t>
      </w:r>
      <w:proofErr w:type="gramStart"/>
      <w:r w:rsidRPr="00524435">
        <w:t>merits</w:t>
      </w:r>
      <w:proofErr w:type="gramEnd"/>
      <w:r w:rsidRPr="00524435">
        <w:t xml:space="preserve"> reports published and from the States, in 77.2% of these cases</w:t>
      </w:r>
      <w:r w:rsidRPr="00524435">
        <w:rPr>
          <w:rStyle w:val="FootnoteReference"/>
          <w:color w:val="000000" w:themeColor="text1"/>
        </w:rPr>
        <w:footnoteReference w:id="141"/>
      </w:r>
      <w:r w:rsidRPr="00524435">
        <w:t>. The IACHR would like to highlight the responsiveness of the Caribbean States during 2021, as some of them continued to respond to IACHR requests, maintaining the trend that resumed in 2021, and others provided information for the first time after several years. In some cases, the information they submitted allowed the IACHR to finalize an increase in the status of compliance with its recommendations. These data show the results that the IACHR has progressively achieved through the implementation of the Special Program for Follow-up on Recommendations (Program 21) of the 2017–2021 Strategic Plan.</w:t>
      </w:r>
    </w:p>
    <w:p w14:paraId="192CC298" w14:textId="77777777" w:rsidR="00302253" w:rsidRPr="00524435" w:rsidRDefault="00302253" w:rsidP="002B4C78">
      <w:pPr>
        <w:pStyle w:val="ListParagraph"/>
        <w:rPr>
          <w:rFonts w:cs="Cambria"/>
        </w:rPr>
      </w:pPr>
      <w:r w:rsidRPr="00524435">
        <w:t>To expand dialogue with the parties, in 2021, the Commission held seven work meetings involving four cases with published reports on the merits. It should be noted that this included monitoring actions for the cases referred to in Joint Press Release P-1193-CA on Peru.</w:t>
      </w:r>
      <w:r w:rsidRPr="00524435">
        <w:rPr>
          <w:rStyle w:val="FootnoteReference"/>
          <w:color w:val="000000" w:themeColor="text1"/>
        </w:rPr>
        <w:footnoteReference w:id="142"/>
      </w:r>
      <w:r w:rsidRPr="00524435">
        <w:t xml:space="preserve"> Of those meetings, five were convened </w:t>
      </w:r>
      <w:proofErr w:type="spellStart"/>
      <w:r w:rsidRPr="00524435">
        <w:rPr>
          <w:i/>
          <w:iCs/>
        </w:rPr>
        <w:t>sua</w:t>
      </w:r>
      <w:proofErr w:type="spellEnd"/>
      <w:r w:rsidRPr="00524435">
        <w:rPr>
          <w:i/>
          <w:iCs/>
        </w:rPr>
        <w:t xml:space="preserve"> sponte </w:t>
      </w:r>
      <w:r w:rsidRPr="00524435">
        <w:t xml:space="preserve">to monitor two cases, with the goal of furthering compliance with recommendations from </w:t>
      </w:r>
      <w:r w:rsidRPr="00524435">
        <w:lastRenderedPageBreak/>
        <w:t>different cases with published reports on the merits. Over the reported period, the IACHR held work meetings on cases from Chile, Colombia, Mexico the United States, and Peru.</w:t>
      </w:r>
      <w:r w:rsidRPr="00524435">
        <w:rPr>
          <w:vertAlign w:val="superscript"/>
        </w:rPr>
        <w:footnoteReference w:id="143"/>
      </w:r>
      <w:r w:rsidRPr="00524435">
        <w:t xml:space="preserve"> </w:t>
      </w:r>
    </w:p>
    <w:p w14:paraId="4B792053" w14:textId="77777777" w:rsidR="00302253" w:rsidRPr="00524435" w:rsidRDefault="00302253" w:rsidP="002B4C78">
      <w:pPr>
        <w:pStyle w:val="ListParagraph"/>
      </w:pPr>
      <w:r w:rsidRPr="00524435">
        <w:rPr>
          <w:rFonts w:cs="Cambria"/>
        </w:rPr>
        <w:t xml:space="preserve">Over the course of 2021, the Commission held a significant number of bilateral face-to-face and videoconference meetings on different cases with petitioners, victims, and State representatives. The Commission also held five meetings to review its recommendation follow-up portfolios with </w:t>
      </w:r>
      <w:r w:rsidRPr="00524435">
        <w:t xml:space="preserve">Chile, Ecuador, Guatemala, los </w:t>
      </w:r>
      <w:proofErr w:type="spellStart"/>
      <w:r w:rsidRPr="00524435">
        <w:t>Estados</w:t>
      </w:r>
      <w:proofErr w:type="spellEnd"/>
      <w:r w:rsidRPr="00524435">
        <w:t xml:space="preserve"> Unidos, México y Perú.</w:t>
      </w:r>
    </w:p>
    <w:p w14:paraId="416E7868" w14:textId="77777777" w:rsidR="00302253" w:rsidRPr="00524435" w:rsidRDefault="00302253" w:rsidP="002B4C78">
      <w:pPr>
        <w:pStyle w:val="ListParagraph"/>
      </w:pPr>
      <w:r w:rsidRPr="00524435">
        <w:t>By requesting information from the parties in each case, sharing information with them, and holding work meetings as well as bilateral and portfolio meetings, in 2021, the IACHR performed compliance monitoring work on 100% of cases with reports on the merits published since 2000 in accordance with Article 51 of the American Convention on Human Rights. It also strengthened monitoring actions involving the 159 published reports on the merits cited in subparagraphs (c) and (d) of Joint Press Release P-1193</w:t>
      </w:r>
      <w:r w:rsidRPr="00524435">
        <w:noBreakHyphen/>
        <w:t>CA concerning Peru.</w:t>
      </w:r>
    </w:p>
    <w:p w14:paraId="2058FDA7" w14:textId="77777777" w:rsidR="00302253" w:rsidRPr="00524435" w:rsidRDefault="00302253" w:rsidP="00E82663">
      <w:pPr>
        <w:pStyle w:val="Heading3"/>
      </w:pPr>
      <w:r w:rsidRPr="00524435">
        <w:t>Relevant Results</w:t>
      </w:r>
    </w:p>
    <w:p w14:paraId="1107C278" w14:textId="77777777" w:rsidR="00302253" w:rsidRPr="00524435" w:rsidRDefault="00302253" w:rsidP="0009324C">
      <w:pPr>
        <w:pStyle w:val="Heading4"/>
        <w:numPr>
          <w:ilvl w:val="0"/>
          <w:numId w:val="36"/>
        </w:numPr>
        <w:ind w:left="1440" w:hanging="720"/>
      </w:pPr>
      <w:r w:rsidRPr="00524435">
        <w:t>Advances in the Implementation of Recommendations Issued in Published Merits Reports in 2021</w:t>
      </w:r>
    </w:p>
    <w:p w14:paraId="58D9DC38" w14:textId="77777777" w:rsidR="00302253" w:rsidRPr="00524435" w:rsidRDefault="00302253" w:rsidP="006E5C42">
      <w:pPr>
        <w:pStyle w:val="ListParagraph"/>
      </w:pPr>
      <w:r w:rsidRPr="00524435">
        <w:t>The Commission notes with satisfaction that, with the progress made in implementing the recommendations in published merits reports, during 2021 six cases advanced from pending compliance to partial compliance.</w:t>
      </w:r>
      <w:r w:rsidRPr="00524435">
        <w:rPr>
          <w:vertAlign w:val="superscript"/>
        </w:rPr>
        <w:footnoteReference w:id="144"/>
      </w:r>
      <w:r w:rsidRPr="00524435">
        <w:rPr>
          <w:vertAlign w:val="superscript"/>
        </w:rPr>
        <w:t xml:space="preserve"> </w:t>
      </w:r>
      <w:r w:rsidRPr="00524435">
        <w:t xml:space="preserve"> Compliance with the IACHR’s recommendations has seen significant progress thanks to the promotion of this topic on the Commission’s agenda, particularly within the framework of Program 21, but also thanks to the valuable efforts and commitment shown by both the States and the victims and their representatives. This is even clearer </w:t>
      </w:r>
      <w:proofErr w:type="gramStart"/>
      <w:r w:rsidRPr="00524435">
        <w:t>in light of</w:t>
      </w:r>
      <w:proofErr w:type="gramEnd"/>
      <w:r w:rsidRPr="00524435">
        <w:t xml:space="preserve"> the pattern of compliance in recent years, which reflects a growing trend away from pending compliance and toward partial and total compliance with recommendations. Thus, despite the annual addition of new cases to the follow-up phase, the sustained communication and interaction that the IACHR has maintained with the various actors of the IAHRS has helped to foster positive sentiment toward compliance. </w:t>
      </w:r>
    </w:p>
    <w:p w14:paraId="5BF6EB04" w14:textId="77777777" w:rsidR="00302253" w:rsidRPr="00524435" w:rsidRDefault="00302253" w:rsidP="006E5C42">
      <w:pPr>
        <w:pStyle w:val="ListParagraph"/>
        <w:rPr>
          <w:rFonts w:cs="Cambria"/>
        </w:rPr>
      </w:pPr>
      <w:r w:rsidRPr="00524435">
        <w:t>In terms of the status of compliance of the different cases, the table below shows the overall progress made implementing the terms of published reports on the merits. Unlike in previous years, in 2021, a high number of cases (11) with published reports on the merits entered the monitoring phase, as they were published in 2021. Of these reports, the IACHR observed that the status of compliance of three cases increased to “partial,” while the nine remaining cases continued to be “pending compliance.”</w:t>
      </w:r>
    </w:p>
    <w:p w14:paraId="438717A0" w14:textId="77777777" w:rsidR="00302253" w:rsidRPr="00524435" w:rsidRDefault="00302253" w:rsidP="006E5C42">
      <w:pPr>
        <w:pStyle w:val="ListParagraph"/>
        <w:rPr>
          <w:rFonts w:cs="Cambria"/>
        </w:rPr>
      </w:pPr>
      <w:r w:rsidRPr="00524435">
        <w:t>The inclusion of these 11 cases with reports on the merits that were published in 2021 and, thus, entered the monitoring phase for the 2021 Annual Report, helps explain the increase in cases with the status “pending compliance” compared to prior years. Additionally, to interpret this table, one should consider that three of the published reports factored into the number of cases in the monitoring phase in 2017, 2018, 2019, and 2021 (which also had a compliance status of “partial”) were excluded this year as they were grouped into the monitoring initiative described in Joint Press Release P-1193-CA (Peru).</w:t>
      </w:r>
    </w:p>
    <w:p w14:paraId="30A22BAB" w14:textId="77777777" w:rsidR="00302253" w:rsidRPr="00524435" w:rsidRDefault="00302253" w:rsidP="006E5C42">
      <w:pPr>
        <w:autoSpaceDE w:val="0"/>
        <w:autoSpaceDN w:val="0"/>
        <w:adjustRightInd w:val="0"/>
        <w:spacing w:after="0" w:line="240" w:lineRule="auto"/>
        <w:ind w:left="720"/>
        <w:jc w:val="both"/>
        <w:rPr>
          <w:rFonts w:ascii="Cambria" w:hAnsi="Cambria" w:cs="Cambria"/>
          <w:color w:val="000000" w:themeColor="text1"/>
          <w:sz w:val="20"/>
          <w:szCs w:val="20"/>
        </w:rPr>
      </w:pPr>
    </w:p>
    <w:tbl>
      <w:tblPr>
        <w:tblW w:w="0" w:type="auto"/>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547"/>
        <w:gridCol w:w="762"/>
        <w:gridCol w:w="763"/>
        <w:gridCol w:w="764"/>
        <w:gridCol w:w="737"/>
        <w:gridCol w:w="750"/>
        <w:gridCol w:w="812"/>
        <w:gridCol w:w="828"/>
        <w:gridCol w:w="828"/>
        <w:gridCol w:w="780"/>
        <w:gridCol w:w="767"/>
      </w:tblGrid>
      <w:tr w:rsidR="00302253" w:rsidRPr="00524435" w14:paraId="745D031D" w14:textId="77777777" w:rsidTr="00C33359">
        <w:trPr>
          <w:trHeight w:val="144"/>
        </w:trPr>
        <w:tc>
          <w:tcPr>
            <w:tcW w:w="1555" w:type="dxa"/>
            <w:vMerge w:val="restart"/>
            <w:tcBorders>
              <w:bottom w:val="single" w:sz="18" w:space="0" w:color="000000"/>
            </w:tcBorders>
            <w:vAlign w:val="center"/>
          </w:tcPr>
          <w:p w14:paraId="58721117" w14:textId="77777777" w:rsidR="00302253" w:rsidRPr="00524435" w:rsidRDefault="00302253" w:rsidP="00C33359">
            <w:pPr>
              <w:jc w:val="center"/>
              <w:rPr>
                <w:rFonts w:ascii="Cambria" w:hAnsi="Cambria" w:cs="Cambria"/>
                <w:b/>
                <w:bCs/>
                <w:color w:val="000000" w:themeColor="text1"/>
                <w:sz w:val="18"/>
                <w:szCs w:val="18"/>
              </w:rPr>
            </w:pPr>
            <w:r w:rsidRPr="00524435">
              <w:rPr>
                <w:rFonts w:ascii="Cambria" w:hAnsi="Cambria" w:cs="Cambria"/>
                <w:b/>
                <w:bCs/>
                <w:color w:val="000000" w:themeColor="text1"/>
                <w:sz w:val="18"/>
                <w:szCs w:val="18"/>
              </w:rPr>
              <w:lastRenderedPageBreak/>
              <w:t>Categories</w:t>
            </w:r>
          </w:p>
        </w:tc>
        <w:tc>
          <w:tcPr>
            <w:tcW w:w="3760" w:type="dxa"/>
            <w:gridSpan w:val="5"/>
            <w:tcBorders>
              <w:bottom w:val="single" w:sz="18" w:space="0" w:color="000000"/>
            </w:tcBorders>
          </w:tcPr>
          <w:p w14:paraId="2B06949F" w14:textId="77777777" w:rsidR="00302253" w:rsidRPr="00524435" w:rsidRDefault="00302253" w:rsidP="00C33359">
            <w:pPr>
              <w:jc w:val="center"/>
              <w:rPr>
                <w:rFonts w:ascii="Cambria" w:hAnsi="Cambria" w:cs="Cambria"/>
                <w:b/>
                <w:bCs/>
                <w:color w:val="000000" w:themeColor="text1"/>
                <w:sz w:val="18"/>
                <w:szCs w:val="18"/>
              </w:rPr>
            </w:pPr>
            <w:r w:rsidRPr="00524435">
              <w:rPr>
                <w:rFonts w:ascii="Cambria" w:hAnsi="Cambria" w:cs="Cambria"/>
                <w:b/>
                <w:bCs/>
                <w:color w:val="000000" w:themeColor="text1"/>
                <w:sz w:val="18"/>
                <w:szCs w:val="18"/>
              </w:rPr>
              <w:t>Number of Cases</w:t>
            </w:r>
          </w:p>
        </w:tc>
        <w:tc>
          <w:tcPr>
            <w:tcW w:w="4023" w:type="dxa"/>
            <w:gridSpan w:val="5"/>
            <w:tcBorders>
              <w:bottom w:val="single" w:sz="18" w:space="0" w:color="000000"/>
            </w:tcBorders>
          </w:tcPr>
          <w:p w14:paraId="36805581" w14:textId="77777777" w:rsidR="00302253" w:rsidRPr="00524435" w:rsidRDefault="00302253" w:rsidP="00C33359">
            <w:pPr>
              <w:jc w:val="center"/>
              <w:rPr>
                <w:rFonts w:ascii="Cambria" w:hAnsi="Cambria" w:cs="Cambria"/>
                <w:b/>
                <w:bCs/>
                <w:color w:val="000000" w:themeColor="text1"/>
                <w:sz w:val="18"/>
                <w:szCs w:val="18"/>
              </w:rPr>
            </w:pPr>
            <w:r w:rsidRPr="00524435">
              <w:rPr>
                <w:rFonts w:ascii="Cambria" w:hAnsi="Cambria" w:cs="Cambria"/>
                <w:b/>
                <w:bCs/>
                <w:color w:val="000000" w:themeColor="text1"/>
                <w:sz w:val="18"/>
                <w:szCs w:val="18"/>
              </w:rPr>
              <w:t>Compliance Percentage</w:t>
            </w:r>
          </w:p>
        </w:tc>
      </w:tr>
      <w:tr w:rsidR="00302253" w:rsidRPr="00524435" w14:paraId="3CF72757" w14:textId="77777777" w:rsidTr="00C33359">
        <w:trPr>
          <w:trHeight w:val="144"/>
        </w:trPr>
        <w:tc>
          <w:tcPr>
            <w:tcW w:w="1555" w:type="dxa"/>
            <w:vMerge/>
            <w:shd w:val="clear" w:color="auto" w:fill="C0C0C0"/>
          </w:tcPr>
          <w:p w14:paraId="2F4D53CA" w14:textId="77777777" w:rsidR="00302253" w:rsidRPr="00524435" w:rsidRDefault="00302253" w:rsidP="00C33359">
            <w:pPr>
              <w:rPr>
                <w:rFonts w:ascii="Cambria" w:hAnsi="Cambria" w:cs="Cambria"/>
                <w:b/>
                <w:bCs/>
                <w:color w:val="000000" w:themeColor="text1"/>
                <w:sz w:val="18"/>
                <w:szCs w:val="18"/>
              </w:rPr>
            </w:pPr>
          </w:p>
        </w:tc>
        <w:tc>
          <w:tcPr>
            <w:tcW w:w="764" w:type="dxa"/>
            <w:shd w:val="clear" w:color="auto" w:fill="C0C0C0"/>
          </w:tcPr>
          <w:p w14:paraId="449447B8" w14:textId="77777777" w:rsidR="00302253" w:rsidRPr="00524435" w:rsidRDefault="00302253" w:rsidP="00C33359">
            <w:pPr>
              <w:jc w:val="center"/>
              <w:rPr>
                <w:rFonts w:ascii="Cambria" w:hAnsi="Cambria" w:cs="Cambria"/>
                <w:b/>
                <w:bCs/>
                <w:color w:val="000000" w:themeColor="text1"/>
                <w:sz w:val="18"/>
                <w:szCs w:val="18"/>
              </w:rPr>
            </w:pPr>
            <w:r w:rsidRPr="00524435">
              <w:rPr>
                <w:rFonts w:ascii="Cambria" w:hAnsi="Cambria" w:cs="Cambria"/>
                <w:b/>
                <w:bCs/>
                <w:color w:val="000000" w:themeColor="text1"/>
                <w:sz w:val="18"/>
                <w:szCs w:val="18"/>
              </w:rPr>
              <w:t>2017</w:t>
            </w:r>
          </w:p>
        </w:tc>
        <w:tc>
          <w:tcPr>
            <w:tcW w:w="765" w:type="dxa"/>
            <w:shd w:val="clear" w:color="auto" w:fill="C0C0C0"/>
          </w:tcPr>
          <w:p w14:paraId="079047CC" w14:textId="77777777" w:rsidR="00302253" w:rsidRPr="00524435" w:rsidRDefault="00302253" w:rsidP="00C33359">
            <w:pPr>
              <w:jc w:val="center"/>
              <w:rPr>
                <w:rFonts w:ascii="Cambria" w:hAnsi="Cambria" w:cs="Cambria"/>
                <w:b/>
                <w:bCs/>
                <w:color w:val="000000" w:themeColor="text1"/>
                <w:sz w:val="18"/>
                <w:szCs w:val="18"/>
              </w:rPr>
            </w:pPr>
            <w:r w:rsidRPr="00524435">
              <w:rPr>
                <w:rFonts w:ascii="Cambria" w:hAnsi="Cambria" w:cs="Cambria"/>
                <w:b/>
                <w:bCs/>
                <w:color w:val="000000" w:themeColor="text1"/>
                <w:sz w:val="18"/>
                <w:szCs w:val="18"/>
              </w:rPr>
              <w:t>2018</w:t>
            </w:r>
          </w:p>
        </w:tc>
        <w:tc>
          <w:tcPr>
            <w:tcW w:w="766" w:type="dxa"/>
            <w:shd w:val="clear" w:color="auto" w:fill="C0C0C0"/>
          </w:tcPr>
          <w:p w14:paraId="451F0A71" w14:textId="77777777" w:rsidR="00302253" w:rsidRPr="00524435" w:rsidRDefault="00302253" w:rsidP="00C33359">
            <w:pPr>
              <w:jc w:val="center"/>
              <w:rPr>
                <w:rFonts w:ascii="Cambria" w:hAnsi="Cambria" w:cs="Cambria"/>
                <w:b/>
                <w:bCs/>
                <w:color w:val="000000" w:themeColor="text1"/>
                <w:sz w:val="18"/>
                <w:szCs w:val="18"/>
              </w:rPr>
            </w:pPr>
            <w:r w:rsidRPr="00524435">
              <w:rPr>
                <w:rFonts w:ascii="Cambria" w:hAnsi="Cambria" w:cs="Cambria"/>
                <w:b/>
                <w:bCs/>
                <w:color w:val="000000" w:themeColor="text1"/>
                <w:sz w:val="18"/>
                <w:szCs w:val="18"/>
              </w:rPr>
              <w:t>2019</w:t>
            </w:r>
          </w:p>
        </w:tc>
        <w:tc>
          <w:tcPr>
            <w:tcW w:w="739" w:type="dxa"/>
            <w:shd w:val="clear" w:color="auto" w:fill="C0C0C0"/>
          </w:tcPr>
          <w:p w14:paraId="52E066C5" w14:textId="77777777" w:rsidR="00302253" w:rsidRPr="00524435" w:rsidRDefault="00302253" w:rsidP="00C33359">
            <w:pPr>
              <w:jc w:val="center"/>
              <w:rPr>
                <w:rFonts w:ascii="Cambria" w:hAnsi="Cambria" w:cs="Cambria"/>
                <w:b/>
                <w:bCs/>
                <w:color w:val="000000" w:themeColor="text1"/>
                <w:sz w:val="18"/>
                <w:szCs w:val="18"/>
              </w:rPr>
            </w:pPr>
            <w:r w:rsidRPr="00524435">
              <w:rPr>
                <w:rFonts w:ascii="Cambria" w:hAnsi="Cambria" w:cs="Cambria"/>
                <w:b/>
                <w:bCs/>
                <w:color w:val="000000" w:themeColor="text1"/>
                <w:sz w:val="18"/>
                <w:szCs w:val="18"/>
              </w:rPr>
              <w:t>2021</w:t>
            </w:r>
          </w:p>
        </w:tc>
        <w:tc>
          <w:tcPr>
            <w:tcW w:w="726" w:type="dxa"/>
            <w:shd w:val="clear" w:color="auto" w:fill="C0C0C0"/>
          </w:tcPr>
          <w:p w14:paraId="05D3659E" w14:textId="77777777" w:rsidR="00302253" w:rsidRPr="00524435" w:rsidRDefault="00302253" w:rsidP="00C33359">
            <w:pPr>
              <w:jc w:val="center"/>
              <w:rPr>
                <w:rFonts w:ascii="Cambria" w:hAnsi="Cambria" w:cs="Cambria"/>
                <w:b/>
                <w:bCs/>
                <w:color w:val="000000" w:themeColor="text1"/>
                <w:sz w:val="18"/>
                <w:szCs w:val="18"/>
              </w:rPr>
            </w:pPr>
            <w:r w:rsidRPr="00524435">
              <w:rPr>
                <w:rFonts w:ascii="Cambria" w:hAnsi="Cambria" w:cs="Cambria"/>
                <w:b/>
                <w:bCs/>
                <w:color w:val="000000" w:themeColor="text1"/>
                <w:sz w:val="18"/>
                <w:szCs w:val="18"/>
              </w:rPr>
              <w:t>2021</w:t>
            </w:r>
          </w:p>
        </w:tc>
        <w:tc>
          <w:tcPr>
            <w:tcW w:w="814" w:type="dxa"/>
            <w:shd w:val="clear" w:color="auto" w:fill="C0C0C0"/>
          </w:tcPr>
          <w:p w14:paraId="19EE0DE8" w14:textId="77777777" w:rsidR="00302253" w:rsidRPr="00524435" w:rsidRDefault="00302253" w:rsidP="00C33359">
            <w:pPr>
              <w:jc w:val="center"/>
              <w:rPr>
                <w:rFonts w:ascii="Cambria" w:hAnsi="Cambria" w:cs="Cambria"/>
                <w:b/>
                <w:bCs/>
                <w:color w:val="000000" w:themeColor="text1"/>
                <w:sz w:val="18"/>
                <w:szCs w:val="18"/>
              </w:rPr>
            </w:pPr>
            <w:r w:rsidRPr="00524435">
              <w:rPr>
                <w:rFonts w:ascii="Cambria" w:hAnsi="Cambria" w:cs="Cambria"/>
                <w:b/>
                <w:bCs/>
                <w:color w:val="000000" w:themeColor="text1"/>
                <w:sz w:val="18"/>
                <w:szCs w:val="18"/>
              </w:rPr>
              <w:t>2017</w:t>
            </w:r>
          </w:p>
        </w:tc>
        <w:tc>
          <w:tcPr>
            <w:tcW w:w="830" w:type="dxa"/>
            <w:shd w:val="clear" w:color="auto" w:fill="C0C0C0"/>
          </w:tcPr>
          <w:p w14:paraId="5C9836E6" w14:textId="77777777" w:rsidR="00302253" w:rsidRPr="00524435" w:rsidRDefault="00302253" w:rsidP="00C33359">
            <w:pPr>
              <w:jc w:val="center"/>
              <w:rPr>
                <w:rFonts w:ascii="Cambria" w:hAnsi="Cambria" w:cs="Cambria"/>
                <w:b/>
                <w:bCs/>
                <w:color w:val="000000" w:themeColor="text1"/>
                <w:sz w:val="18"/>
                <w:szCs w:val="18"/>
              </w:rPr>
            </w:pPr>
            <w:r w:rsidRPr="00524435">
              <w:rPr>
                <w:rFonts w:ascii="Cambria" w:hAnsi="Cambria" w:cs="Cambria"/>
                <w:b/>
                <w:bCs/>
                <w:color w:val="000000" w:themeColor="text1"/>
                <w:sz w:val="18"/>
                <w:szCs w:val="18"/>
              </w:rPr>
              <w:t>2018</w:t>
            </w:r>
          </w:p>
        </w:tc>
        <w:tc>
          <w:tcPr>
            <w:tcW w:w="830" w:type="dxa"/>
            <w:shd w:val="clear" w:color="auto" w:fill="C0C0C0"/>
          </w:tcPr>
          <w:p w14:paraId="567F098B" w14:textId="77777777" w:rsidR="00302253" w:rsidRPr="00524435" w:rsidRDefault="00302253" w:rsidP="00C33359">
            <w:pPr>
              <w:jc w:val="center"/>
              <w:rPr>
                <w:rFonts w:ascii="Cambria" w:hAnsi="Cambria" w:cs="Cambria"/>
                <w:b/>
                <w:bCs/>
                <w:color w:val="000000" w:themeColor="text1"/>
                <w:sz w:val="18"/>
                <w:szCs w:val="18"/>
              </w:rPr>
            </w:pPr>
            <w:r w:rsidRPr="00524435">
              <w:rPr>
                <w:rFonts w:ascii="Cambria" w:hAnsi="Cambria" w:cs="Cambria"/>
                <w:b/>
                <w:bCs/>
                <w:color w:val="000000" w:themeColor="text1"/>
                <w:sz w:val="18"/>
                <w:szCs w:val="18"/>
              </w:rPr>
              <w:t>2019</w:t>
            </w:r>
          </w:p>
        </w:tc>
        <w:tc>
          <w:tcPr>
            <w:tcW w:w="781" w:type="dxa"/>
            <w:shd w:val="clear" w:color="auto" w:fill="D1CECE"/>
          </w:tcPr>
          <w:p w14:paraId="629DFA3A" w14:textId="77777777" w:rsidR="00302253" w:rsidRPr="00524435" w:rsidRDefault="00302253" w:rsidP="00C33359">
            <w:pPr>
              <w:jc w:val="center"/>
              <w:rPr>
                <w:rFonts w:ascii="Cambria" w:hAnsi="Cambria" w:cs="Cambria"/>
                <w:b/>
                <w:bCs/>
                <w:color w:val="000000" w:themeColor="text1"/>
                <w:sz w:val="18"/>
                <w:szCs w:val="18"/>
              </w:rPr>
            </w:pPr>
            <w:r w:rsidRPr="00524435">
              <w:rPr>
                <w:rFonts w:ascii="Cambria" w:hAnsi="Cambria" w:cs="Cambria"/>
                <w:b/>
                <w:bCs/>
                <w:color w:val="000000" w:themeColor="text1"/>
                <w:sz w:val="18"/>
                <w:szCs w:val="18"/>
              </w:rPr>
              <w:t>2021</w:t>
            </w:r>
          </w:p>
        </w:tc>
        <w:tc>
          <w:tcPr>
            <w:tcW w:w="768" w:type="dxa"/>
          </w:tcPr>
          <w:p w14:paraId="61957004" w14:textId="77777777" w:rsidR="00302253" w:rsidRPr="00524435" w:rsidRDefault="00302253" w:rsidP="00C33359">
            <w:pPr>
              <w:jc w:val="center"/>
              <w:rPr>
                <w:rFonts w:ascii="Cambria" w:hAnsi="Cambria" w:cs="Cambria"/>
                <w:b/>
                <w:bCs/>
                <w:color w:val="000000" w:themeColor="text1"/>
                <w:sz w:val="18"/>
                <w:szCs w:val="18"/>
              </w:rPr>
            </w:pPr>
            <w:r w:rsidRPr="00524435">
              <w:rPr>
                <w:rFonts w:ascii="Cambria" w:hAnsi="Cambria" w:cs="Cambria"/>
                <w:b/>
                <w:bCs/>
                <w:color w:val="000000" w:themeColor="text1"/>
                <w:sz w:val="18"/>
                <w:szCs w:val="18"/>
              </w:rPr>
              <w:t>2021</w:t>
            </w:r>
          </w:p>
        </w:tc>
      </w:tr>
      <w:tr w:rsidR="00302253" w:rsidRPr="00524435" w14:paraId="4CDCB28F" w14:textId="77777777" w:rsidTr="00C33359">
        <w:trPr>
          <w:trHeight w:val="144"/>
        </w:trPr>
        <w:tc>
          <w:tcPr>
            <w:tcW w:w="1555" w:type="dxa"/>
            <w:vAlign w:val="center"/>
          </w:tcPr>
          <w:p w14:paraId="70ACFEEF" w14:textId="77777777" w:rsidR="00302253" w:rsidRPr="00524435" w:rsidRDefault="00302253" w:rsidP="00C33359">
            <w:pPr>
              <w:rPr>
                <w:rFonts w:ascii="Cambria" w:hAnsi="Cambria" w:cs="Cambria"/>
                <w:b/>
                <w:bCs/>
                <w:color w:val="000000" w:themeColor="text1"/>
                <w:sz w:val="18"/>
                <w:szCs w:val="18"/>
              </w:rPr>
            </w:pPr>
            <w:r w:rsidRPr="00524435">
              <w:rPr>
                <w:rFonts w:ascii="Cambria" w:hAnsi="Cambria" w:cs="Cambria"/>
                <w:b/>
                <w:bCs/>
                <w:color w:val="000000" w:themeColor="text1"/>
                <w:sz w:val="18"/>
                <w:szCs w:val="18"/>
              </w:rPr>
              <w:t>Total Compliance</w:t>
            </w:r>
          </w:p>
        </w:tc>
        <w:tc>
          <w:tcPr>
            <w:tcW w:w="764" w:type="dxa"/>
            <w:vAlign w:val="center"/>
          </w:tcPr>
          <w:p w14:paraId="37BCF7DB"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7</w:t>
            </w:r>
          </w:p>
        </w:tc>
        <w:tc>
          <w:tcPr>
            <w:tcW w:w="765" w:type="dxa"/>
            <w:vAlign w:val="center"/>
          </w:tcPr>
          <w:p w14:paraId="677D6F16"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9</w:t>
            </w:r>
          </w:p>
        </w:tc>
        <w:tc>
          <w:tcPr>
            <w:tcW w:w="766" w:type="dxa"/>
            <w:vAlign w:val="center"/>
          </w:tcPr>
          <w:p w14:paraId="521B99B9"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9</w:t>
            </w:r>
          </w:p>
        </w:tc>
        <w:tc>
          <w:tcPr>
            <w:tcW w:w="739" w:type="dxa"/>
            <w:vAlign w:val="center"/>
          </w:tcPr>
          <w:p w14:paraId="07E53C48"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9</w:t>
            </w:r>
          </w:p>
        </w:tc>
        <w:tc>
          <w:tcPr>
            <w:tcW w:w="726" w:type="dxa"/>
            <w:vAlign w:val="center"/>
          </w:tcPr>
          <w:p w14:paraId="0046431E" w14:textId="77777777" w:rsidR="00302253" w:rsidRPr="00524435" w:rsidRDefault="00302253" w:rsidP="00C33359">
            <w:pPr>
              <w:jc w:val="center"/>
              <w:rPr>
                <w:rFonts w:ascii="Cambria" w:hAnsi="Cambria" w:cs="Calibri"/>
                <w:color w:val="000000" w:themeColor="text1"/>
                <w:sz w:val="18"/>
                <w:szCs w:val="18"/>
              </w:rPr>
            </w:pPr>
            <w:r w:rsidRPr="00524435">
              <w:rPr>
                <w:rFonts w:ascii="Cambria" w:hAnsi="Cambria" w:cs="Calibri"/>
                <w:color w:val="000000" w:themeColor="text1"/>
                <w:sz w:val="18"/>
                <w:szCs w:val="18"/>
              </w:rPr>
              <w:t>9</w:t>
            </w:r>
          </w:p>
        </w:tc>
        <w:tc>
          <w:tcPr>
            <w:tcW w:w="814" w:type="dxa"/>
            <w:vAlign w:val="center"/>
          </w:tcPr>
          <w:p w14:paraId="228988C7"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6.8%</w:t>
            </w:r>
          </w:p>
        </w:tc>
        <w:tc>
          <w:tcPr>
            <w:tcW w:w="830" w:type="dxa"/>
            <w:vAlign w:val="center"/>
          </w:tcPr>
          <w:p w14:paraId="1150FA96"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8.3%</w:t>
            </w:r>
          </w:p>
        </w:tc>
        <w:tc>
          <w:tcPr>
            <w:tcW w:w="830" w:type="dxa"/>
            <w:vAlign w:val="center"/>
          </w:tcPr>
          <w:p w14:paraId="6AAA0882"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8%</w:t>
            </w:r>
          </w:p>
        </w:tc>
        <w:tc>
          <w:tcPr>
            <w:tcW w:w="781" w:type="dxa"/>
            <w:shd w:val="clear" w:color="auto" w:fill="auto"/>
            <w:vAlign w:val="center"/>
          </w:tcPr>
          <w:p w14:paraId="18155006"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7.8%</w:t>
            </w:r>
          </w:p>
        </w:tc>
        <w:tc>
          <w:tcPr>
            <w:tcW w:w="768" w:type="dxa"/>
            <w:vAlign w:val="center"/>
          </w:tcPr>
          <w:p w14:paraId="04ABC622"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7.3%</w:t>
            </w:r>
          </w:p>
        </w:tc>
      </w:tr>
      <w:tr w:rsidR="00302253" w:rsidRPr="00524435" w14:paraId="2537F4E8" w14:textId="77777777" w:rsidTr="00C33359">
        <w:trPr>
          <w:trHeight w:val="144"/>
        </w:trPr>
        <w:tc>
          <w:tcPr>
            <w:tcW w:w="1555" w:type="dxa"/>
            <w:shd w:val="clear" w:color="auto" w:fill="C0C0C0"/>
            <w:vAlign w:val="center"/>
          </w:tcPr>
          <w:p w14:paraId="49BAF83B" w14:textId="77777777" w:rsidR="00302253" w:rsidRPr="00524435" w:rsidRDefault="00302253" w:rsidP="00C33359">
            <w:pPr>
              <w:rPr>
                <w:rFonts w:ascii="Cambria" w:hAnsi="Cambria" w:cs="Cambria"/>
                <w:b/>
                <w:bCs/>
                <w:color w:val="000000" w:themeColor="text1"/>
                <w:sz w:val="18"/>
                <w:szCs w:val="18"/>
              </w:rPr>
            </w:pPr>
            <w:r w:rsidRPr="00524435">
              <w:rPr>
                <w:rFonts w:ascii="Cambria" w:hAnsi="Cambria" w:cs="Cambria"/>
                <w:b/>
                <w:bCs/>
                <w:color w:val="000000" w:themeColor="text1"/>
                <w:sz w:val="18"/>
                <w:szCs w:val="18"/>
              </w:rPr>
              <w:t>Partial Compliance</w:t>
            </w:r>
          </w:p>
        </w:tc>
        <w:tc>
          <w:tcPr>
            <w:tcW w:w="764" w:type="dxa"/>
            <w:shd w:val="clear" w:color="auto" w:fill="C0C0C0"/>
            <w:vAlign w:val="center"/>
          </w:tcPr>
          <w:p w14:paraId="24D1D8EF"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66</w:t>
            </w:r>
          </w:p>
        </w:tc>
        <w:tc>
          <w:tcPr>
            <w:tcW w:w="765" w:type="dxa"/>
            <w:shd w:val="clear" w:color="auto" w:fill="C0C0C0"/>
            <w:vAlign w:val="center"/>
          </w:tcPr>
          <w:p w14:paraId="217C1913"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82</w:t>
            </w:r>
          </w:p>
        </w:tc>
        <w:tc>
          <w:tcPr>
            <w:tcW w:w="766" w:type="dxa"/>
            <w:shd w:val="clear" w:color="auto" w:fill="C0C0C0"/>
            <w:vAlign w:val="center"/>
          </w:tcPr>
          <w:p w14:paraId="30DAB5FC"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85</w:t>
            </w:r>
          </w:p>
        </w:tc>
        <w:tc>
          <w:tcPr>
            <w:tcW w:w="739" w:type="dxa"/>
            <w:shd w:val="clear" w:color="auto" w:fill="C0C0C0"/>
            <w:vAlign w:val="center"/>
          </w:tcPr>
          <w:p w14:paraId="51845458"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88</w:t>
            </w:r>
          </w:p>
        </w:tc>
        <w:tc>
          <w:tcPr>
            <w:tcW w:w="726" w:type="dxa"/>
            <w:shd w:val="clear" w:color="auto" w:fill="C0C0C0"/>
            <w:vAlign w:val="center"/>
          </w:tcPr>
          <w:p w14:paraId="5CA49EF7" w14:textId="77777777" w:rsidR="00302253" w:rsidRPr="00524435" w:rsidRDefault="00302253" w:rsidP="00C33359">
            <w:pPr>
              <w:jc w:val="center"/>
              <w:rPr>
                <w:rFonts w:ascii="Cambria" w:hAnsi="Cambria" w:cs="Calibri"/>
                <w:color w:val="000000" w:themeColor="text1"/>
                <w:sz w:val="18"/>
                <w:szCs w:val="18"/>
              </w:rPr>
            </w:pPr>
            <w:r w:rsidRPr="00524435">
              <w:rPr>
                <w:rFonts w:ascii="Cambria" w:hAnsi="Cambria" w:cs="Calibri"/>
                <w:color w:val="000000" w:themeColor="text1"/>
                <w:sz w:val="18"/>
                <w:szCs w:val="18"/>
              </w:rPr>
              <w:t>91</w:t>
            </w:r>
          </w:p>
        </w:tc>
        <w:tc>
          <w:tcPr>
            <w:tcW w:w="814" w:type="dxa"/>
            <w:shd w:val="clear" w:color="auto" w:fill="C0C0C0"/>
            <w:vAlign w:val="center"/>
          </w:tcPr>
          <w:p w14:paraId="32735242"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64%</w:t>
            </w:r>
          </w:p>
        </w:tc>
        <w:tc>
          <w:tcPr>
            <w:tcW w:w="830" w:type="dxa"/>
            <w:shd w:val="clear" w:color="auto" w:fill="C0C0C0"/>
            <w:vAlign w:val="center"/>
          </w:tcPr>
          <w:p w14:paraId="0D27705E"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75.2%</w:t>
            </w:r>
          </w:p>
        </w:tc>
        <w:tc>
          <w:tcPr>
            <w:tcW w:w="830" w:type="dxa"/>
            <w:shd w:val="clear" w:color="auto" w:fill="C0C0C0"/>
            <w:vAlign w:val="center"/>
          </w:tcPr>
          <w:p w14:paraId="3D0E7714"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75.2%</w:t>
            </w:r>
          </w:p>
        </w:tc>
        <w:tc>
          <w:tcPr>
            <w:tcW w:w="781" w:type="dxa"/>
            <w:shd w:val="clear" w:color="auto" w:fill="D1CECE"/>
            <w:vAlign w:val="center"/>
          </w:tcPr>
          <w:p w14:paraId="6EFB0531"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76.6%</w:t>
            </w:r>
          </w:p>
        </w:tc>
        <w:tc>
          <w:tcPr>
            <w:tcW w:w="768" w:type="dxa"/>
            <w:vAlign w:val="center"/>
          </w:tcPr>
          <w:p w14:paraId="2F031B38"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74%</w:t>
            </w:r>
          </w:p>
        </w:tc>
      </w:tr>
      <w:tr w:rsidR="00302253" w:rsidRPr="00524435" w14:paraId="312BCFEA" w14:textId="77777777" w:rsidTr="00C33359">
        <w:trPr>
          <w:trHeight w:val="144"/>
        </w:trPr>
        <w:tc>
          <w:tcPr>
            <w:tcW w:w="1555" w:type="dxa"/>
            <w:vAlign w:val="center"/>
          </w:tcPr>
          <w:p w14:paraId="6EBB3FA5" w14:textId="77777777" w:rsidR="00302253" w:rsidRPr="00524435" w:rsidRDefault="00302253" w:rsidP="00C33359">
            <w:pPr>
              <w:rPr>
                <w:rFonts w:ascii="Cambria" w:hAnsi="Cambria" w:cs="Cambria"/>
                <w:b/>
                <w:bCs/>
                <w:color w:val="000000" w:themeColor="text1"/>
                <w:sz w:val="18"/>
                <w:szCs w:val="18"/>
              </w:rPr>
            </w:pPr>
            <w:r w:rsidRPr="00524435">
              <w:rPr>
                <w:rFonts w:ascii="Cambria" w:hAnsi="Cambria" w:cs="Cambria"/>
                <w:b/>
                <w:bCs/>
                <w:color w:val="000000" w:themeColor="text1"/>
                <w:sz w:val="18"/>
                <w:szCs w:val="18"/>
              </w:rPr>
              <w:t>Pending Compliance</w:t>
            </w:r>
          </w:p>
        </w:tc>
        <w:tc>
          <w:tcPr>
            <w:tcW w:w="764" w:type="dxa"/>
            <w:vAlign w:val="center"/>
          </w:tcPr>
          <w:p w14:paraId="20859534"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30</w:t>
            </w:r>
          </w:p>
        </w:tc>
        <w:tc>
          <w:tcPr>
            <w:tcW w:w="765" w:type="dxa"/>
            <w:vAlign w:val="center"/>
          </w:tcPr>
          <w:p w14:paraId="3FB9B3E6"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18</w:t>
            </w:r>
          </w:p>
        </w:tc>
        <w:tc>
          <w:tcPr>
            <w:tcW w:w="766" w:type="dxa"/>
            <w:vAlign w:val="center"/>
          </w:tcPr>
          <w:p w14:paraId="52374762"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19</w:t>
            </w:r>
          </w:p>
        </w:tc>
        <w:tc>
          <w:tcPr>
            <w:tcW w:w="739" w:type="dxa"/>
            <w:vAlign w:val="center"/>
          </w:tcPr>
          <w:p w14:paraId="2DBA69B9"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18</w:t>
            </w:r>
          </w:p>
        </w:tc>
        <w:tc>
          <w:tcPr>
            <w:tcW w:w="726" w:type="dxa"/>
            <w:vAlign w:val="center"/>
          </w:tcPr>
          <w:p w14:paraId="63769FFE" w14:textId="77777777" w:rsidR="00302253" w:rsidRPr="00524435" w:rsidRDefault="00302253" w:rsidP="00C33359">
            <w:pPr>
              <w:jc w:val="center"/>
              <w:rPr>
                <w:rFonts w:ascii="Cambria" w:hAnsi="Cambria" w:cs="Calibri"/>
                <w:color w:val="000000" w:themeColor="text1"/>
                <w:sz w:val="18"/>
                <w:szCs w:val="18"/>
              </w:rPr>
            </w:pPr>
            <w:r w:rsidRPr="00524435">
              <w:rPr>
                <w:rFonts w:ascii="Cambria" w:hAnsi="Cambria" w:cs="Calibri"/>
                <w:color w:val="000000" w:themeColor="text1"/>
                <w:sz w:val="18"/>
                <w:szCs w:val="18"/>
              </w:rPr>
              <w:t>23</w:t>
            </w:r>
          </w:p>
        </w:tc>
        <w:tc>
          <w:tcPr>
            <w:tcW w:w="814" w:type="dxa"/>
            <w:vAlign w:val="center"/>
          </w:tcPr>
          <w:p w14:paraId="58E4BF8B"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29.2%</w:t>
            </w:r>
          </w:p>
        </w:tc>
        <w:tc>
          <w:tcPr>
            <w:tcW w:w="830" w:type="dxa"/>
            <w:vAlign w:val="center"/>
          </w:tcPr>
          <w:p w14:paraId="5A952364"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16.5%</w:t>
            </w:r>
          </w:p>
        </w:tc>
        <w:tc>
          <w:tcPr>
            <w:tcW w:w="830" w:type="dxa"/>
            <w:vAlign w:val="center"/>
          </w:tcPr>
          <w:p w14:paraId="267BA2C0"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16.8%</w:t>
            </w:r>
          </w:p>
        </w:tc>
        <w:tc>
          <w:tcPr>
            <w:tcW w:w="781" w:type="dxa"/>
            <w:shd w:val="clear" w:color="auto" w:fill="auto"/>
            <w:vAlign w:val="center"/>
          </w:tcPr>
          <w:p w14:paraId="701F570B"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15.6%</w:t>
            </w:r>
          </w:p>
        </w:tc>
        <w:tc>
          <w:tcPr>
            <w:tcW w:w="768" w:type="dxa"/>
            <w:vAlign w:val="center"/>
          </w:tcPr>
          <w:p w14:paraId="7D5B4325" w14:textId="77777777" w:rsidR="00302253" w:rsidRPr="00524435" w:rsidRDefault="00302253" w:rsidP="00C33359">
            <w:pPr>
              <w:jc w:val="center"/>
              <w:rPr>
                <w:rFonts w:ascii="Cambria" w:hAnsi="Cambria" w:cs="Cambria"/>
                <w:color w:val="000000" w:themeColor="text1"/>
                <w:sz w:val="18"/>
                <w:szCs w:val="18"/>
              </w:rPr>
            </w:pPr>
            <w:r w:rsidRPr="00524435">
              <w:rPr>
                <w:rFonts w:ascii="Cambria" w:hAnsi="Cambria" w:cs="Calibri"/>
                <w:color w:val="000000" w:themeColor="text1"/>
                <w:sz w:val="18"/>
                <w:szCs w:val="18"/>
              </w:rPr>
              <w:t>18.7%</w:t>
            </w:r>
          </w:p>
        </w:tc>
      </w:tr>
      <w:tr w:rsidR="00302253" w:rsidRPr="00524435" w14:paraId="6681119E" w14:textId="77777777" w:rsidTr="00C33359">
        <w:trPr>
          <w:trHeight w:val="144"/>
        </w:trPr>
        <w:tc>
          <w:tcPr>
            <w:tcW w:w="1555" w:type="dxa"/>
            <w:shd w:val="clear" w:color="auto" w:fill="C0C0C0"/>
            <w:vAlign w:val="center"/>
          </w:tcPr>
          <w:p w14:paraId="78D40604" w14:textId="77777777" w:rsidR="00302253" w:rsidRPr="00524435" w:rsidRDefault="00302253" w:rsidP="00C33359">
            <w:pPr>
              <w:jc w:val="right"/>
              <w:rPr>
                <w:rFonts w:ascii="Cambria" w:hAnsi="Cambria" w:cs="Cambria"/>
                <w:b/>
                <w:bCs/>
                <w:color w:val="000000" w:themeColor="text1"/>
                <w:sz w:val="18"/>
                <w:szCs w:val="18"/>
              </w:rPr>
            </w:pPr>
            <w:r w:rsidRPr="00524435">
              <w:rPr>
                <w:rFonts w:ascii="Cambria" w:hAnsi="Cambria" w:cs="Cambria"/>
                <w:b/>
                <w:bCs/>
                <w:color w:val="000000" w:themeColor="text1"/>
                <w:sz w:val="18"/>
                <w:szCs w:val="18"/>
              </w:rPr>
              <w:t>Total</w:t>
            </w:r>
          </w:p>
        </w:tc>
        <w:tc>
          <w:tcPr>
            <w:tcW w:w="764" w:type="dxa"/>
            <w:shd w:val="clear" w:color="auto" w:fill="C0C0C0"/>
            <w:vAlign w:val="center"/>
          </w:tcPr>
          <w:p w14:paraId="78F7C8A0" w14:textId="77777777" w:rsidR="00302253" w:rsidRPr="00524435" w:rsidRDefault="00302253" w:rsidP="00C33359">
            <w:pPr>
              <w:jc w:val="center"/>
              <w:rPr>
                <w:rFonts w:ascii="Cambria" w:hAnsi="Cambria" w:cs="Cambria"/>
                <w:b/>
                <w:bCs/>
                <w:color w:val="000000" w:themeColor="text1"/>
                <w:sz w:val="18"/>
                <w:szCs w:val="18"/>
              </w:rPr>
            </w:pPr>
            <w:r w:rsidRPr="00524435">
              <w:rPr>
                <w:rFonts w:ascii="Cambria" w:hAnsi="Cambria" w:cs="Calibri"/>
                <w:b/>
                <w:color w:val="000000" w:themeColor="text1"/>
                <w:sz w:val="18"/>
                <w:szCs w:val="18"/>
              </w:rPr>
              <w:t>105</w:t>
            </w:r>
          </w:p>
        </w:tc>
        <w:tc>
          <w:tcPr>
            <w:tcW w:w="765" w:type="dxa"/>
            <w:shd w:val="clear" w:color="auto" w:fill="C0C0C0"/>
            <w:vAlign w:val="center"/>
          </w:tcPr>
          <w:p w14:paraId="54D8A805" w14:textId="77777777" w:rsidR="00302253" w:rsidRPr="00524435" w:rsidRDefault="00302253" w:rsidP="00C33359">
            <w:pPr>
              <w:jc w:val="center"/>
              <w:rPr>
                <w:rFonts w:ascii="Cambria" w:hAnsi="Cambria" w:cs="Cambria"/>
                <w:b/>
                <w:bCs/>
                <w:color w:val="000000" w:themeColor="text1"/>
                <w:sz w:val="18"/>
                <w:szCs w:val="18"/>
              </w:rPr>
            </w:pPr>
            <w:r w:rsidRPr="00524435">
              <w:rPr>
                <w:rFonts w:ascii="Cambria" w:hAnsi="Cambria" w:cs="Calibri"/>
                <w:b/>
                <w:color w:val="000000" w:themeColor="text1"/>
                <w:sz w:val="18"/>
                <w:szCs w:val="18"/>
              </w:rPr>
              <w:t>109</w:t>
            </w:r>
          </w:p>
        </w:tc>
        <w:tc>
          <w:tcPr>
            <w:tcW w:w="766" w:type="dxa"/>
            <w:shd w:val="clear" w:color="auto" w:fill="C0C0C0"/>
            <w:vAlign w:val="center"/>
          </w:tcPr>
          <w:p w14:paraId="16B2B870" w14:textId="77777777" w:rsidR="00302253" w:rsidRPr="00524435" w:rsidRDefault="00302253" w:rsidP="00C33359">
            <w:pPr>
              <w:jc w:val="center"/>
              <w:rPr>
                <w:rFonts w:ascii="Cambria" w:hAnsi="Cambria" w:cs="Cambria"/>
                <w:b/>
                <w:bCs/>
                <w:color w:val="000000" w:themeColor="text1"/>
                <w:sz w:val="18"/>
                <w:szCs w:val="18"/>
              </w:rPr>
            </w:pPr>
            <w:r w:rsidRPr="00524435">
              <w:rPr>
                <w:rFonts w:ascii="Cambria" w:hAnsi="Cambria" w:cs="Calibri"/>
                <w:b/>
                <w:color w:val="000000" w:themeColor="text1"/>
                <w:sz w:val="18"/>
                <w:szCs w:val="18"/>
              </w:rPr>
              <w:t>113</w:t>
            </w:r>
          </w:p>
        </w:tc>
        <w:tc>
          <w:tcPr>
            <w:tcW w:w="739" w:type="dxa"/>
            <w:shd w:val="clear" w:color="auto" w:fill="C0C0C0"/>
          </w:tcPr>
          <w:p w14:paraId="615A5463" w14:textId="77777777" w:rsidR="00302253" w:rsidRPr="00524435" w:rsidRDefault="00302253" w:rsidP="00C33359">
            <w:pPr>
              <w:jc w:val="center"/>
              <w:rPr>
                <w:rFonts w:ascii="Cambria" w:hAnsi="Cambria" w:cs="Cambria"/>
                <w:b/>
                <w:bCs/>
                <w:color w:val="000000" w:themeColor="text1"/>
                <w:sz w:val="18"/>
                <w:szCs w:val="18"/>
              </w:rPr>
            </w:pPr>
            <w:r w:rsidRPr="00524435">
              <w:rPr>
                <w:rFonts w:ascii="Cambria" w:hAnsi="Cambria" w:cs="Calibri"/>
                <w:b/>
                <w:color w:val="000000" w:themeColor="text1"/>
                <w:sz w:val="18"/>
                <w:szCs w:val="18"/>
              </w:rPr>
              <w:t>115</w:t>
            </w:r>
          </w:p>
        </w:tc>
        <w:tc>
          <w:tcPr>
            <w:tcW w:w="726" w:type="dxa"/>
            <w:shd w:val="clear" w:color="auto" w:fill="C0C0C0"/>
          </w:tcPr>
          <w:p w14:paraId="6164408A" w14:textId="77777777" w:rsidR="00302253" w:rsidRPr="00524435" w:rsidRDefault="00302253" w:rsidP="00C33359">
            <w:pPr>
              <w:jc w:val="center"/>
              <w:rPr>
                <w:rFonts w:ascii="Cambria" w:hAnsi="Cambria" w:cs="Calibri"/>
                <w:b/>
                <w:color w:val="000000" w:themeColor="text1"/>
                <w:sz w:val="18"/>
                <w:szCs w:val="18"/>
              </w:rPr>
            </w:pPr>
            <w:r w:rsidRPr="00524435">
              <w:rPr>
                <w:rFonts w:ascii="Cambria" w:hAnsi="Cambria" w:cs="Calibri"/>
                <w:b/>
                <w:color w:val="000000" w:themeColor="text1"/>
                <w:sz w:val="18"/>
                <w:szCs w:val="18"/>
              </w:rPr>
              <w:t>123</w:t>
            </w:r>
            <w:r w:rsidRPr="00524435">
              <w:rPr>
                <w:rStyle w:val="FootnoteReference"/>
                <w:rFonts w:ascii="Cambria" w:hAnsi="Cambria" w:cs="Calibri"/>
                <w:b/>
                <w:color w:val="000000" w:themeColor="text1"/>
                <w:sz w:val="18"/>
                <w:szCs w:val="18"/>
              </w:rPr>
              <w:footnoteReference w:id="145"/>
            </w:r>
          </w:p>
        </w:tc>
        <w:tc>
          <w:tcPr>
            <w:tcW w:w="814" w:type="dxa"/>
            <w:shd w:val="clear" w:color="auto" w:fill="C0C0C0"/>
            <w:vAlign w:val="center"/>
          </w:tcPr>
          <w:p w14:paraId="5E0CE185" w14:textId="77777777" w:rsidR="00302253" w:rsidRPr="00524435" w:rsidRDefault="00302253" w:rsidP="00C33359">
            <w:pPr>
              <w:jc w:val="center"/>
              <w:rPr>
                <w:rFonts w:ascii="Cambria" w:hAnsi="Cambria" w:cs="Cambria"/>
                <w:b/>
                <w:bCs/>
                <w:color w:val="000000" w:themeColor="text1"/>
                <w:sz w:val="18"/>
                <w:szCs w:val="18"/>
              </w:rPr>
            </w:pPr>
            <w:r w:rsidRPr="00524435">
              <w:rPr>
                <w:rFonts w:ascii="Cambria" w:hAnsi="Cambria" w:cs="Calibri"/>
                <w:b/>
                <w:color w:val="000000" w:themeColor="text1"/>
                <w:sz w:val="18"/>
                <w:szCs w:val="18"/>
              </w:rPr>
              <w:t>100%</w:t>
            </w:r>
          </w:p>
        </w:tc>
        <w:tc>
          <w:tcPr>
            <w:tcW w:w="830" w:type="dxa"/>
            <w:shd w:val="clear" w:color="auto" w:fill="C0C0C0"/>
            <w:vAlign w:val="center"/>
          </w:tcPr>
          <w:p w14:paraId="2F34A108" w14:textId="77777777" w:rsidR="00302253" w:rsidRPr="00524435" w:rsidRDefault="00302253" w:rsidP="00C33359">
            <w:pPr>
              <w:jc w:val="center"/>
              <w:rPr>
                <w:rFonts w:ascii="Cambria" w:hAnsi="Cambria" w:cs="Cambria"/>
                <w:b/>
                <w:bCs/>
                <w:color w:val="000000" w:themeColor="text1"/>
                <w:sz w:val="18"/>
                <w:szCs w:val="18"/>
              </w:rPr>
            </w:pPr>
            <w:r w:rsidRPr="00524435">
              <w:rPr>
                <w:rFonts w:ascii="Cambria" w:hAnsi="Cambria" w:cs="Calibri"/>
                <w:b/>
                <w:color w:val="000000" w:themeColor="text1"/>
                <w:sz w:val="18"/>
                <w:szCs w:val="18"/>
              </w:rPr>
              <w:t>100%</w:t>
            </w:r>
          </w:p>
        </w:tc>
        <w:tc>
          <w:tcPr>
            <w:tcW w:w="830" w:type="dxa"/>
            <w:shd w:val="clear" w:color="auto" w:fill="C0C0C0"/>
            <w:vAlign w:val="center"/>
          </w:tcPr>
          <w:p w14:paraId="11127119" w14:textId="77777777" w:rsidR="00302253" w:rsidRPr="00524435" w:rsidRDefault="00302253" w:rsidP="00C33359">
            <w:pPr>
              <w:jc w:val="center"/>
              <w:rPr>
                <w:rFonts w:ascii="Cambria" w:hAnsi="Cambria" w:cs="Cambria"/>
                <w:b/>
                <w:bCs/>
                <w:color w:val="000000" w:themeColor="text1"/>
                <w:sz w:val="18"/>
                <w:szCs w:val="18"/>
              </w:rPr>
            </w:pPr>
            <w:r w:rsidRPr="00524435">
              <w:rPr>
                <w:rFonts w:ascii="Cambria" w:hAnsi="Cambria" w:cs="Calibri"/>
                <w:b/>
                <w:color w:val="000000" w:themeColor="text1"/>
                <w:sz w:val="18"/>
                <w:szCs w:val="18"/>
              </w:rPr>
              <w:t>100%</w:t>
            </w:r>
          </w:p>
        </w:tc>
        <w:tc>
          <w:tcPr>
            <w:tcW w:w="781" w:type="dxa"/>
            <w:shd w:val="clear" w:color="auto" w:fill="D1CECE"/>
          </w:tcPr>
          <w:p w14:paraId="0B89809C" w14:textId="77777777" w:rsidR="00302253" w:rsidRPr="00524435" w:rsidRDefault="00302253" w:rsidP="00C33359">
            <w:pPr>
              <w:jc w:val="center"/>
              <w:rPr>
                <w:rFonts w:ascii="Cambria" w:hAnsi="Cambria" w:cs="Cambria"/>
                <w:b/>
                <w:bCs/>
                <w:color w:val="000000" w:themeColor="text1"/>
                <w:sz w:val="18"/>
                <w:szCs w:val="18"/>
              </w:rPr>
            </w:pPr>
            <w:r w:rsidRPr="00524435">
              <w:rPr>
                <w:rFonts w:ascii="Cambria" w:hAnsi="Cambria" w:cs="Calibri"/>
                <w:b/>
                <w:color w:val="000000" w:themeColor="text1"/>
                <w:sz w:val="18"/>
                <w:szCs w:val="18"/>
              </w:rPr>
              <w:t>100%</w:t>
            </w:r>
          </w:p>
        </w:tc>
        <w:tc>
          <w:tcPr>
            <w:tcW w:w="768" w:type="dxa"/>
          </w:tcPr>
          <w:p w14:paraId="3517A0D0" w14:textId="77777777" w:rsidR="00302253" w:rsidRPr="00524435" w:rsidRDefault="00302253" w:rsidP="00C33359">
            <w:pPr>
              <w:jc w:val="center"/>
              <w:rPr>
                <w:rFonts w:ascii="Cambria" w:hAnsi="Cambria" w:cs="Cambria"/>
                <w:b/>
                <w:bCs/>
                <w:color w:val="000000" w:themeColor="text1"/>
                <w:sz w:val="18"/>
                <w:szCs w:val="18"/>
              </w:rPr>
            </w:pPr>
            <w:r w:rsidRPr="00524435">
              <w:rPr>
                <w:rFonts w:ascii="Cambria" w:hAnsi="Cambria" w:cs="Calibri"/>
                <w:b/>
                <w:color w:val="000000" w:themeColor="text1"/>
                <w:sz w:val="18"/>
                <w:szCs w:val="18"/>
              </w:rPr>
              <w:t>100%</w:t>
            </w:r>
          </w:p>
        </w:tc>
      </w:tr>
    </w:tbl>
    <w:p w14:paraId="008DD43C" w14:textId="77777777" w:rsidR="00302253" w:rsidRPr="00524435" w:rsidRDefault="00302253" w:rsidP="00302253">
      <w:pPr>
        <w:rPr>
          <w:rFonts w:ascii="Cambria" w:hAnsi="Cambria"/>
          <w:color w:val="000000" w:themeColor="text1"/>
          <w:sz w:val="20"/>
          <w:szCs w:val="20"/>
        </w:rPr>
      </w:pPr>
    </w:p>
    <w:p w14:paraId="5C13C29C" w14:textId="77777777" w:rsidR="00302253" w:rsidRPr="00524435" w:rsidRDefault="00302253" w:rsidP="006E5C42">
      <w:pPr>
        <w:pStyle w:val="ListParagraph"/>
      </w:pPr>
      <w:r w:rsidRPr="00524435">
        <w:t>Moreover, after analyzing progress with compliance in the cases covered in the 2021 Annual Report (</w:t>
      </w:r>
      <w:proofErr w:type="gramStart"/>
      <w:r w:rsidRPr="00524435">
        <w:t>i.e.</w:t>
      </w:r>
      <w:proofErr w:type="gramEnd"/>
      <w:r w:rsidRPr="00524435">
        <w:t xml:space="preserve"> excluding the 11 cases covered this year), it can be concluded that in 2021, significant progress was made on the implementation of the Commission’s recommendations or clauses from its agreements to comply. It should be stressed that this increase in compliance with such recommendations or clauses does not necessarily equate to a rise in cases’ overall status of compliance. Nonetheless, this progress does help identify successful outcomes of the monitoring processes initiated by the IACHR, given that, in practice, compliance measures adopted by the States and considered to further implement each decision (recommendation or clause from agreements to comply) amount to individual or structural reparations that aim to ensure the victims’ rights and the right to contribute to the non</w:t>
      </w:r>
      <w:r w:rsidRPr="00524435">
        <w:noBreakHyphen/>
        <w:t xml:space="preserve">repetition of such acts. </w:t>
      </w:r>
    </w:p>
    <w:p w14:paraId="78523AD5" w14:textId="77777777" w:rsidR="00302253" w:rsidRPr="00524435" w:rsidRDefault="00302253" w:rsidP="006E5C42">
      <w:pPr>
        <w:pStyle w:val="ListParagraph"/>
      </w:pPr>
      <w:r w:rsidRPr="00524435">
        <w:t>The IACHR is cognizant of the fact that compliance with recommendations and clauses from agreements to comply are the result of a complex process that involves strong and consistent interaction among the users of the inter</w:t>
      </w:r>
      <w:r w:rsidRPr="00524435">
        <w:noBreakHyphen/>
        <w:t xml:space="preserve">American human rights system.  Accordingly, the Commission reiterates its commitment to adopt </w:t>
      </w:r>
      <w:proofErr w:type="gramStart"/>
      <w:r w:rsidRPr="00524435">
        <w:t>any and all</w:t>
      </w:r>
      <w:proofErr w:type="gramEnd"/>
      <w:r w:rsidRPr="00524435">
        <w:t xml:space="preserve"> types of measures at its disposal to promote ongoing and effective compliance with decisions that aim to better safeguard human rights in the region. The increases in compliance with recommendations and clauses from agreements to comply adopted by the parties are explained below. </w:t>
      </w:r>
    </w:p>
    <w:p w14:paraId="1A057FE0" w14:textId="77777777" w:rsidR="00302253" w:rsidRPr="00524435" w:rsidRDefault="00302253" w:rsidP="006E5C42">
      <w:pPr>
        <w:pStyle w:val="ListParagraph"/>
      </w:pPr>
      <w:r w:rsidRPr="00524435">
        <w:t>Based on the information the Commission received and examined in 2021, it determined that some progress was made in implementing 36 compensatory measures related to 32 recommendations from published reports on the merits and four clauses from agreements to comply. These figures double the increases in compliance identified in 2021, in part, due to improvements in the quantity and quality of information submitted through the monitoring processes. This rise in compliance has also been the result of work to strengthen the methodology used for the Commission’s compliance analyses.</w:t>
      </w:r>
    </w:p>
    <w:p w14:paraId="1B3B58ED" w14:textId="77777777" w:rsidR="00302253" w:rsidRPr="00524435" w:rsidRDefault="00302253" w:rsidP="006E5C42">
      <w:pPr>
        <w:pStyle w:val="ListParagraph"/>
      </w:pPr>
      <w:r w:rsidRPr="00524435">
        <w:t>Through the monitoring activities performed in 2021, the IACHR determined that States had achieved total compliance with nine compensatory measures,</w:t>
      </w:r>
      <w:r w:rsidRPr="00524435">
        <w:rPr>
          <w:vertAlign w:val="superscript"/>
        </w:rPr>
        <w:footnoteReference w:id="146"/>
      </w:r>
      <w:r w:rsidRPr="00524435">
        <w:t xml:space="preserve"> substantial partial compliance with nine such </w:t>
      </w:r>
      <w:r w:rsidRPr="00524435">
        <w:lastRenderedPageBreak/>
        <w:t>measures; and partial compliance with 18 of them.</w:t>
      </w:r>
      <w:r w:rsidRPr="00524435">
        <w:rPr>
          <w:vertAlign w:val="superscript"/>
        </w:rPr>
        <w:footnoteReference w:id="147"/>
      </w:r>
      <w:r w:rsidRPr="00524435">
        <w:t xml:space="preserve"> Of the 36 measures with progress reported through the 2021 </w:t>
      </w:r>
      <w:r w:rsidRPr="00524435">
        <w:rPr>
          <w:shd w:val="clear" w:color="auto" w:fill="FFFFFF" w:themeFill="background1"/>
        </w:rPr>
        <w:t>monitoring,</w:t>
      </w:r>
      <w:r w:rsidRPr="00524435">
        <w:t xml:space="preserve"> 12 are individual in nature, and 24 (twice as many) are structural. The IACHR applauds the fact that, in 2021, progress was made on compliance with numerous recommendations contained in published reports on the merits, as well as on cases involving Caribbean countries.</w:t>
      </w:r>
    </w:p>
    <w:p w14:paraId="7D584C75" w14:textId="3CA8FB31" w:rsidR="00302253" w:rsidRPr="00524435" w:rsidRDefault="00302253" w:rsidP="006E5C42">
      <w:pPr>
        <w:pStyle w:val="ListParagraph"/>
      </w:pPr>
      <w:r w:rsidRPr="00524435">
        <w:t>For 2021, the 123</w:t>
      </w:r>
      <w:r w:rsidRPr="00524435">
        <w:rPr>
          <w:rStyle w:val="FootnoteReference"/>
          <w:bCs/>
          <w:color w:val="000000" w:themeColor="text1"/>
        </w:rPr>
        <w:footnoteReference w:id="148"/>
      </w:r>
      <w:r w:rsidRPr="00524435">
        <w:t xml:space="preserve"> reports on the merits published in accordance with Article 51 of the American Convention on Human Rights covered a total of 642 decisions under monitoring, which were broken down into 499 recommendations and 149 clauses from agreements to comply (the latter having been signed by the parties as part of follow</w:t>
      </w:r>
      <w:r w:rsidRPr="00524435">
        <w:noBreakHyphen/>
        <w:t>up to published reports on the merits). Of these decisions, 326 were individual in nature and 316 were structural. Moreover, of the 642 decisions (including recommendations and clauses from agreements to comply), 360 have seen some degree of progress in their implementation (177 with total compliance, 42 with substantial partial compliance, and 141 with partial compliance), 266 are pending compliance, 15 recommendations lack compliance, and one continues to be monitored as the Commission awaits additional information to determine its status.</w:t>
      </w:r>
    </w:p>
    <w:p w14:paraId="4DA81103" w14:textId="77777777" w:rsidR="00302253" w:rsidRPr="00524435" w:rsidRDefault="00302253" w:rsidP="006E5C42">
      <w:pPr>
        <w:pStyle w:val="ListParagraph"/>
      </w:pPr>
      <w:r w:rsidRPr="00524435">
        <w:t>For its part, of the 177 decisions that currently have a level of total compliance (which include recommendations and clauses of compliance agreements), 118 are of an individual nature and 59 of a structural nature. The IACHR highlights that, over the years, the States have managed to comply to a greater extent with individual measures of economic compensation and satisfaction, and with structural measures related to legislation and regulations, while individual measures related to assuring the truth and justice are the ones that face the greatest challenges for their fulfillment.</w:t>
      </w:r>
    </w:p>
    <w:p w14:paraId="265EFF29" w14:textId="77777777" w:rsidR="00302253" w:rsidRPr="00524435" w:rsidRDefault="00302253" w:rsidP="006E5C42">
      <w:pPr>
        <w:pStyle w:val="ListParagraph"/>
      </w:pPr>
      <w:r w:rsidRPr="00524435">
        <w:t>The table below shows the progress identified by the IACHR in 2021 to determine that there was total compliance with nine decisions (including both recommendations and clauses from agreements to comply).</w:t>
      </w:r>
    </w:p>
    <w:tbl>
      <w:tblPr>
        <w:tblW w:w="9630" w:type="dxa"/>
        <w:jc w:val="center"/>
        <w:tblBorders>
          <w:insideH w:val="single" w:sz="18" w:space="0" w:color="FFFFFF"/>
          <w:insideV w:val="single" w:sz="18" w:space="0" w:color="FFFFFF"/>
        </w:tblBorders>
        <w:tblLayout w:type="fixed"/>
        <w:tblLook w:val="0020" w:firstRow="1" w:lastRow="0" w:firstColumn="0" w:lastColumn="0" w:noHBand="0" w:noVBand="0"/>
      </w:tblPr>
      <w:tblGrid>
        <w:gridCol w:w="1890"/>
        <w:gridCol w:w="1170"/>
        <w:gridCol w:w="2430"/>
        <w:gridCol w:w="2790"/>
        <w:gridCol w:w="1350"/>
      </w:tblGrid>
      <w:tr w:rsidR="00302253" w:rsidRPr="00524435" w14:paraId="13EE72E5" w14:textId="77777777" w:rsidTr="00D55667">
        <w:trPr>
          <w:trHeight w:val="504"/>
          <w:jc w:val="center"/>
        </w:trPr>
        <w:tc>
          <w:tcPr>
            <w:tcW w:w="1890" w:type="dxa"/>
            <w:shd w:val="clear" w:color="auto" w:fill="A6A6A6"/>
            <w:vAlign w:val="center"/>
          </w:tcPr>
          <w:p w14:paraId="4130196F" w14:textId="77777777" w:rsidR="00302253" w:rsidRPr="00524435" w:rsidRDefault="00302253" w:rsidP="00C33359">
            <w:pPr>
              <w:jc w:val="center"/>
              <w:rPr>
                <w:rFonts w:ascii="Cambria" w:eastAsia="MS Mincho" w:hAnsi="Cambria" w:cs="Calibri"/>
                <w:b/>
                <w:color w:val="000000" w:themeColor="text1"/>
                <w:sz w:val="18"/>
                <w:szCs w:val="18"/>
                <w:lang w:eastAsia="es-ES_tradnl"/>
              </w:rPr>
            </w:pPr>
            <w:r w:rsidRPr="00524435">
              <w:rPr>
                <w:rFonts w:ascii="Cambria" w:eastAsia="MS Mincho" w:hAnsi="Cambria" w:cs="Calibri"/>
                <w:b/>
                <w:color w:val="000000" w:themeColor="text1"/>
                <w:sz w:val="18"/>
                <w:szCs w:val="18"/>
                <w:lang w:eastAsia="es-ES_tradnl"/>
              </w:rPr>
              <w:t>Case</w:t>
            </w:r>
          </w:p>
        </w:tc>
        <w:tc>
          <w:tcPr>
            <w:tcW w:w="1170" w:type="dxa"/>
            <w:shd w:val="clear" w:color="auto" w:fill="A6A6A6"/>
            <w:vAlign w:val="center"/>
          </w:tcPr>
          <w:p w14:paraId="6D4C8C4A" w14:textId="77777777" w:rsidR="00302253" w:rsidRPr="00524435" w:rsidRDefault="00302253" w:rsidP="00C33359">
            <w:pPr>
              <w:jc w:val="center"/>
              <w:rPr>
                <w:rFonts w:ascii="Cambria" w:eastAsia="MS Mincho" w:hAnsi="Cambria" w:cs="Calibri"/>
                <w:b/>
                <w:color w:val="000000" w:themeColor="text1"/>
                <w:sz w:val="18"/>
                <w:szCs w:val="18"/>
                <w:lang w:eastAsia="es-ES_tradnl"/>
              </w:rPr>
            </w:pPr>
            <w:r w:rsidRPr="00524435">
              <w:rPr>
                <w:rFonts w:ascii="Cambria" w:eastAsia="MS Mincho" w:hAnsi="Cambria" w:cs="Calibri"/>
                <w:b/>
                <w:color w:val="000000" w:themeColor="text1"/>
                <w:sz w:val="18"/>
                <w:szCs w:val="18"/>
                <w:lang w:eastAsia="es-ES_tradnl"/>
              </w:rPr>
              <w:t>Scope of the compliance measure</w:t>
            </w:r>
          </w:p>
        </w:tc>
        <w:tc>
          <w:tcPr>
            <w:tcW w:w="2430" w:type="dxa"/>
            <w:shd w:val="clear" w:color="auto" w:fill="A6A6A6"/>
            <w:vAlign w:val="center"/>
          </w:tcPr>
          <w:p w14:paraId="2CAEF256" w14:textId="77777777" w:rsidR="00302253" w:rsidRPr="00524435" w:rsidRDefault="00302253" w:rsidP="00C33359">
            <w:pPr>
              <w:jc w:val="center"/>
              <w:rPr>
                <w:rFonts w:ascii="Cambria" w:eastAsia="MS Mincho" w:hAnsi="Cambria" w:cs="Calibri"/>
                <w:b/>
                <w:color w:val="000000" w:themeColor="text1"/>
                <w:sz w:val="18"/>
                <w:szCs w:val="18"/>
                <w:lang w:eastAsia="es-ES_tradnl"/>
              </w:rPr>
            </w:pPr>
            <w:r w:rsidRPr="00524435">
              <w:rPr>
                <w:rFonts w:ascii="Cambria" w:eastAsia="MS Mincho" w:hAnsi="Cambria" w:cs="Calibri"/>
                <w:b/>
                <w:color w:val="000000" w:themeColor="text1"/>
                <w:sz w:val="18"/>
                <w:szCs w:val="18"/>
                <w:lang w:eastAsia="es-ES_tradnl"/>
              </w:rPr>
              <w:t>Recommendation or clause from agreement to comply</w:t>
            </w:r>
          </w:p>
        </w:tc>
        <w:tc>
          <w:tcPr>
            <w:tcW w:w="2790" w:type="dxa"/>
            <w:shd w:val="clear" w:color="auto" w:fill="A6A6A6"/>
            <w:vAlign w:val="center"/>
          </w:tcPr>
          <w:p w14:paraId="4E93A608" w14:textId="77777777" w:rsidR="00302253" w:rsidRPr="00524435" w:rsidRDefault="00302253" w:rsidP="00C33359">
            <w:pPr>
              <w:jc w:val="center"/>
              <w:rPr>
                <w:rFonts w:ascii="Cambria" w:eastAsia="MS Mincho" w:hAnsi="Cambria" w:cs="Calibri"/>
                <w:b/>
                <w:color w:val="000000" w:themeColor="text1"/>
                <w:sz w:val="18"/>
                <w:szCs w:val="18"/>
                <w:lang w:eastAsia="es-ES_tradnl"/>
              </w:rPr>
            </w:pPr>
            <w:r w:rsidRPr="00524435">
              <w:rPr>
                <w:rFonts w:ascii="Cambria" w:eastAsia="MS Mincho" w:hAnsi="Cambria" w:cs="Calibri"/>
                <w:b/>
                <w:color w:val="000000" w:themeColor="text1"/>
                <w:sz w:val="18"/>
                <w:szCs w:val="18"/>
                <w:lang w:eastAsia="es-ES_tradnl"/>
              </w:rPr>
              <w:t>Reported outcomes</w:t>
            </w:r>
          </w:p>
        </w:tc>
        <w:tc>
          <w:tcPr>
            <w:tcW w:w="1350" w:type="dxa"/>
            <w:shd w:val="clear" w:color="auto" w:fill="A6A6A6"/>
            <w:vAlign w:val="center"/>
          </w:tcPr>
          <w:p w14:paraId="1155641D" w14:textId="77777777" w:rsidR="00302253" w:rsidRPr="00524435" w:rsidRDefault="00302253" w:rsidP="00C33359">
            <w:pPr>
              <w:jc w:val="center"/>
              <w:rPr>
                <w:rFonts w:ascii="Cambria" w:eastAsia="MS Mincho" w:hAnsi="Cambria" w:cs="Calibri"/>
                <w:b/>
                <w:color w:val="000000" w:themeColor="text1"/>
                <w:sz w:val="18"/>
                <w:szCs w:val="18"/>
                <w:lang w:eastAsia="es-ES_tradnl"/>
              </w:rPr>
            </w:pPr>
            <w:r w:rsidRPr="00524435">
              <w:rPr>
                <w:rFonts w:ascii="Cambria" w:eastAsia="MS Mincho" w:hAnsi="Cambria" w:cs="Calibri"/>
                <w:b/>
                <w:color w:val="000000" w:themeColor="text1"/>
                <w:sz w:val="18"/>
                <w:szCs w:val="18"/>
                <w:lang w:eastAsia="es-ES_tradnl"/>
              </w:rPr>
              <w:t>Status of compliance in 2021</w:t>
            </w:r>
          </w:p>
        </w:tc>
      </w:tr>
      <w:tr w:rsidR="00302253" w:rsidRPr="00524435" w14:paraId="376D62AD" w14:textId="77777777" w:rsidTr="00C33359">
        <w:trPr>
          <w:trHeight w:val="504"/>
          <w:jc w:val="center"/>
        </w:trPr>
        <w:tc>
          <w:tcPr>
            <w:tcW w:w="9630" w:type="dxa"/>
            <w:gridSpan w:val="5"/>
            <w:shd w:val="clear" w:color="auto" w:fill="BFBFBF"/>
            <w:vAlign w:val="center"/>
          </w:tcPr>
          <w:p w14:paraId="3DBA842C" w14:textId="77777777" w:rsidR="00302253" w:rsidRPr="00524435" w:rsidRDefault="00302253" w:rsidP="00D55667">
            <w:pPr>
              <w:spacing w:before="240" w:after="240" w:line="240" w:lineRule="auto"/>
              <w:jc w:val="center"/>
              <w:rPr>
                <w:rFonts w:ascii="Cambria" w:eastAsia="MS Mincho" w:hAnsi="Cambria" w:cs="Calibri"/>
                <w:b/>
                <w:color w:val="000000" w:themeColor="text1"/>
                <w:sz w:val="18"/>
                <w:szCs w:val="18"/>
                <w:highlight w:val="yellow"/>
                <w:lang w:eastAsia="es-ES_tradnl"/>
              </w:rPr>
            </w:pPr>
            <w:r w:rsidRPr="00524435">
              <w:rPr>
                <w:rFonts w:ascii="Cambria" w:eastAsia="MS Mincho" w:hAnsi="Cambria" w:cs="Calibri"/>
                <w:b/>
                <w:color w:val="000000" w:themeColor="text1"/>
                <w:sz w:val="18"/>
                <w:szCs w:val="18"/>
                <w:lang w:eastAsia="es-ES_tradnl"/>
              </w:rPr>
              <w:t>ARGENTINA</w:t>
            </w:r>
          </w:p>
        </w:tc>
      </w:tr>
      <w:tr w:rsidR="00302253" w:rsidRPr="00524435" w14:paraId="12E41D51" w14:textId="77777777" w:rsidTr="00D55667">
        <w:trPr>
          <w:trHeight w:val="504"/>
          <w:jc w:val="center"/>
        </w:trPr>
        <w:tc>
          <w:tcPr>
            <w:tcW w:w="1890" w:type="dxa"/>
            <w:shd w:val="clear" w:color="auto" w:fill="D9D9D9"/>
            <w:vAlign w:val="center"/>
          </w:tcPr>
          <w:p w14:paraId="7A6F66C1" w14:textId="77777777" w:rsidR="00302253" w:rsidRPr="00524435" w:rsidRDefault="00302253" w:rsidP="00C33359">
            <w:pPr>
              <w:rPr>
                <w:rFonts w:ascii="Cambria" w:eastAsia="MS Mincho" w:hAnsi="Cambria" w:cs="Calibri"/>
                <w:color w:val="000000" w:themeColor="text1"/>
                <w:sz w:val="18"/>
                <w:szCs w:val="18"/>
                <w:lang w:eastAsia="es-ES_tradnl"/>
              </w:rPr>
            </w:pPr>
            <w:r w:rsidRPr="00524435">
              <w:rPr>
                <w:rFonts w:ascii="Cambria" w:eastAsia="MS Mincho" w:hAnsi="Cambria" w:cs="Calibri"/>
                <w:color w:val="000000" w:themeColor="text1"/>
                <w:sz w:val="18"/>
                <w:szCs w:val="18"/>
              </w:rPr>
              <w:t xml:space="preserve">Case 12.324, Report No. 66/12, Rubén Luis Godoy (Argentina), </w:t>
            </w:r>
            <w:r w:rsidRPr="00524435">
              <w:rPr>
                <w:rFonts w:ascii="Cambria" w:hAnsi="Cambria" w:cs="Calibri"/>
                <w:bCs/>
                <w:color w:val="000000" w:themeColor="text1"/>
                <w:sz w:val="18"/>
                <w:szCs w:val="18"/>
              </w:rPr>
              <w:t xml:space="preserve">recommendation </w:t>
            </w:r>
            <w:r w:rsidRPr="00524435">
              <w:rPr>
                <w:rFonts w:ascii="Cambria" w:eastAsia="MS Mincho" w:hAnsi="Cambria" w:cs="Calibri"/>
                <w:color w:val="000000" w:themeColor="text1"/>
                <w:sz w:val="18"/>
                <w:szCs w:val="18"/>
              </w:rPr>
              <w:t>3</w:t>
            </w:r>
          </w:p>
        </w:tc>
        <w:tc>
          <w:tcPr>
            <w:tcW w:w="1170" w:type="dxa"/>
            <w:shd w:val="clear" w:color="auto" w:fill="D9D9D9"/>
            <w:vAlign w:val="center"/>
          </w:tcPr>
          <w:p w14:paraId="1EC5E723" w14:textId="77777777" w:rsidR="00302253" w:rsidRPr="00524435" w:rsidRDefault="00302253" w:rsidP="00C33359">
            <w:pPr>
              <w:jc w:val="center"/>
              <w:rPr>
                <w:rFonts w:ascii="Cambria" w:eastAsia="MS Mincho" w:hAnsi="Cambria" w:cs="Calibri"/>
                <w:color w:val="000000" w:themeColor="text1"/>
                <w:sz w:val="18"/>
                <w:szCs w:val="18"/>
                <w:lang w:eastAsia="es-ES_tradnl"/>
              </w:rPr>
            </w:pPr>
            <w:r w:rsidRPr="00524435">
              <w:rPr>
                <w:rFonts w:ascii="Cambria" w:eastAsia="MS Mincho" w:hAnsi="Cambria" w:cs="Calibri"/>
                <w:color w:val="000000" w:themeColor="text1"/>
                <w:sz w:val="18"/>
                <w:szCs w:val="18"/>
                <w:lang w:eastAsia="es-ES_tradnl"/>
              </w:rPr>
              <w:t>Structural</w:t>
            </w:r>
          </w:p>
        </w:tc>
        <w:tc>
          <w:tcPr>
            <w:tcW w:w="2430" w:type="dxa"/>
            <w:shd w:val="clear" w:color="auto" w:fill="D9D9D9"/>
            <w:vAlign w:val="center"/>
          </w:tcPr>
          <w:p w14:paraId="2940E848" w14:textId="77777777" w:rsidR="00302253" w:rsidRPr="00524435" w:rsidRDefault="00302253" w:rsidP="00C33359">
            <w:pPr>
              <w:jc w:val="both"/>
              <w:rPr>
                <w:rFonts w:ascii="Cambria" w:eastAsia="MS Mincho" w:hAnsi="Cambria" w:cs="Calibri"/>
                <w:color w:val="000000" w:themeColor="text1"/>
                <w:sz w:val="18"/>
                <w:szCs w:val="18"/>
                <w:lang w:eastAsia="es-ES_tradnl"/>
              </w:rPr>
            </w:pPr>
            <w:r w:rsidRPr="00524435">
              <w:rPr>
                <w:rFonts w:ascii="Cambria" w:hAnsi="Cambria"/>
                <w:color w:val="000000" w:themeColor="text1"/>
                <w:sz w:val="18"/>
                <w:szCs w:val="18"/>
              </w:rPr>
              <w:t xml:space="preserve">Provide legal and other measures to ensure effective compliance with the right enshrined in Article 8(2)(h) of the American Convention, in keeping with the </w:t>
            </w:r>
            <w:r w:rsidRPr="00524435">
              <w:rPr>
                <w:rFonts w:ascii="Cambria" w:hAnsi="Cambria"/>
                <w:color w:val="000000" w:themeColor="text1"/>
                <w:sz w:val="18"/>
                <w:szCs w:val="18"/>
              </w:rPr>
              <w:lastRenderedPageBreak/>
              <w:t>standards described in this report.</w:t>
            </w:r>
          </w:p>
        </w:tc>
        <w:tc>
          <w:tcPr>
            <w:tcW w:w="2790" w:type="dxa"/>
            <w:shd w:val="clear" w:color="auto" w:fill="D9D9D9"/>
          </w:tcPr>
          <w:p w14:paraId="5A539D2A" w14:textId="0CB74084" w:rsidR="00302253" w:rsidRPr="00524435" w:rsidRDefault="00302253" w:rsidP="00D55667">
            <w:pPr>
              <w:jc w:val="both"/>
              <w:rPr>
                <w:rFonts w:ascii="Cambria" w:eastAsia="MS Mincho" w:hAnsi="Cambria" w:cs="Calibri"/>
                <w:color w:val="000000" w:themeColor="text1"/>
                <w:sz w:val="18"/>
                <w:szCs w:val="18"/>
                <w:lang w:eastAsia="es-ES_tradnl"/>
              </w:rPr>
            </w:pPr>
            <w:r w:rsidRPr="00524435">
              <w:rPr>
                <w:rFonts w:ascii="Cambria" w:eastAsia="Times New Roman" w:hAnsi="Cambria" w:cs="Calibri Light"/>
                <w:color w:val="000000" w:themeColor="text1"/>
                <w:sz w:val="18"/>
                <w:szCs w:val="18"/>
              </w:rPr>
              <w:lastRenderedPageBreak/>
              <w:t xml:space="preserve">The IACHR reviewed the information submitted by the petitioner showing that the amendment to the Criminal Procedural Code of Santa Fe and the Argentine National </w:t>
            </w:r>
            <w:r w:rsidRPr="00524435">
              <w:rPr>
                <w:rFonts w:ascii="Cambria" w:eastAsia="Times New Roman" w:hAnsi="Cambria" w:cs="Calibri Light"/>
                <w:color w:val="000000" w:themeColor="text1"/>
                <w:sz w:val="18"/>
                <w:szCs w:val="18"/>
              </w:rPr>
              <w:lastRenderedPageBreak/>
              <w:t>Constitution implemented Article 8(2)(h) of the American Convention on Human Rights.</w:t>
            </w:r>
          </w:p>
        </w:tc>
        <w:tc>
          <w:tcPr>
            <w:tcW w:w="1350" w:type="dxa"/>
            <w:shd w:val="clear" w:color="auto" w:fill="D9D9D9"/>
            <w:vAlign w:val="center"/>
          </w:tcPr>
          <w:p w14:paraId="54C13391" w14:textId="77777777" w:rsidR="00302253" w:rsidRPr="00524435" w:rsidRDefault="00302253" w:rsidP="00C33359">
            <w:pPr>
              <w:jc w:val="center"/>
              <w:rPr>
                <w:rFonts w:ascii="Cambria" w:eastAsia="MS Mincho" w:hAnsi="Cambria" w:cs="Calibri"/>
                <w:color w:val="000000" w:themeColor="text1"/>
                <w:sz w:val="18"/>
                <w:szCs w:val="18"/>
                <w:lang w:eastAsia="es-ES_tradnl"/>
              </w:rPr>
            </w:pPr>
            <w:r w:rsidRPr="00524435">
              <w:rPr>
                <w:rFonts w:ascii="Cambria" w:eastAsia="MS Mincho" w:hAnsi="Cambria" w:cs="Calibri"/>
                <w:color w:val="000000" w:themeColor="text1"/>
                <w:sz w:val="18"/>
                <w:szCs w:val="18"/>
                <w:lang w:eastAsia="es-ES_tradnl"/>
              </w:rPr>
              <w:lastRenderedPageBreak/>
              <w:t>Total</w:t>
            </w:r>
          </w:p>
        </w:tc>
      </w:tr>
      <w:tr w:rsidR="00302253" w:rsidRPr="00524435" w14:paraId="055488E5" w14:textId="77777777" w:rsidTr="00C33359">
        <w:trPr>
          <w:trHeight w:val="504"/>
          <w:jc w:val="center"/>
        </w:trPr>
        <w:tc>
          <w:tcPr>
            <w:tcW w:w="9630" w:type="dxa"/>
            <w:gridSpan w:val="5"/>
            <w:shd w:val="clear" w:color="auto" w:fill="BFBFBF"/>
            <w:vAlign w:val="center"/>
          </w:tcPr>
          <w:p w14:paraId="54456585" w14:textId="77777777" w:rsidR="00302253" w:rsidRPr="00524435" w:rsidRDefault="00302253" w:rsidP="00D55667">
            <w:pPr>
              <w:spacing w:before="240" w:after="240" w:line="240" w:lineRule="auto"/>
              <w:jc w:val="center"/>
              <w:rPr>
                <w:rFonts w:ascii="Cambria" w:eastAsia="MS Mincho" w:hAnsi="Cambria" w:cs="Calibri"/>
                <w:b/>
                <w:color w:val="000000" w:themeColor="text1"/>
                <w:sz w:val="18"/>
                <w:szCs w:val="18"/>
                <w:highlight w:val="yellow"/>
                <w:lang w:eastAsia="es-ES_tradnl"/>
              </w:rPr>
            </w:pPr>
            <w:r w:rsidRPr="00524435">
              <w:rPr>
                <w:rFonts w:ascii="Cambria" w:eastAsia="MS Mincho" w:hAnsi="Cambria" w:cs="Calibri"/>
                <w:b/>
                <w:color w:val="000000" w:themeColor="text1"/>
                <w:sz w:val="18"/>
                <w:szCs w:val="18"/>
                <w:lang w:eastAsia="es-ES_tradnl"/>
              </w:rPr>
              <w:t>BAHAMAS</w:t>
            </w:r>
          </w:p>
        </w:tc>
      </w:tr>
      <w:tr w:rsidR="00302253" w:rsidRPr="00524435" w14:paraId="5552F90B" w14:textId="77777777" w:rsidTr="00D55667">
        <w:trPr>
          <w:trHeight w:val="504"/>
          <w:jc w:val="center"/>
        </w:trPr>
        <w:tc>
          <w:tcPr>
            <w:tcW w:w="1890" w:type="dxa"/>
            <w:shd w:val="clear" w:color="auto" w:fill="D9D9D9"/>
            <w:vAlign w:val="center"/>
          </w:tcPr>
          <w:p w14:paraId="17146A0C" w14:textId="77777777" w:rsidR="00302253" w:rsidRPr="00524435" w:rsidRDefault="00302253" w:rsidP="00C33359">
            <w:pPr>
              <w:rPr>
                <w:rFonts w:ascii="Cambria" w:eastAsia="MS Mincho" w:hAnsi="Cambria" w:cs="Calibri"/>
                <w:color w:val="000000" w:themeColor="text1"/>
                <w:sz w:val="18"/>
                <w:szCs w:val="18"/>
                <w:highlight w:val="yellow"/>
                <w:lang w:eastAsia="es-ES_tradnl"/>
              </w:rPr>
            </w:pPr>
            <w:r w:rsidRPr="00524435">
              <w:rPr>
                <w:rFonts w:ascii="Cambria" w:eastAsia="MS Mincho" w:hAnsi="Cambria" w:cs="Calibri"/>
                <w:color w:val="000000" w:themeColor="text1"/>
                <w:sz w:val="18"/>
                <w:szCs w:val="18"/>
              </w:rPr>
              <w:t xml:space="preserve">Cases </w:t>
            </w:r>
            <w:r w:rsidRPr="00524435">
              <w:rPr>
                <w:rFonts w:ascii="Cambria" w:hAnsi="Cambria" w:cs="Calibri"/>
                <w:color w:val="000000" w:themeColor="text1"/>
                <w:sz w:val="18"/>
                <w:szCs w:val="18"/>
              </w:rPr>
              <w:t xml:space="preserve">12.067, 12.068, and 12.086, Report No. 48/01, </w:t>
            </w:r>
            <w:r w:rsidRPr="00524435">
              <w:rPr>
                <w:rFonts w:ascii="Cambria" w:hAnsi="Cambria" w:cs="Calibri"/>
                <w:snapToGrid w:val="0"/>
                <w:color w:val="000000" w:themeColor="text1"/>
                <w:sz w:val="18"/>
                <w:szCs w:val="18"/>
              </w:rPr>
              <w:t xml:space="preserve">Michael Edwards, Omar Hall, Brian </w:t>
            </w:r>
            <w:proofErr w:type="spellStart"/>
            <w:r w:rsidRPr="00524435">
              <w:rPr>
                <w:rFonts w:ascii="Cambria" w:hAnsi="Cambria" w:cs="Calibri"/>
                <w:snapToGrid w:val="0"/>
                <w:color w:val="000000" w:themeColor="text1"/>
                <w:sz w:val="18"/>
                <w:szCs w:val="18"/>
              </w:rPr>
              <w:t>Schroeter</w:t>
            </w:r>
            <w:proofErr w:type="spellEnd"/>
            <w:r w:rsidRPr="00524435">
              <w:rPr>
                <w:rFonts w:ascii="Cambria" w:hAnsi="Cambria" w:cs="Calibri"/>
                <w:snapToGrid w:val="0"/>
                <w:color w:val="000000" w:themeColor="text1"/>
                <w:sz w:val="18"/>
                <w:szCs w:val="18"/>
              </w:rPr>
              <w:t>, and Jeronimo Bowleg</w:t>
            </w:r>
            <w:r w:rsidRPr="00524435">
              <w:rPr>
                <w:rFonts w:ascii="Cambria" w:hAnsi="Cambria" w:cs="Calibri"/>
                <w:color w:val="000000" w:themeColor="text1"/>
                <w:sz w:val="18"/>
                <w:szCs w:val="18"/>
              </w:rPr>
              <w:t xml:space="preserve"> (Bahamas), </w:t>
            </w:r>
            <w:r w:rsidRPr="00524435">
              <w:rPr>
                <w:rFonts w:ascii="Cambria" w:hAnsi="Cambria" w:cs="Calibri"/>
                <w:bCs/>
                <w:color w:val="000000" w:themeColor="text1"/>
                <w:sz w:val="18"/>
                <w:szCs w:val="18"/>
              </w:rPr>
              <w:t xml:space="preserve">recommendation </w:t>
            </w:r>
            <w:r w:rsidRPr="00524435">
              <w:rPr>
                <w:rFonts w:ascii="Cambria" w:hAnsi="Cambria" w:cs="Calibri"/>
                <w:color w:val="000000" w:themeColor="text1"/>
                <w:sz w:val="18"/>
                <w:szCs w:val="18"/>
              </w:rPr>
              <w:t>2</w:t>
            </w:r>
          </w:p>
        </w:tc>
        <w:tc>
          <w:tcPr>
            <w:tcW w:w="1170" w:type="dxa"/>
            <w:vMerge w:val="restart"/>
            <w:shd w:val="clear" w:color="auto" w:fill="D9D9D9"/>
            <w:vAlign w:val="center"/>
          </w:tcPr>
          <w:p w14:paraId="05351253" w14:textId="77777777" w:rsidR="00302253" w:rsidRPr="00524435" w:rsidRDefault="00302253" w:rsidP="00C33359">
            <w:pPr>
              <w:jc w:val="center"/>
              <w:rPr>
                <w:rFonts w:ascii="Cambria" w:eastAsia="MS Mincho" w:hAnsi="Cambria" w:cs="Calibri"/>
                <w:color w:val="000000" w:themeColor="text1"/>
                <w:sz w:val="18"/>
                <w:szCs w:val="18"/>
                <w:highlight w:val="yellow"/>
                <w:lang w:eastAsia="es-ES_tradnl"/>
              </w:rPr>
            </w:pPr>
            <w:r w:rsidRPr="00524435">
              <w:rPr>
                <w:rFonts w:ascii="Cambria" w:eastAsia="MS Mincho" w:hAnsi="Cambria" w:cs="Calibri"/>
                <w:color w:val="000000" w:themeColor="text1"/>
                <w:sz w:val="18"/>
                <w:szCs w:val="18"/>
                <w:lang w:eastAsia="es-ES_tradnl"/>
              </w:rPr>
              <w:t>Structural</w:t>
            </w:r>
          </w:p>
        </w:tc>
        <w:tc>
          <w:tcPr>
            <w:tcW w:w="2430" w:type="dxa"/>
            <w:vMerge w:val="restart"/>
            <w:shd w:val="clear" w:color="auto" w:fill="D9D9D9"/>
            <w:vAlign w:val="center"/>
          </w:tcPr>
          <w:p w14:paraId="600CA3F6" w14:textId="77777777" w:rsidR="00302253" w:rsidRPr="00524435" w:rsidRDefault="00302253" w:rsidP="00C33359">
            <w:pPr>
              <w:jc w:val="both"/>
              <w:rPr>
                <w:rFonts w:ascii="Cambria" w:eastAsia="MS Mincho" w:hAnsi="Cambria" w:cs="Calibri"/>
                <w:color w:val="000000" w:themeColor="text1"/>
                <w:sz w:val="18"/>
                <w:szCs w:val="18"/>
                <w:highlight w:val="yellow"/>
                <w:lang w:eastAsia="es-ES_tradnl"/>
              </w:rPr>
            </w:pPr>
            <w:r w:rsidRPr="00524435">
              <w:rPr>
                <w:rFonts w:ascii="Cambria" w:hAnsi="Cambria"/>
                <w:color w:val="000000" w:themeColor="text1"/>
                <w:sz w:val="18"/>
                <w:szCs w:val="18"/>
              </w:rPr>
              <w:t xml:space="preserve">Adopt such legislative or other measures as may be necessary to ensure that the death penalty is imposed in compliance with the rights and freedoms guaranteed under the American Declaration, including and </w:t>
            </w:r>
            <w:proofErr w:type="gramStart"/>
            <w:r w:rsidRPr="00524435">
              <w:rPr>
                <w:rFonts w:ascii="Cambria" w:hAnsi="Cambria"/>
                <w:color w:val="000000" w:themeColor="text1"/>
                <w:sz w:val="18"/>
                <w:szCs w:val="18"/>
              </w:rPr>
              <w:t>in particular Articles</w:t>
            </w:r>
            <w:proofErr w:type="gramEnd"/>
            <w:r w:rsidRPr="00524435">
              <w:rPr>
                <w:rFonts w:ascii="Cambria" w:hAnsi="Cambria"/>
                <w:color w:val="000000" w:themeColor="text1"/>
                <w:sz w:val="18"/>
                <w:szCs w:val="18"/>
              </w:rPr>
              <w:t xml:space="preserve"> I, XXV, and XXVI, and to ensure that no person is sentenced to death pursuant to a mandatory sentencing law.</w:t>
            </w:r>
          </w:p>
        </w:tc>
        <w:tc>
          <w:tcPr>
            <w:tcW w:w="2790" w:type="dxa"/>
            <w:vMerge w:val="restart"/>
            <w:shd w:val="clear" w:color="auto" w:fill="D9D9D9"/>
          </w:tcPr>
          <w:p w14:paraId="5FFAFBD7" w14:textId="77777777" w:rsidR="00302253" w:rsidRPr="00524435" w:rsidRDefault="00302253" w:rsidP="00C33359">
            <w:pPr>
              <w:jc w:val="both"/>
              <w:rPr>
                <w:rFonts w:ascii="Cambria" w:hAnsi="Cambria"/>
                <w:color w:val="000000" w:themeColor="text1"/>
                <w:sz w:val="18"/>
                <w:szCs w:val="18"/>
              </w:rPr>
            </w:pPr>
          </w:p>
          <w:p w14:paraId="1C50FD97" w14:textId="77777777" w:rsidR="00302253" w:rsidRPr="00524435" w:rsidRDefault="00302253" w:rsidP="00C33359">
            <w:pPr>
              <w:jc w:val="both"/>
              <w:rPr>
                <w:rFonts w:ascii="Cambria" w:hAnsi="Cambria"/>
                <w:color w:val="000000" w:themeColor="text1"/>
                <w:sz w:val="18"/>
                <w:szCs w:val="18"/>
              </w:rPr>
            </w:pPr>
          </w:p>
          <w:p w14:paraId="6A1D4F89" w14:textId="77777777" w:rsidR="00302253" w:rsidRPr="00524435" w:rsidRDefault="00302253" w:rsidP="00C33359">
            <w:pPr>
              <w:jc w:val="both"/>
              <w:rPr>
                <w:rFonts w:ascii="Cambria" w:eastAsia="MS Mincho" w:hAnsi="Cambria" w:cs="Calibri"/>
                <w:color w:val="000000" w:themeColor="text1"/>
                <w:sz w:val="18"/>
                <w:szCs w:val="18"/>
                <w:highlight w:val="yellow"/>
                <w:lang w:eastAsia="es-ES_tradnl"/>
              </w:rPr>
            </w:pPr>
            <w:r w:rsidRPr="00524435">
              <w:rPr>
                <w:rFonts w:ascii="Cambria" w:hAnsi="Cambria"/>
                <w:color w:val="000000" w:themeColor="text1"/>
                <w:sz w:val="18"/>
                <w:szCs w:val="18"/>
              </w:rPr>
              <w:t>Based on information reported in 2021, the Commission viewed positively the implementation of measures by the State to ensure that the death penalty would not be imposed due to a mandatory sentencing law and welcomed the information that there was an ongoing review of death sentences that, in many cases, had led to commutations of those sentences.</w:t>
            </w:r>
          </w:p>
        </w:tc>
        <w:tc>
          <w:tcPr>
            <w:tcW w:w="1350" w:type="dxa"/>
            <w:shd w:val="clear" w:color="auto" w:fill="D9D9D9"/>
            <w:vAlign w:val="center"/>
          </w:tcPr>
          <w:p w14:paraId="01813821" w14:textId="77777777" w:rsidR="00302253" w:rsidRPr="00524435" w:rsidRDefault="00302253" w:rsidP="00C33359">
            <w:pPr>
              <w:jc w:val="center"/>
              <w:rPr>
                <w:rFonts w:ascii="Cambria" w:eastAsia="MS Mincho" w:hAnsi="Cambria" w:cs="Calibri"/>
                <w:color w:val="000000" w:themeColor="text1"/>
                <w:sz w:val="18"/>
                <w:szCs w:val="18"/>
                <w:highlight w:val="yellow"/>
                <w:lang w:eastAsia="es-ES_tradnl"/>
              </w:rPr>
            </w:pPr>
            <w:r w:rsidRPr="00524435">
              <w:rPr>
                <w:rFonts w:ascii="Cambria" w:eastAsia="MS Mincho" w:hAnsi="Cambria" w:cs="Calibri"/>
                <w:color w:val="000000" w:themeColor="text1"/>
                <w:sz w:val="18"/>
                <w:szCs w:val="18"/>
                <w:lang w:eastAsia="es-ES_tradnl"/>
              </w:rPr>
              <w:t>Total</w:t>
            </w:r>
          </w:p>
        </w:tc>
      </w:tr>
      <w:tr w:rsidR="00302253" w:rsidRPr="00524435" w14:paraId="0D56376B" w14:textId="77777777" w:rsidTr="00D55667">
        <w:trPr>
          <w:trHeight w:val="504"/>
          <w:jc w:val="center"/>
        </w:trPr>
        <w:tc>
          <w:tcPr>
            <w:tcW w:w="1890" w:type="dxa"/>
            <w:shd w:val="clear" w:color="auto" w:fill="D9D9D9"/>
            <w:vAlign w:val="center"/>
          </w:tcPr>
          <w:p w14:paraId="6B28F788" w14:textId="77777777" w:rsidR="00302253" w:rsidRPr="00524435" w:rsidRDefault="00302253" w:rsidP="00C33359">
            <w:pPr>
              <w:rPr>
                <w:rFonts w:ascii="Cambria" w:eastAsia="MS Mincho" w:hAnsi="Cambria" w:cs="Calibri"/>
                <w:color w:val="000000" w:themeColor="text1"/>
                <w:sz w:val="18"/>
                <w:szCs w:val="18"/>
                <w:highlight w:val="yellow"/>
                <w:lang w:eastAsia="es-ES_tradnl"/>
              </w:rPr>
            </w:pPr>
            <w:r w:rsidRPr="00524435">
              <w:rPr>
                <w:rFonts w:ascii="Cambria" w:eastAsia="MS Mincho" w:hAnsi="Cambria" w:cs="Calibri"/>
                <w:color w:val="000000" w:themeColor="text1"/>
                <w:sz w:val="18"/>
                <w:szCs w:val="18"/>
              </w:rPr>
              <w:t xml:space="preserve">Case </w:t>
            </w:r>
            <w:r w:rsidRPr="00524435">
              <w:rPr>
                <w:rFonts w:ascii="Cambria" w:hAnsi="Cambria" w:cs="Calibri"/>
                <w:bCs/>
                <w:color w:val="000000" w:themeColor="text1"/>
                <w:sz w:val="18"/>
                <w:szCs w:val="18"/>
              </w:rPr>
              <w:t xml:space="preserve">12.265, </w:t>
            </w:r>
            <w:r w:rsidRPr="00524435">
              <w:rPr>
                <w:rFonts w:ascii="Cambria" w:eastAsia="MS Mincho" w:hAnsi="Cambria" w:cs="Calibri"/>
                <w:color w:val="000000" w:themeColor="text1"/>
                <w:sz w:val="18"/>
                <w:szCs w:val="18"/>
              </w:rPr>
              <w:t xml:space="preserve">Report No. </w:t>
            </w:r>
            <w:r w:rsidRPr="00524435">
              <w:rPr>
                <w:rFonts w:ascii="Cambria" w:hAnsi="Cambria" w:cs="Calibri"/>
                <w:bCs/>
                <w:color w:val="000000" w:themeColor="text1"/>
                <w:sz w:val="18"/>
                <w:szCs w:val="18"/>
              </w:rPr>
              <w:t>78/07, Chad Roger Goodman (Bahamas), recommendation 2</w:t>
            </w:r>
          </w:p>
        </w:tc>
        <w:tc>
          <w:tcPr>
            <w:tcW w:w="1170" w:type="dxa"/>
            <w:vMerge/>
            <w:shd w:val="clear" w:color="auto" w:fill="D9D9D9"/>
            <w:vAlign w:val="center"/>
          </w:tcPr>
          <w:p w14:paraId="1DAD0E3A" w14:textId="77777777" w:rsidR="00302253" w:rsidRPr="00524435" w:rsidRDefault="00302253" w:rsidP="00C33359">
            <w:pPr>
              <w:jc w:val="center"/>
              <w:rPr>
                <w:rFonts w:ascii="Cambria" w:eastAsia="MS Mincho" w:hAnsi="Cambria" w:cs="Calibri"/>
                <w:color w:val="000000" w:themeColor="text1"/>
                <w:sz w:val="18"/>
                <w:szCs w:val="18"/>
                <w:highlight w:val="yellow"/>
                <w:lang w:eastAsia="es-ES_tradnl"/>
              </w:rPr>
            </w:pPr>
          </w:p>
        </w:tc>
        <w:tc>
          <w:tcPr>
            <w:tcW w:w="2430" w:type="dxa"/>
            <w:vMerge/>
            <w:shd w:val="clear" w:color="auto" w:fill="D9D9D9"/>
            <w:vAlign w:val="center"/>
          </w:tcPr>
          <w:p w14:paraId="13077741" w14:textId="77777777" w:rsidR="00302253" w:rsidRPr="00524435" w:rsidRDefault="00302253" w:rsidP="00C33359">
            <w:pPr>
              <w:jc w:val="both"/>
              <w:rPr>
                <w:rFonts w:ascii="Cambria" w:hAnsi="Cambria" w:cs="Calibri Light"/>
                <w:color w:val="000000" w:themeColor="text1"/>
                <w:sz w:val="18"/>
                <w:szCs w:val="18"/>
                <w:highlight w:val="yellow"/>
              </w:rPr>
            </w:pPr>
          </w:p>
        </w:tc>
        <w:tc>
          <w:tcPr>
            <w:tcW w:w="2790" w:type="dxa"/>
            <w:vMerge/>
            <w:shd w:val="clear" w:color="auto" w:fill="D9D9D9"/>
          </w:tcPr>
          <w:p w14:paraId="2076A439" w14:textId="77777777" w:rsidR="00302253" w:rsidRPr="00524435" w:rsidRDefault="00302253" w:rsidP="00C33359">
            <w:pPr>
              <w:jc w:val="both"/>
              <w:rPr>
                <w:rFonts w:ascii="Cambria" w:eastAsia="MS Mincho" w:hAnsi="Cambria" w:cs="Calibri"/>
                <w:color w:val="000000" w:themeColor="text1"/>
                <w:sz w:val="18"/>
                <w:szCs w:val="18"/>
                <w:highlight w:val="yellow"/>
                <w:lang w:eastAsia="es-ES_tradnl"/>
              </w:rPr>
            </w:pPr>
          </w:p>
        </w:tc>
        <w:tc>
          <w:tcPr>
            <w:tcW w:w="1350" w:type="dxa"/>
            <w:shd w:val="clear" w:color="auto" w:fill="D9D9D9"/>
            <w:vAlign w:val="center"/>
          </w:tcPr>
          <w:p w14:paraId="0286ED9C" w14:textId="77777777" w:rsidR="00302253" w:rsidRPr="00524435" w:rsidRDefault="00302253" w:rsidP="00C33359">
            <w:pPr>
              <w:jc w:val="center"/>
              <w:rPr>
                <w:rFonts w:ascii="Cambria" w:eastAsia="MS Mincho" w:hAnsi="Cambria" w:cs="Calibri"/>
                <w:color w:val="000000" w:themeColor="text1"/>
                <w:sz w:val="18"/>
                <w:szCs w:val="18"/>
                <w:highlight w:val="yellow"/>
                <w:lang w:eastAsia="es-ES_tradnl"/>
              </w:rPr>
            </w:pPr>
            <w:r w:rsidRPr="00524435">
              <w:rPr>
                <w:rFonts w:ascii="Cambria" w:eastAsia="MS Mincho" w:hAnsi="Cambria" w:cs="Calibri"/>
                <w:color w:val="000000" w:themeColor="text1"/>
                <w:sz w:val="18"/>
                <w:szCs w:val="18"/>
                <w:lang w:eastAsia="es-ES_tradnl"/>
              </w:rPr>
              <w:t>Total</w:t>
            </w:r>
          </w:p>
        </w:tc>
      </w:tr>
      <w:tr w:rsidR="00302253" w:rsidRPr="00524435" w14:paraId="3996B367" w14:textId="77777777" w:rsidTr="00D55667">
        <w:trPr>
          <w:trHeight w:val="504"/>
          <w:jc w:val="center"/>
        </w:trPr>
        <w:tc>
          <w:tcPr>
            <w:tcW w:w="1890" w:type="dxa"/>
            <w:shd w:val="clear" w:color="auto" w:fill="D9D9D9"/>
            <w:vAlign w:val="center"/>
          </w:tcPr>
          <w:p w14:paraId="3F98AAC3" w14:textId="77777777" w:rsidR="00302253" w:rsidRPr="00524435" w:rsidRDefault="00302253" w:rsidP="00C33359">
            <w:pPr>
              <w:rPr>
                <w:rFonts w:ascii="Cambria" w:eastAsia="MS Mincho" w:hAnsi="Cambria" w:cs="Calibri"/>
                <w:color w:val="000000" w:themeColor="text1"/>
                <w:sz w:val="18"/>
                <w:szCs w:val="18"/>
                <w:highlight w:val="yellow"/>
                <w:lang w:eastAsia="es-ES_tradnl"/>
              </w:rPr>
            </w:pPr>
            <w:r w:rsidRPr="00524435">
              <w:rPr>
                <w:rFonts w:ascii="Cambria" w:eastAsia="MS Mincho" w:hAnsi="Cambria" w:cs="Calibri"/>
                <w:color w:val="000000" w:themeColor="text1"/>
                <w:sz w:val="18"/>
                <w:szCs w:val="18"/>
              </w:rPr>
              <w:t xml:space="preserve">Case </w:t>
            </w:r>
            <w:r w:rsidRPr="00524435">
              <w:rPr>
                <w:rFonts w:ascii="Cambria" w:hAnsi="Cambria" w:cs="Calibri"/>
                <w:color w:val="000000" w:themeColor="text1"/>
                <w:sz w:val="18"/>
                <w:szCs w:val="18"/>
              </w:rPr>
              <w:t xml:space="preserve">12.231, </w:t>
            </w:r>
            <w:r w:rsidRPr="00524435">
              <w:rPr>
                <w:rFonts w:ascii="Cambria" w:eastAsia="MS Mincho" w:hAnsi="Cambria" w:cs="Calibri"/>
                <w:color w:val="000000" w:themeColor="text1"/>
                <w:sz w:val="18"/>
                <w:szCs w:val="18"/>
              </w:rPr>
              <w:t xml:space="preserve">Report No. </w:t>
            </w:r>
            <w:r w:rsidRPr="00524435">
              <w:rPr>
                <w:rFonts w:ascii="Cambria" w:hAnsi="Cambria" w:cs="Calibri"/>
                <w:color w:val="000000" w:themeColor="text1"/>
                <w:sz w:val="18"/>
                <w:szCs w:val="18"/>
              </w:rPr>
              <w:t xml:space="preserve">12/14, Peter Cash (Bahamas), </w:t>
            </w:r>
            <w:r w:rsidRPr="00524435">
              <w:rPr>
                <w:rFonts w:ascii="Cambria" w:hAnsi="Cambria" w:cs="Calibri"/>
                <w:bCs/>
                <w:color w:val="000000" w:themeColor="text1"/>
                <w:sz w:val="18"/>
                <w:szCs w:val="18"/>
              </w:rPr>
              <w:t xml:space="preserve">recommendation </w:t>
            </w:r>
            <w:r w:rsidRPr="00524435">
              <w:rPr>
                <w:rFonts w:ascii="Cambria" w:hAnsi="Cambria" w:cs="Calibri"/>
                <w:color w:val="000000" w:themeColor="text1"/>
                <w:sz w:val="18"/>
                <w:szCs w:val="18"/>
              </w:rPr>
              <w:t>5</w:t>
            </w:r>
          </w:p>
        </w:tc>
        <w:tc>
          <w:tcPr>
            <w:tcW w:w="1170" w:type="dxa"/>
            <w:vMerge/>
            <w:shd w:val="clear" w:color="auto" w:fill="D9D9D9"/>
            <w:vAlign w:val="center"/>
          </w:tcPr>
          <w:p w14:paraId="5EDBCFB9" w14:textId="77777777" w:rsidR="00302253" w:rsidRPr="00524435" w:rsidRDefault="00302253" w:rsidP="00C33359">
            <w:pPr>
              <w:jc w:val="center"/>
              <w:rPr>
                <w:rFonts w:ascii="Cambria" w:eastAsia="MS Mincho" w:hAnsi="Cambria" w:cs="Calibri"/>
                <w:color w:val="000000" w:themeColor="text1"/>
                <w:sz w:val="18"/>
                <w:szCs w:val="18"/>
                <w:highlight w:val="yellow"/>
                <w:lang w:eastAsia="es-ES_tradnl"/>
              </w:rPr>
            </w:pPr>
          </w:p>
        </w:tc>
        <w:tc>
          <w:tcPr>
            <w:tcW w:w="2430" w:type="dxa"/>
            <w:vMerge/>
            <w:shd w:val="clear" w:color="auto" w:fill="D9D9D9"/>
            <w:vAlign w:val="center"/>
          </w:tcPr>
          <w:p w14:paraId="31BCD568" w14:textId="77777777" w:rsidR="00302253" w:rsidRPr="00524435" w:rsidRDefault="00302253" w:rsidP="00C33359">
            <w:pPr>
              <w:rPr>
                <w:rFonts w:ascii="Cambria" w:hAnsi="Cambria"/>
                <w:color w:val="000000" w:themeColor="text1"/>
                <w:sz w:val="18"/>
                <w:szCs w:val="18"/>
                <w:highlight w:val="yellow"/>
              </w:rPr>
            </w:pPr>
          </w:p>
        </w:tc>
        <w:tc>
          <w:tcPr>
            <w:tcW w:w="2790" w:type="dxa"/>
            <w:vMerge/>
            <w:shd w:val="clear" w:color="auto" w:fill="D9D9D9"/>
          </w:tcPr>
          <w:p w14:paraId="3453D185" w14:textId="77777777" w:rsidR="00302253" w:rsidRPr="00524435" w:rsidRDefault="00302253" w:rsidP="00C33359">
            <w:pPr>
              <w:jc w:val="both"/>
              <w:rPr>
                <w:rFonts w:ascii="Cambria" w:eastAsia="MS Mincho" w:hAnsi="Cambria" w:cs="Calibri"/>
                <w:color w:val="000000" w:themeColor="text1"/>
                <w:sz w:val="18"/>
                <w:szCs w:val="18"/>
                <w:highlight w:val="yellow"/>
                <w:lang w:eastAsia="es-ES_tradnl"/>
              </w:rPr>
            </w:pPr>
          </w:p>
        </w:tc>
        <w:tc>
          <w:tcPr>
            <w:tcW w:w="1350" w:type="dxa"/>
            <w:shd w:val="clear" w:color="auto" w:fill="D9D9D9"/>
            <w:vAlign w:val="center"/>
          </w:tcPr>
          <w:p w14:paraId="0E99B3E3" w14:textId="77777777" w:rsidR="00302253" w:rsidRPr="00524435" w:rsidRDefault="00302253" w:rsidP="00C33359">
            <w:pPr>
              <w:jc w:val="center"/>
              <w:rPr>
                <w:rFonts w:ascii="Cambria" w:eastAsia="MS Mincho" w:hAnsi="Cambria" w:cs="Calibri"/>
                <w:color w:val="000000" w:themeColor="text1"/>
                <w:sz w:val="18"/>
                <w:szCs w:val="18"/>
                <w:highlight w:val="yellow"/>
                <w:lang w:eastAsia="es-ES_tradnl"/>
              </w:rPr>
            </w:pPr>
            <w:r w:rsidRPr="00524435">
              <w:rPr>
                <w:rFonts w:ascii="Cambria" w:eastAsia="MS Mincho" w:hAnsi="Cambria" w:cs="Calibri"/>
                <w:color w:val="000000" w:themeColor="text1"/>
                <w:sz w:val="18"/>
                <w:szCs w:val="18"/>
                <w:lang w:eastAsia="es-ES_tradnl"/>
              </w:rPr>
              <w:t>Total</w:t>
            </w:r>
          </w:p>
        </w:tc>
      </w:tr>
    </w:tbl>
    <w:p w14:paraId="519D367B" w14:textId="77777777" w:rsidR="00D55667" w:rsidRPr="00524435" w:rsidRDefault="00D55667">
      <w:pPr>
        <w:rPr>
          <w:rFonts w:ascii="Cambria" w:hAnsi="Cambria"/>
        </w:rPr>
      </w:pPr>
      <w:r w:rsidRPr="00524435">
        <w:rPr>
          <w:rFonts w:ascii="Cambria" w:hAnsi="Cambria"/>
        </w:rPr>
        <w:br w:type="page"/>
      </w:r>
    </w:p>
    <w:tbl>
      <w:tblPr>
        <w:tblW w:w="9630" w:type="dxa"/>
        <w:jc w:val="center"/>
        <w:tblBorders>
          <w:insideH w:val="single" w:sz="18" w:space="0" w:color="FFFFFF"/>
          <w:insideV w:val="single" w:sz="18" w:space="0" w:color="FFFFFF"/>
        </w:tblBorders>
        <w:tblLayout w:type="fixed"/>
        <w:tblLook w:val="0020" w:firstRow="1" w:lastRow="0" w:firstColumn="0" w:lastColumn="0" w:noHBand="0" w:noVBand="0"/>
      </w:tblPr>
      <w:tblGrid>
        <w:gridCol w:w="1890"/>
        <w:gridCol w:w="1170"/>
        <w:gridCol w:w="2430"/>
        <w:gridCol w:w="2790"/>
        <w:gridCol w:w="1350"/>
      </w:tblGrid>
      <w:tr w:rsidR="00302253" w:rsidRPr="00524435" w14:paraId="2C9BB1F0" w14:textId="77777777" w:rsidTr="00C33359">
        <w:trPr>
          <w:trHeight w:val="504"/>
          <w:jc w:val="center"/>
        </w:trPr>
        <w:tc>
          <w:tcPr>
            <w:tcW w:w="9630" w:type="dxa"/>
            <w:gridSpan w:val="5"/>
            <w:shd w:val="clear" w:color="auto" w:fill="BFBFBF"/>
            <w:vAlign w:val="center"/>
          </w:tcPr>
          <w:p w14:paraId="656D4923" w14:textId="6D32D188" w:rsidR="00302253" w:rsidRPr="00524435" w:rsidRDefault="00302253" w:rsidP="00D55667">
            <w:pPr>
              <w:spacing w:before="240" w:after="240" w:line="240" w:lineRule="auto"/>
              <w:jc w:val="center"/>
              <w:rPr>
                <w:rFonts w:ascii="Cambria" w:eastAsia="MS Mincho" w:hAnsi="Cambria" w:cs="Calibri"/>
                <w:b/>
                <w:color w:val="000000" w:themeColor="text1"/>
                <w:sz w:val="18"/>
                <w:szCs w:val="18"/>
                <w:highlight w:val="yellow"/>
                <w:lang w:eastAsia="es-ES_tradnl"/>
              </w:rPr>
            </w:pPr>
            <w:r w:rsidRPr="00524435">
              <w:rPr>
                <w:rFonts w:ascii="Cambria" w:eastAsia="MS Mincho" w:hAnsi="Cambria" w:cs="Calibri"/>
                <w:b/>
                <w:color w:val="000000" w:themeColor="text1"/>
                <w:sz w:val="18"/>
                <w:szCs w:val="18"/>
                <w:lang w:eastAsia="es-ES_tradnl"/>
              </w:rPr>
              <w:lastRenderedPageBreak/>
              <w:t>CHILE</w:t>
            </w:r>
          </w:p>
        </w:tc>
      </w:tr>
      <w:tr w:rsidR="00302253" w:rsidRPr="00524435" w14:paraId="6F714E92" w14:textId="77777777" w:rsidTr="00D55667">
        <w:trPr>
          <w:trHeight w:val="504"/>
          <w:jc w:val="center"/>
        </w:trPr>
        <w:tc>
          <w:tcPr>
            <w:tcW w:w="1890" w:type="dxa"/>
            <w:shd w:val="clear" w:color="auto" w:fill="D9D9D9"/>
            <w:vAlign w:val="center"/>
          </w:tcPr>
          <w:p w14:paraId="6C05FF14" w14:textId="77777777" w:rsidR="00302253" w:rsidRPr="00292505" w:rsidRDefault="00302253" w:rsidP="00C33359">
            <w:pPr>
              <w:rPr>
                <w:rFonts w:ascii="Cambria" w:eastAsia="MS Mincho" w:hAnsi="Cambria" w:cs="Calibri"/>
                <w:color w:val="000000" w:themeColor="text1"/>
                <w:sz w:val="18"/>
                <w:szCs w:val="18"/>
                <w:highlight w:val="yellow"/>
                <w:lang w:val="es-US" w:eastAsia="es-ES_tradnl"/>
              </w:rPr>
            </w:pPr>
            <w:r w:rsidRPr="00292505">
              <w:rPr>
                <w:rFonts w:ascii="Cambria" w:eastAsia="MS Mincho" w:hAnsi="Cambria" w:cs="Calibri"/>
                <w:color w:val="000000" w:themeColor="text1"/>
                <w:sz w:val="18"/>
                <w:szCs w:val="18"/>
                <w:lang w:val="es-US"/>
              </w:rPr>
              <w:t xml:space="preserve">Case </w:t>
            </w:r>
            <w:r w:rsidRPr="00292505">
              <w:rPr>
                <w:rFonts w:ascii="Cambria" w:hAnsi="Cambria" w:cs="Calibri"/>
                <w:color w:val="000000" w:themeColor="text1"/>
                <w:sz w:val="18"/>
                <w:szCs w:val="18"/>
                <w:lang w:val="es-US"/>
              </w:rPr>
              <w:t xml:space="preserve">12.799, </w:t>
            </w:r>
            <w:proofErr w:type="spellStart"/>
            <w:r w:rsidRPr="00292505">
              <w:rPr>
                <w:rFonts w:ascii="Cambria" w:eastAsia="MS Mincho" w:hAnsi="Cambria" w:cs="Calibri"/>
                <w:color w:val="000000" w:themeColor="text1"/>
                <w:sz w:val="18"/>
                <w:szCs w:val="18"/>
                <w:lang w:val="es-US"/>
              </w:rPr>
              <w:t>Report</w:t>
            </w:r>
            <w:proofErr w:type="spellEnd"/>
            <w:r w:rsidRPr="00292505">
              <w:rPr>
                <w:rFonts w:ascii="Cambria" w:eastAsia="MS Mincho" w:hAnsi="Cambria" w:cs="Calibri"/>
                <w:color w:val="000000" w:themeColor="text1"/>
                <w:sz w:val="18"/>
                <w:szCs w:val="18"/>
                <w:lang w:val="es-US"/>
              </w:rPr>
              <w:t xml:space="preserve"> No. </w:t>
            </w:r>
            <w:r w:rsidRPr="00292505">
              <w:rPr>
                <w:rFonts w:ascii="Cambria" w:hAnsi="Cambria" w:cs="Calibri"/>
                <w:color w:val="000000" w:themeColor="text1"/>
                <w:sz w:val="18"/>
                <w:szCs w:val="18"/>
                <w:lang w:val="es-US"/>
              </w:rPr>
              <w:t xml:space="preserve">48/16, Miguel Ángel Millar Silva et al. (Radio Estrella del Mar de Melinka) (Chile), </w:t>
            </w:r>
            <w:proofErr w:type="spellStart"/>
            <w:r w:rsidRPr="00292505">
              <w:rPr>
                <w:rFonts w:ascii="Cambria" w:hAnsi="Cambria" w:cs="Calibri"/>
                <w:bCs/>
                <w:color w:val="000000" w:themeColor="text1"/>
                <w:sz w:val="18"/>
                <w:szCs w:val="18"/>
                <w:lang w:val="es-US"/>
              </w:rPr>
              <w:t>recommendation</w:t>
            </w:r>
            <w:proofErr w:type="spellEnd"/>
            <w:r w:rsidRPr="00292505">
              <w:rPr>
                <w:rFonts w:ascii="Cambria" w:hAnsi="Cambria" w:cs="Calibri"/>
                <w:bCs/>
                <w:color w:val="000000" w:themeColor="text1"/>
                <w:sz w:val="18"/>
                <w:szCs w:val="18"/>
                <w:lang w:val="es-US"/>
              </w:rPr>
              <w:t xml:space="preserve"> </w:t>
            </w:r>
            <w:r w:rsidRPr="00292505">
              <w:rPr>
                <w:rFonts w:ascii="Cambria" w:hAnsi="Cambria" w:cs="Calibri"/>
                <w:color w:val="000000" w:themeColor="text1"/>
                <w:sz w:val="18"/>
                <w:szCs w:val="18"/>
                <w:lang w:val="es-US"/>
              </w:rPr>
              <w:t>1</w:t>
            </w:r>
          </w:p>
        </w:tc>
        <w:tc>
          <w:tcPr>
            <w:tcW w:w="1170" w:type="dxa"/>
            <w:shd w:val="clear" w:color="auto" w:fill="D9D9D9"/>
            <w:vAlign w:val="center"/>
          </w:tcPr>
          <w:p w14:paraId="3D1799A0" w14:textId="77777777" w:rsidR="00302253" w:rsidRPr="00524435" w:rsidRDefault="00302253" w:rsidP="00C33359">
            <w:pPr>
              <w:jc w:val="center"/>
              <w:rPr>
                <w:rFonts w:ascii="Cambria" w:eastAsia="MS Mincho" w:hAnsi="Cambria" w:cs="Calibri"/>
                <w:color w:val="000000" w:themeColor="text1"/>
                <w:sz w:val="18"/>
                <w:szCs w:val="18"/>
                <w:highlight w:val="yellow"/>
                <w:lang w:eastAsia="es-ES_tradnl"/>
              </w:rPr>
            </w:pPr>
            <w:r w:rsidRPr="00524435">
              <w:rPr>
                <w:rFonts w:ascii="Cambria" w:eastAsia="MS Mincho" w:hAnsi="Cambria" w:cs="Calibri"/>
                <w:color w:val="000000" w:themeColor="text1"/>
                <w:sz w:val="18"/>
                <w:szCs w:val="18"/>
                <w:lang w:eastAsia="es-ES_tradnl"/>
              </w:rPr>
              <w:t>Structural</w:t>
            </w:r>
          </w:p>
        </w:tc>
        <w:tc>
          <w:tcPr>
            <w:tcW w:w="2430" w:type="dxa"/>
            <w:shd w:val="clear" w:color="auto" w:fill="D9D9D9"/>
            <w:vAlign w:val="center"/>
          </w:tcPr>
          <w:p w14:paraId="7B6BC5DD" w14:textId="77777777" w:rsidR="00302253" w:rsidRPr="00524435" w:rsidRDefault="00302253" w:rsidP="00C33359">
            <w:pPr>
              <w:jc w:val="both"/>
              <w:outlineLvl w:val="0"/>
              <w:rPr>
                <w:rFonts w:ascii="Cambria" w:hAnsi="Cambria"/>
                <w:color w:val="000000" w:themeColor="text1"/>
                <w:sz w:val="18"/>
                <w:szCs w:val="18"/>
              </w:rPr>
            </w:pPr>
            <w:proofErr w:type="gramStart"/>
            <w:r w:rsidRPr="00524435">
              <w:rPr>
                <w:rFonts w:ascii="Cambria" w:hAnsi="Cambria" w:cs="Calibri"/>
                <w:color w:val="000000" w:themeColor="text1"/>
                <w:sz w:val="18"/>
                <w:szCs w:val="18"/>
              </w:rPr>
              <w:t>In the event that</w:t>
            </w:r>
            <w:proofErr w:type="gramEnd"/>
            <w:r w:rsidRPr="00524435">
              <w:rPr>
                <w:rFonts w:ascii="Cambria" w:hAnsi="Cambria" w:cs="Calibri"/>
                <w:color w:val="000000" w:themeColor="text1"/>
                <w:sz w:val="18"/>
                <w:szCs w:val="18"/>
              </w:rPr>
              <w:t xml:space="preserve"> the situation is maintained, to allow </w:t>
            </w:r>
            <w:r w:rsidRPr="00524435">
              <w:rPr>
                <w:rFonts w:ascii="Cambria" w:hAnsi="Cambria" w:cs="Calibri"/>
                <w:i/>
                <w:iCs/>
                <w:color w:val="000000" w:themeColor="text1"/>
                <w:sz w:val="18"/>
                <w:szCs w:val="18"/>
              </w:rPr>
              <w:t xml:space="preserve">Radio Estrella del Mar de </w:t>
            </w:r>
            <w:proofErr w:type="spellStart"/>
            <w:r w:rsidRPr="00524435">
              <w:rPr>
                <w:rFonts w:ascii="Cambria" w:hAnsi="Cambria" w:cs="Calibri"/>
                <w:i/>
                <w:iCs/>
                <w:color w:val="000000" w:themeColor="text1"/>
                <w:sz w:val="18"/>
                <w:szCs w:val="18"/>
              </w:rPr>
              <w:t>Melinka</w:t>
            </w:r>
            <w:proofErr w:type="spellEnd"/>
            <w:r w:rsidRPr="00524435">
              <w:rPr>
                <w:rFonts w:ascii="Cambria" w:hAnsi="Cambria" w:cs="Calibri"/>
                <w:color w:val="000000" w:themeColor="text1"/>
                <w:sz w:val="18"/>
                <w:szCs w:val="18"/>
              </w:rPr>
              <w:t xml:space="preserve"> to access the electrical power supply during the extended hours enjoyed by the rest of the town’s media outlets.</w:t>
            </w:r>
          </w:p>
        </w:tc>
        <w:tc>
          <w:tcPr>
            <w:tcW w:w="2790" w:type="dxa"/>
            <w:shd w:val="clear" w:color="auto" w:fill="D9D9D9"/>
          </w:tcPr>
          <w:p w14:paraId="43274567" w14:textId="173FF210" w:rsidR="00302253" w:rsidRPr="00524435" w:rsidRDefault="00D55667" w:rsidP="00C33359">
            <w:pPr>
              <w:jc w:val="both"/>
              <w:rPr>
                <w:rFonts w:ascii="Cambria" w:hAnsi="Cambria" w:cs="Calibri Light"/>
                <w:color w:val="000000" w:themeColor="text1"/>
                <w:sz w:val="18"/>
                <w:szCs w:val="18"/>
              </w:rPr>
            </w:pPr>
            <w:r w:rsidRPr="00524435">
              <w:rPr>
                <w:rFonts w:ascii="Cambria" w:hAnsi="Cambria" w:cs="Calibri Light"/>
                <w:color w:val="000000" w:themeColor="text1"/>
                <w:sz w:val="18"/>
                <w:szCs w:val="18"/>
              </w:rPr>
              <w:br/>
            </w:r>
            <w:r w:rsidR="00302253" w:rsidRPr="00524435">
              <w:rPr>
                <w:rFonts w:ascii="Cambria" w:hAnsi="Cambria" w:cs="Calibri Light"/>
                <w:color w:val="000000" w:themeColor="text1"/>
                <w:sz w:val="18"/>
                <w:szCs w:val="18"/>
              </w:rPr>
              <w:t xml:space="preserve">The Commission welcomed the adoption of measures to ensure that Radio Estrella del Mar de </w:t>
            </w:r>
            <w:proofErr w:type="spellStart"/>
            <w:r w:rsidR="00302253" w:rsidRPr="00524435">
              <w:rPr>
                <w:rFonts w:ascii="Cambria" w:hAnsi="Cambria" w:cs="Calibri Light"/>
                <w:color w:val="000000" w:themeColor="text1"/>
                <w:sz w:val="18"/>
                <w:szCs w:val="18"/>
              </w:rPr>
              <w:t>Melinka</w:t>
            </w:r>
            <w:proofErr w:type="spellEnd"/>
            <w:r w:rsidR="00302253" w:rsidRPr="00524435">
              <w:rPr>
                <w:rFonts w:ascii="Cambria" w:hAnsi="Cambria" w:cs="Calibri Light"/>
                <w:color w:val="000000" w:themeColor="text1"/>
                <w:sz w:val="18"/>
                <w:szCs w:val="18"/>
              </w:rPr>
              <w:t xml:space="preserve"> would have stable, ongoing access to electric power during the extended schedule, which allowed it to operate without interruption.</w:t>
            </w:r>
          </w:p>
          <w:p w14:paraId="549E5E74" w14:textId="77777777" w:rsidR="00302253" w:rsidRPr="00524435" w:rsidRDefault="00302253" w:rsidP="00C33359">
            <w:pPr>
              <w:jc w:val="both"/>
              <w:rPr>
                <w:rFonts w:ascii="Cambria" w:eastAsia="MS Mincho" w:hAnsi="Cambria" w:cs="Calibri"/>
                <w:color w:val="000000" w:themeColor="text1"/>
                <w:sz w:val="18"/>
                <w:szCs w:val="18"/>
                <w:highlight w:val="yellow"/>
                <w:lang w:eastAsia="es-ES_tradnl"/>
              </w:rPr>
            </w:pPr>
          </w:p>
        </w:tc>
        <w:tc>
          <w:tcPr>
            <w:tcW w:w="1350" w:type="dxa"/>
            <w:shd w:val="clear" w:color="auto" w:fill="D9D9D9"/>
            <w:vAlign w:val="center"/>
          </w:tcPr>
          <w:p w14:paraId="5A9A6068" w14:textId="77777777" w:rsidR="00302253" w:rsidRPr="00524435" w:rsidRDefault="00302253" w:rsidP="00C33359">
            <w:pPr>
              <w:jc w:val="center"/>
              <w:rPr>
                <w:rFonts w:ascii="Cambria" w:eastAsia="MS Mincho" w:hAnsi="Cambria" w:cs="Calibri"/>
                <w:color w:val="000000" w:themeColor="text1"/>
                <w:sz w:val="18"/>
                <w:szCs w:val="18"/>
                <w:highlight w:val="yellow"/>
                <w:lang w:eastAsia="es-ES_tradnl"/>
              </w:rPr>
            </w:pPr>
            <w:r w:rsidRPr="00524435">
              <w:rPr>
                <w:rFonts w:ascii="Cambria" w:eastAsia="MS Mincho" w:hAnsi="Cambria" w:cs="Calibri"/>
                <w:color w:val="000000" w:themeColor="text1"/>
                <w:sz w:val="18"/>
                <w:szCs w:val="18"/>
                <w:lang w:eastAsia="es-ES_tradnl"/>
              </w:rPr>
              <w:t>Total</w:t>
            </w:r>
          </w:p>
        </w:tc>
      </w:tr>
      <w:tr w:rsidR="00302253" w:rsidRPr="00524435" w14:paraId="375F432C" w14:textId="77777777" w:rsidTr="00D55667">
        <w:trPr>
          <w:trHeight w:val="504"/>
          <w:jc w:val="center"/>
        </w:trPr>
        <w:tc>
          <w:tcPr>
            <w:tcW w:w="1890" w:type="dxa"/>
            <w:shd w:val="clear" w:color="auto" w:fill="D9D9D9"/>
            <w:vAlign w:val="center"/>
          </w:tcPr>
          <w:p w14:paraId="785BA93E" w14:textId="77777777" w:rsidR="00302253" w:rsidRPr="00292505" w:rsidRDefault="00302253" w:rsidP="00C33359">
            <w:pPr>
              <w:rPr>
                <w:rFonts w:ascii="Cambria" w:hAnsi="Cambria" w:cs="Calibri"/>
                <w:color w:val="000000" w:themeColor="text1"/>
                <w:sz w:val="18"/>
                <w:szCs w:val="18"/>
                <w:lang w:val="es-US"/>
              </w:rPr>
            </w:pPr>
            <w:r w:rsidRPr="00292505">
              <w:rPr>
                <w:rFonts w:ascii="Cambria" w:eastAsia="MS Mincho" w:hAnsi="Cambria" w:cs="Calibri"/>
                <w:color w:val="000000" w:themeColor="text1"/>
                <w:sz w:val="18"/>
                <w:szCs w:val="18"/>
                <w:lang w:val="es-US"/>
              </w:rPr>
              <w:t xml:space="preserve">Case </w:t>
            </w:r>
            <w:r w:rsidRPr="00292505">
              <w:rPr>
                <w:rFonts w:ascii="Cambria" w:hAnsi="Cambria" w:cs="Calibri"/>
                <w:color w:val="000000" w:themeColor="text1"/>
                <w:sz w:val="18"/>
                <w:szCs w:val="18"/>
                <w:lang w:val="es-US"/>
              </w:rPr>
              <w:t xml:space="preserve">12.799, </w:t>
            </w:r>
            <w:proofErr w:type="spellStart"/>
            <w:r w:rsidRPr="00292505">
              <w:rPr>
                <w:rFonts w:ascii="Cambria" w:eastAsia="MS Mincho" w:hAnsi="Cambria" w:cs="Calibri"/>
                <w:color w:val="000000" w:themeColor="text1"/>
                <w:sz w:val="18"/>
                <w:szCs w:val="18"/>
                <w:lang w:val="es-US"/>
              </w:rPr>
              <w:t>Report</w:t>
            </w:r>
            <w:proofErr w:type="spellEnd"/>
            <w:r w:rsidRPr="00292505">
              <w:rPr>
                <w:rFonts w:ascii="Cambria" w:eastAsia="MS Mincho" w:hAnsi="Cambria" w:cs="Calibri"/>
                <w:color w:val="000000" w:themeColor="text1"/>
                <w:sz w:val="18"/>
                <w:szCs w:val="18"/>
                <w:lang w:val="es-US"/>
              </w:rPr>
              <w:t xml:space="preserve"> No. </w:t>
            </w:r>
            <w:r w:rsidRPr="00292505">
              <w:rPr>
                <w:rFonts w:ascii="Cambria" w:hAnsi="Cambria" w:cs="Calibri"/>
                <w:color w:val="000000" w:themeColor="text1"/>
                <w:sz w:val="18"/>
                <w:szCs w:val="18"/>
                <w:lang w:val="es-US"/>
              </w:rPr>
              <w:t xml:space="preserve">48/16, Miguel Ángel Millar Silva et al. (Radio Estrella del Mar de Melinka) (Chile), </w:t>
            </w:r>
            <w:proofErr w:type="spellStart"/>
            <w:r w:rsidRPr="00292505">
              <w:rPr>
                <w:rFonts w:ascii="Cambria" w:hAnsi="Cambria" w:cs="Calibri"/>
                <w:bCs/>
                <w:color w:val="000000" w:themeColor="text1"/>
                <w:sz w:val="18"/>
                <w:szCs w:val="18"/>
                <w:lang w:val="es-US"/>
              </w:rPr>
              <w:t>recommendation</w:t>
            </w:r>
            <w:proofErr w:type="spellEnd"/>
            <w:r w:rsidRPr="00292505">
              <w:rPr>
                <w:rFonts w:ascii="Cambria" w:hAnsi="Cambria" w:cs="Calibri"/>
                <w:bCs/>
                <w:color w:val="000000" w:themeColor="text1"/>
                <w:sz w:val="18"/>
                <w:szCs w:val="18"/>
                <w:lang w:val="es-US"/>
              </w:rPr>
              <w:t xml:space="preserve"> </w:t>
            </w:r>
            <w:r w:rsidRPr="00292505">
              <w:rPr>
                <w:rFonts w:ascii="Cambria" w:hAnsi="Cambria" w:cs="Calibri"/>
                <w:color w:val="000000" w:themeColor="text1"/>
                <w:sz w:val="18"/>
                <w:szCs w:val="18"/>
                <w:lang w:val="es-US"/>
              </w:rPr>
              <w:t>2</w:t>
            </w:r>
          </w:p>
          <w:p w14:paraId="6F789EDD" w14:textId="77777777" w:rsidR="00302253" w:rsidRPr="00292505" w:rsidRDefault="00302253" w:rsidP="00C33359">
            <w:pPr>
              <w:rPr>
                <w:rFonts w:ascii="Cambria" w:eastAsia="MS Mincho" w:hAnsi="Cambria" w:cs="Calibri"/>
                <w:color w:val="000000" w:themeColor="text1"/>
                <w:sz w:val="18"/>
                <w:szCs w:val="18"/>
                <w:highlight w:val="yellow"/>
                <w:lang w:val="es-US" w:eastAsia="es-ES_tradnl"/>
              </w:rPr>
            </w:pPr>
          </w:p>
        </w:tc>
        <w:tc>
          <w:tcPr>
            <w:tcW w:w="1170" w:type="dxa"/>
            <w:vMerge w:val="restart"/>
            <w:shd w:val="clear" w:color="auto" w:fill="D9D9D9"/>
            <w:vAlign w:val="center"/>
          </w:tcPr>
          <w:p w14:paraId="0173817F" w14:textId="77777777" w:rsidR="00302253" w:rsidRPr="00524435" w:rsidRDefault="00302253" w:rsidP="00C33359">
            <w:pPr>
              <w:jc w:val="center"/>
              <w:rPr>
                <w:rFonts w:ascii="Cambria" w:eastAsia="MS Mincho" w:hAnsi="Cambria" w:cs="Calibri"/>
                <w:color w:val="000000" w:themeColor="text1"/>
                <w:sz w:val="18"/>
                <w:szCs w:val="18"/>
                <w:highlight w:val="yellow"/>
                <w:lang w:eastAsia="es-ES_tradnl"/>
              </w:rPr>
            </w:pPr>
            <w:r w:rsidRPr="00524435">
              <w:rPr>
                <w:rFonts w:ascii="Cambria" w:eastAsia="MS Mincho" w:hAnsi="Cambria" w:cs="Calibri"/>
                <w:color w:val="000000" w:themeColor="text1"/>
                <w:sz w:val="18"/>
                <w:szCs w:val="18"/>
                <w:lang w:eastAsia="es-ES_tradnl"/>
              </w:rPr>
              <w:t>Individual</w:t>
            </w:r>
          </w:p>
        </w:tc>
        <w:tc>
          <w:tcPr>
            <w:tcW w:w="2430" w:type="dxa"/>
            <w:shd w:val="clear" w:color="auto" w:fill="D9D9D9"/>
            <w:vAlign w:val="center"/>
          </w:tcPr>
          <w:p w14:paraId="473B8654" w14:textId="77777777" w:rsidR="00302253" w:rsidRPr="00524435" w:rsidRDefault="00302253" w:rsidP="00C33359">
            <w:pPr>
              <w:pStyle w:val="Default"/>
              <w:jc w:val="both"/>
              <w:rPr>
                <w:rFonts w:cs="Calibri"/>
                <w:color w:val="000000" w:themeColor="text1"/>
                <w:sz w:val="18"/>
                <w:szCs w:val="18"/>
              </w:rPr>
            </w:pPr>
            <w:r w:rsidRPr="00524435">
              <w:rPr>
                <w:rFonts w:cs="Calibri"/>
                <w:color w:val="000000" w:themeColor="text1"/>
                <w:sz w:val="18"/>
                <w:szCs w:val="18"/>
              </w:rPr>
              <w:t>Appropriately redress the harm caused to the victims.</w:t>
            </w:r>
          </w:p>
          <w:p w14:paraId="519D3043" w14:textId="77777777" w:rsidR="00302253" w:rsidRPr="00524435" w:rsidRDefault="00302253" w:rsidP="00C33359">
            <w:pPr>
              <w:jc w:val="both"/>
              <w:outlineLvl w:val="0"/>
              <w:rPr>
                <w:rFonts w:ascii="Cambria" w:hAnsi="Cambria"/>
                <w:color w:val="000000" w:themeColor="text1"/>
                <w:sz w:val="18"/>
                <w:szCs w:val="18"/>
                <w:highlight w:val="yellow"/>
              </w:rPr>
            </w:pPr>
          </w:p>
        </w:tc>
        <w:tc>
          <w:tcPr>
            <w:tcW w:w="2790" w:type="dxa"/>
            <w:vMerge w:val="restart"/>
            <w:shd w:val="clear" w:color="auto" w:fill="D9D9D9"/>
          </w:tcPr>
          <w:p w14:paraId="734B151B" w14:textId="77777777" w:rsidR="00302253" w:rsidRPr="00524435" w:rsidRDefault="00302253" w:rsidP="00C33359">
            <w:pPr>
              <w:jc w:val="both"/>
              <w:rPr>
                <w:rFonts w:ascii="Cambria" w:hAnsi="Cambria" w:cs="Calibri Light"/>
                <w:color w:val="000000" w:themeColor="text1"/>
                <w:sz w:val="18"/>
                <w:szCs w:val="18"/>
              </w:rPr>
            </w:pPr>
          </w:p>
          <w:p w14:paraId="2275B435" w14:textId="77777777" w:rsidR="00302253" w:rsidRPr="00524435" w:rsidRDefault="00302253" w:rsidP="00C33359">
            <w:pPr>
              <w:jc w:val="both"/>
              <w:rPr>
                <w:rFonts w:ascii="Cambria" w:hAnsi="Cambria" w:cs="Calibri Light"/>
                <w:color w:val="000000" w:themeColor="text1"/>
                <w:sz w:val="18"/>
                <w:szCs w:val="18"/>
              </w:rPr>
            </w:pPr>
          </w:p>
          <w:p w14:paraId="188F116D" w14:textId="77777777" w:rsidR="00302253" w:rsidRPr="00524435" w:rsidRDefault="00302253" w:rsidP="00C33359">
            <w:pPr>
              <w:jc w:val="both"/>
              <w:rPr>
                <w:rFonts w:ascii="Cambria" w:hAnsi="Cambria" w:cs="Calibri Light"/>
                <w:color w:val="000000" w:themeColor="text1"/>
                <w:sz w:val="18"/>
                <w:szCs w:val="18"/>
              </w:rPr>
            </w:pPr>
          </w:p>
          <w:p w14:paraId="439C309B" w14:textId="77777777" w:rsidR="00302253" w:rsidRPr="00524435" w:rsidRDefault="00302253" w:rsidP="00C33359">
            <w:pPr>
              <w:jc w:val="both"/>
              <w:rPr>
                <w:rFonts w:ascii="Cambria" w:hAnsi="Cambria" w:cs="Calibri Light"/>
                <w:color w:val="000000" w:themeColor="text1"/>
                <w:sz w:val="18"/>
                <w:szCs w:val="18"/>
              </w:rPr>
            </w:pPr>
          </w:p>
          <w:p w14:paraId="5A017204" w14:textId="77777777" w:rsidR="00302253" w:rsidRPr="00524435" w:rsidRDefault="00302253" w:rsidP="00C33359">
            <w:pPr>
              <w:jc w:val="both"/>
              <w:rPr>
                <w:rFonts w:ascii="Cambria" w:eastAsia="MS Mincho" w:hAnsi="Cambria" w:cs="Calibri"/>
                <w:color w:val="000000" w:themeColor="text1"/>
                <w:sz w:val="18"/>
                <w:szCs w:val="18"/>
                <w:highlight w:val="yellow"/>
                <w:lang w:eastAsia="es-ES_tradnl"/>
              </w:rPr>
            </w:pPr>
            <w:r w:rsidRPr="00524435">
              <w:rPr>
                <w:rFonts w:ascii="Cambria" w:hAnsi="Cambria" w:cs="Calibri Light"/>
                <w:color w:val="000000" w:themeColor="text1"/>
                <w:sz w:val="18"/>
                <w:szCs w:val="18"/>
              </w:rPr>
              <w:t>The Commission viewed positively the payment of compensation to the victims, as well as the fact that proof of each payment was submitted.</w:t>
            </w:r>
          </w:p>
        </w:tc>
        <w:tc>
          <w:tcPr>
            <w:tcW w:w="1350" w:type="dxa"/>
            <w:shd w:val="clear" w:color="auto" w:fill="D9D9D9"/>
            <w:vAlign w:val="center"/>
          </w:tcPr>
          <w:p w14:paraId="047FD6C7" w14:textId="77777777" w:rsidR="00302253" w:rsidRPr="00524435" w:rsidRDefault="00302253" w:rsidP="00C33359">
            <w:pPr>
              <w:jc w:val="center"/>
              <w:rPr>
                <w:rFonts w:ascii="Cambria" w:eastAsia="MS Mincho" w:hAnsi="Cambria" w:cs="Calibri"/>
                <w:color w:val="000000" w:themeColor="text1"/>
                <w:sz w:val="18"/>
                <w:szCs w:val="18"/>
                <w:highlight w:val="yellow"/>
                <w:lang w:eastAsia="es-ES_tradnl"/>
              </w:rPr>
            </w:pPr>
            <w:r w:rsidRPr="00524435">
              <w:rPr>
                <w:rFonts w:ascii="Cambria" w:eastAsia="MS Mincho" w:hAnsi="Cambria" w:cs="Calibri"/>
                <w:color w:val="000000" w:themeColor="text1"/>
                <w:sz w:val="18"/>
                <w:szCs w:val="18"/>
                <w:lang w:eastAsia="es-ES_tradnl"/>
              </w:rPr>
              <w:t>Total</w:t>
            </w:r>
          </w:p>
        </w:tc>
      </w:tr>
      <w:tr w:rsidR="00302253" w:rsidRPr="00524435" w14:paraId="53E3B53F" w14:textId="77777777" w:rsidTr="00D55667">
        <w:trPr>
          <w:trHeight w:val="504"/>
          <w:jc w:val="center"/>
        </w:trPr>
        <w:tc>
          <w:tcPr>
            <w:tcW w:w="1890" w:type="dxa"/>
            <w:shd w:val="clear" w:color="auto" w:fill="D9D9D9"/>
            <w:vAlign w:val="center"/>
          </w:tcPr>
          <w:p w14:paraId="5CA0AF45" w14:textId="77777777" w:rsidR="00302253" w:rsidRPr="00524435" w:rsidRDefault="00302253" w:rsidP="00C33359">
            <w:pPr>
              <w:rPr>
                <w:rFonts w:ascii="Cambria" w:eastAsia="MS Mincho" w:hAnsi="Cambria" w:cs="Calibri"/>
                <w:color w:val="000000" w:themeColor="text1"/>
                <w:sz w:val="18"/>
                <w:szCs w:val="18"/>
                <w:highlight w:val="yellow"/>
                <w:lang w:eastAsia="es-ES_tradnl"/>
              </w:rPr>
            </w:pPr>
            <w:r w:rsidRPr="007A5442">
              <w:rPr>
                <w:rFonts w:ascii="Cambria" w:eastAsia="MS Mincho" w:hAnsi="Cambria" w:cs="Calibri"/>
                <w:color w:val="000000" w:themeColor="text1"/>
                <w:sz w:val="18"/>
                <w:szCs w:val="18"/>
              </w:rPr>
              <w:t xml:space="preserve">Case </w:t>
            </w:r>
            <w:r w:rsidRPr="007A5442">
              <w:rPr>
                <w:rFonts w:ascii="Cambria" w:hAnsi="Cambria" w:cs="Calibri"/>
                <w:color w:val="000000" w:themeColor="text1"/>
                <w:sz w:val="18"/>
                <w:szCs w:val="18"/>
              </w:rPr>
              <w:t xml:space="preserve">12.799, </w:t>
            </w:r>
            <w:r w:rsidRPr="007A5442">
              <w:rPr>
                <w:rFonts w:ascii="Cambria" w:eastAsia="MS Mincho" w:hAnsi="Cambria" w:cs="Calibri"/>
                <w:color w:val="000000" w:themeColor="text1"/>
                <w:sz w:val="18"/>
                <w:szCs w:val="18"/>
              </w:rPr>
              <w:t xml:space="preserve">Report No. </w:t>
            </w:r>
            <w:r w:rsidRPr="007A5442">
              <w:rPr>
                <w:rFonts w:ascii="Cambria" w:hAnsi="Cambria" w:cs="Calibri"/>
                <w:color w:val="000000" w:themeColor="text1"/>
                <w:sz w:val="18"/>
                <w:szCs w:val="18"/>
              </w:rPr>
              <w:t xml:space="preserve">48/16, Miguel </w:t>
            </w:r>
            <w:proofErr w:type="spellStart"/>
            <w:r w:rsidRPr="007A5442">
              <w:rPr>
                <w:rFonts w:ascii="Cambria" w:hAnsi="Cambria" w:cs="Calibri"/>
                <w:color w:val="000000" w:themeColor="text1"/>
                <w:sz w:val="18"/>
                <w:szCs w:val="18"/>
              </w:rPr>
              <w:t>Ángel</w:t>
            </w:r>
            <w:proofErr w:type="spellEnd"/>
            <w:r w:rsidRPr="007A5442">
              <w:rPr>
                <w:rFonts w:ascii="Cambria" w:hAnsi="Cambria" w:cs="Calibri"/>
                <w:color w:val="000000" w:themeColor="text1"/>
                <w:sz w:val="18"/>
                <w:szCs w:val="18"/>
              </w:rPr>
              <w:t xml:space="preserve"> Millar Silva et al. </w:t>
            </w:r>
            <w:r w:rsidRPr="00524435">
              <w:rPr>
                <w:rFonts w:ascii="Cambria" w:hAnsi="Cambria" w:cs="Calibri"/>
                <w:color w:val="000000" w:themeColor="text1"/>
                <w:sz w:val="18"/>
                <w:szCs w:val="18"/>
              </w:rPr>
              <w:t xml:space="preserve">(Radio Estrella del Mar de </w:t>
            </w:r>
            <w:proofErr w:type="spellStart"/>
            <w:r w:rsidRPr="00524435">
              <w:rPr>
                <w:rFonts w:ascii="Cambria" w:hAnsi="Cambria" w:cs="Calibri"/>
                <w:color w:val="000000" w:themeColor="text1"/>
                <w:sz w:val="18"/>
                <w:szCs w:val="18"/>
              </w:rPr>
              <w:t>Melinka</w:t>
            </w:r>
            <w:proofErr w:type="spellEnd"/>
            <w:r w:rsidRPr="00524435">
              <w:rPr>
                <w:rFonts w:ascii="Cambria" w:hAnsi="Cambria" w:cs="Calibri"/>
                <w:color w:val="000000" w:themeColor="text1"/>
                <w:sz w:val="18"/>
                <w:szCs w:val="18"/>
              </w:rPr>
              <w:t>) (Chile), clause 1 of the agreement to comply</w:t>
            </w:r>
          </w:p>
        </w:tc>
        <w:tc>
          <w:tcPr>
            <w:tcW w:w="1170" w:type="dxa"/>
            <w:vMerge/>
            <w:shd w:val="clear" w:color="auto" w:fill="D9D9D9"/>
            <w:vAlign w:val="center"/>
          </w:tcPr>
          <w:p w14:paraId="1B70E46D" w14:textId="77777777" w:rsidR="00302253" w:rsidRPr="00524435" w:rsidRDefault="00302253" w:rsidP="00C33359">
            <w:pPr>
              <w:jc w:val="center"/>
              <w:rPr>
                <w:rFonts w:ascii="Cambria" w:eastAsia="MS Mincho" w:hAnsi="Cambria" w:cs="Calibri"/>
                <w:color w:val="000000" w:themeColor="text1"/>
                <w:sz w:val="18"/>
                <w:szCs w:val="18"/>
                <w:highlight w:val="yellow"/>
                <w:lang w:eastAsia="es-ES_tradnl"/>
              </w:rPr>
            </w:pPr>
          </w:p>
        </w:tc>
        <w:tc>
          <w:tcPr>
            <w:tcW w:w="2430" w:type="dxa"/>
            <w:shd w:val="clear" w:color="auto" w:fill="D9D9D9"/>
            <w:vAlign w:val="center"/>
          </w:tcPr>
          <w:p w14:paraId="54F7F4D3" w14:textId="77777777" w:rsidR="00302253" w:rsidRPr="00524435" w:rsidRDefault="00302253" w:rsidP="00C33359">
            <w:pPr>
              <w:jc w:val="both"/>
              <w:outlineLvl w:val="0"/>
              <w:rPr>
                <w:rFonts w:ascii="Cambria" w:hAnsi="Cambria"/>
                <w:color w:val="000000" w:themeColor="text1"/>
                <w:sz w:val="18"/>
                <w:szCs w:val="18"/>
                <w:highlight w:val="yellow"/>
              </w:rPr>
            </w:pPr>
            <w:r w:rsidRPr="00524435">
              <w:rPr>
                <w:rFonts w:ascii="Cambria" w:hAnsi="Cambria" w:cs="Calibri"/>
                <w:bCs/>
                <w:color w:val="000000" w:themeColor="text1"/>
                <w:sz w:val="18"/>
                <w:szCs w:val="18"/>
              </w:rPr>
              <w:t xml:space="preserve">Monetary Reparation: The 15 victims state that they will consider themselves duly compensated with payment of </w:t>
            </w:r>
            <w:r w:rsidRPr="00524435">
              <w:rPr>
                <w:rFonts w:ascii="Cambria" w:hAnsi="Cambria" w:cs="Calibri"/>
                <w:color w:val="000000" w:themeColor="text1"/>
                <w:sz w:val="18"/>
                <w:szCs w:val="18"/>
              </w:rPr>
              <w:t>US$3.000—an amount they consider symbolic—in the form of a check made out to each victim, within a maximum period of three months from the signing of this agreement.</w:t>
            </w:r>
          </w:p>
        </w:tc>
        <w:tc>
          <w:tcPr>
            <w:tcW w:w="2790" w:type="dxa"/>
            <w:vMerge/>
            <w:shd w:val="clear" w:color="auto" w:fill="D9D9D9"/>
          </w:tcPr>
          <w:p w14:paraId="47782A94" w14:textId="77777777" w:rsidR="00302253" w:rsidRPr="00524435" w:rsidRDefault="00302253" w:rsidP="00C33359">
            <w:pPr>
              <w:jc w:val="both"/>
              <w:rPr>
                <w:rFonts w:ascii="Cambria" w:eastAsia="MS Mincho" w:hAnsi="Cambria" w:cs="Calibri"/>
                <w:color w:val="000000" w:themeColor="text1"/>
                <w:sz w:val="18"/>
                <w:szCs w:val="18"/>
                <w:highlight w:val="yellow"/>
                <w:lang w:eastAsia="es-ES_tradnl"/>
              </w:rPr>
            </w:pPr>
          </w:p>
        </w:tc>
        <w:tc>
          <w:tcPr>
            <w:tcW w:w="1350" w:type="dxa"/>
            <w:shd w:val="clear" w:color="auto" w:fill="D9D9D9"/>
            <w:vAlign w:val="center"/>
          </w:tcPr>
          <w:p w14:paraId="68064721" w14:textId="77777777" w:rsidR="00302253" w:rsidRPr="00524435" w:rsidRDefault="00302253" w:rsidP="00C33359">
            <w:pPr>
              <w:jc w:val="center"/>
              <w:rPr>
                <w:rFonts w:ascii="Cambria" w:eastAsia="MS Mincho" w:hAnsi="Cambria" w:cs="Calibri"/>
                <w:color w:val="000000" w:themeColor="text1"/>
                <w:sz w:val="18"/>
                <w:szCs w:val="18"/>
                <w:highlight w:val="yellow"/>
                <w:lang w:eastAsia="es-ES_tradnl"/>
              </w:rPr>
            </w:pPr>
            <w:r w:rsidRPr="00524435">
              <w:rPr>
                <w:rFonts w:ascii="Cambria" w:eastAsia="MS Mincho" w:hAnsi="Cambria" w:cs="Calibri"/>
                <w:color w:val="000000" w:themeColor="text1"/>
                <w:sz w:val="18"/>
                <w:szCs w:val="18"/>
                <w:lang w:eastAsia="es-ES_tradnl"/>
              </w:rPr>
              <w:t>Total</w:t>
            </w:r>
          </w:p>
        </w:tc>
      </w:tr>
      <w:tr w:rsidR="00302253" w:rsidRPr="00524435" w14:paraId="49B86CF0" w14:textId="77777777" w:rsidTr="00C33359">
        <w:trPr>
          <w:trHeight w:val="504"/>
          <w:jc w:val="center"/>
        </w:trPr>
        <w:tc>
          <w:tcPr>
            <w:tcW w:w="9630" w:type="dxa"/>
            <w:gridSpan w:val="5"/>
            <w:shd w:val="clear" w:color="auto" w:fill="BFBFBF"/>
            <w:vAlign w:val="center"/>
          </w:tcPr>
          <w:p w14:paraId="61AD202E" w14:textId="77777777" w:rsidR="00302253" w:rsidRPr="00524435" w:rsidRDefault="00302253" w:rsidP="00D55667">
            <w:pPr>
              <w:spacing w:before="240" w:after="240" w:line="240" w:lineRule="auto"/>
              <w:jc w:val="center"/>
              <w:rPr>
                <w:rFonts w:ascii="Cambria" w:eastAsia="MS Mincho" w:hAnsi="Cambria" w:cs="Calibri"/>
                <w:b/>
                <w:color w:val="000000" w:themeColor="text1"/>
                <w:sz w:val="18"/>
                <w:szCs w:val="18"/>
                <w:highlight w:val="yellow"/>
                <w:lang w:eastAsia="es-ES_tradnl"/>
              </w:rPr>
            </w:pPr>
            <w:r w:rsidRPr="00524435">
              <w:rPr>
                <w:rFonts w:ascii="Cambria" w:eastAsia="MS Mincho" w:hAnsi="Cambria" w:cs="Calibri"/>
                <w:b/>
                <w:color w:val="000000" w:themeColor="text1"/>
                <w:sz w:val="18"/>
                <w:szCs w:val="18"/>
                <w:lang w:eastAsia="es-ES_tradnl"/>
              </w:rPr>
              <w:t>COLOMBIA</w:t>
            </w:r>
          </w:p>
        </w:tc>
      </w:tr>
      <w:tr w:rsidR="00302253" w:rsidRPr="00524435" w14:paraId="68F092E0" w14:textId="77777777" w:rsidTr="00D55667">
        <w:trPr>
          <w:trHeight w:val="504"/>
          <w:jc w:val="center"/>
        </w:trPr>
        <w:tc>
          <w:tcPr>
            <w:tcW w:w="1890" w:type="dxa"/>
            <w:shd w:val="clear" w:color="auto" w:fill="D9D9D9"/>
            <w:vAlign w:val="center"/>
          </w:tcPr>
          <w:p w14:paraId="43380010" w14:textId="77777777" w:rsidR="00302253" w:rsidRPr="00DF0CD0" w:rsidRDefault="00302253" w:rsidP="00C33359">
            <w:pPr>
              <w:rPr>
                <w:rFonts w:ascii="Cambria" w:eastAsia="MS Mincho" w:hAnsi="Cambria" w:cs="Calibri"/>
                <w:color w:val="000000" w:themeColor="text1"/>
                <w:sz w:val="18"/>
                <w:szCs w:val="18"/>
                <w:highlight w:val="yellow"/>
                <w:lang w:val="es-US" w:eastAsia="es-ES_tradnl"/>
              </w:rPr>
            </w:pPr>
            <w:r w:rsidRPr="00DF0CD0">
              <w:rPr>
                <w:rFonts w:ascii="Cambria" w:eastAsia="MS Mincho" w:hAnsi="Cambria" w:cs="Calibri"/>
                <w:color w:val="000000" w:themeColor="text1"/>
                <w:sz w:val="18"/>
                <w:szCs w:val="18"/>
                <w:lang w:val="es-US"/>
              </w:rPr>
              <w:t xml:space="preserve">Case </w:t>
            </w:r>
            <w:r w:rsidRPr="00DF0CD0">
              <w:rPr>
                <w:rFonts w:ascii="Cambria" w:eastAsia="MS Mincho" w:hAnsi="Cambria" w:cs="Calibri"/>
                <w:color w:val="000000" w:themeColor="text1"/>
                <w:sz w:val="18"/>
                <w:szCs w:val="18"/>
                <w:lang w:val="es-US" w:eastAsia="es-ES_tradnl"/>
              </w:rPr>
              <w:t xml:space="preserve">11.656, </w:t>
            </w:r>
            <w:proofErr w:type="spellStart"/>
            <w:r w:rsidRPr="00DF0CD0">
              <w:rPr>
                <w:rFonts w:ascii="Cambria" w:eastAsia="MS Mincho" w:hAnsi="Cambria" w:cs="Calibri"/>
                <w:color w:val="000000" w:themeColor="text1"/>
                <w:sz w:val="18"/>
                <w:szCs w:val="18"/>
                <w:lang w:val="es-US"/>
              </w:rPr>
              <w:t>Report</w:t>
            </w:r>
            <w:proofErr w:type="spellEnd"/>
            <w:r w:rsidRPr="00DF0CD0">
              <w:rPr>
                <w:rFonts w:ascii="Cambria" w:eastAsia="MS Mincho" w:hAnsi="Cambria" w:cs="Calibri"/>
                <w:color w:val="000000" w:themeColor="text1"/>
                <w:sz w:val="18"/>
                <w:szCs w:val="18"/>
                <w:lang w:val="es-US"/>
              </w:rPr>
              <w:t xml:space="preserve"> No. </w:t>
            </w:r>
            <w:r w:rsidRPr="00DF0CD0">
              <w:rPr>
                <w:rFonts w:ascii="Cambria" w:eastAsia="MS Mincho" w:hAnsi="Cambria" w:cs="Calibri"/>
                <w:color w:val="000000" w:themeColor="text1"/>
                <w:sz w:val="18"/>
                <w:szCs w:val="18"/>
                <w:lang w:val="es-US" w:eastAsia="es-ES_tradnl"/>
              </w:rPr>
              <w:t xml:space="preserve">122/18, Marta Lucía Álvarez Giraldo (Colombia), </w:t>
            </w:r>
            <w:proofErr w:type="spellStart"/>
            <w:r w:rsidRPr="00DF0CD0">
              <w:rPr>
                <w:rFonts w:ascii="Cambria" w:hAnsi="Cambria" w:cs="Calibri"/>
                <w:bCs/>
                <w:color w:val="000000" w:themeColor="text1"/>
                <w:sz w:val="18"/>
                <w:szCs w:val="18"/>
                <w:lang w:val="es-US"/>
              </w:rPr>
              <w:t>recommendation</w:t>
            </w:r>
            <w:proofErr w:type="spellEnd"/>
            <w:r w:rsidRPr="00DF0CD0">
              <w:rPr>
                <w:rFonts w:ascii="Cambria" w:hAnsi="Cambria" w:cs="Calibri"/>
                <w:bCs/>
                <w:color w:val="000000" w:themeColor="text1"/>
                <w:sz w:val="18"/>
                <w:szCs w:val="18"/>
                <w:lang w:val="es-US"/>
              </w:rPr>
              <w:t xml:space="preserve"> </w:t>
            </w:r>
            <w:r w:rsidRPr="00DF0CD0">
              <w:rPr>
                <w:rFonts w:ascii="Cambria" w:eastAsia="MS Mincho" w:hAnsi="Cambria" w:cs="Calibri"/>
                <w:color w:val="000000" w:themeColor="text1"/>
                <w:sz w:val="18"/>
                <w:szCs w:val="18"/>
                <w:lang w:val="es-US" w:eastAsia="es-ES_tradnl"/>
              </w:rPr>
              <w:t>3</w:t>
            </w:r>
          </w:p>
        </w:tc>
        <w:tc>
          <w:tcPr>
            <w:tcW w:w="1170" w:type="dxa"/>
            <w:shd w:val="clear" w:color="auto" w:fill="D9D9D9"/>
            <w:vAlign w:val="center"/>
          </w:tcPr>
          <w:p w14:paraId="56674D96" w14:textId="77777777" w:rsidR="00302253" w:rsidRPr="00524435" w:rsidRDefault="00302253" w:rsidP="00C33359">
            <w:pPr>
              <w:jc w:val="center"/>
              <w:rPr>
                <w:rFonts w:ascii="Cambria" w:eastAsia="MS Mincho" w:hAnsi="Cambria" w:cs="Calibri"/>
                <w:color w:val="000000" w:themeColor="text1"/>
                <w:sz w:val="18"/>
                <w:szCs w:val="18"/>
                <w:highlight w:val="yellow"/>
                <w:lang w:eastAsia="es-ES_tradnl"/>
              </w:rPr>
            </w:pPr>
            <w:r w:rsidRPr="00524435">
              <w:rPr>
                <w:rFonts w:ascii="Cambria" w:eastAsia="MS Mincho" w:hAnsi="Cambria" w:cs="Calibri"/>
                <w:color w:val="000000" w:themeColor="text1"/>
                <w:sz w:val="18"/>
                <w:szCs w:val="18"/>
                <w:lang w:eastAsia="es-ES_tradnl"/>
              </w:rPr>
              <w:t>Structural</w:t>
            </w:r>
          </w:p>
        </w:tc>
        <w:tc>
          <w:tcPr>
            <w:tcW w:w="2430" w:type="dxa"/>
            <w:shd w:val="clear" w:color="auto" w:fill="D9D9D9"/>
            <w:vAlign w:val="center"/>
          </w:tcPr>
          <w:p w14:paraId="54186349" w14:textId="77777777" w:rsidR="00302253" w:rsidRPr="00524435" w:rsidRDefault="00302253" w:rsidP="00C33359">
            <w:pPr>
              <w:jc w:val="both"/>
              <w:outlineLvl w:val="0"/>
              <w:rPr>
                <w:rFonts w:ascii="Cambria" w:hAnsi="Cambria"/>
                <w:color w:val="000000" w:themeColor="text1"/>
                <w:sz w:val="18"/>
                <w:szCs w:val="18"/>
              </w:rPr>
            </w:pPr>
          </w:p>
          <w:p w14:paraId="60033793" w14:textId="36C70929" w:rsidR="00302253" w:rsidRPr="00524435" w:rsidRDefault="00302253" w:rsidP="00D55667">
            <w:pPr>
              <w:jc w:val="both"/>
              <w:outlineLvl w:val="0"/>
              <w:rPr>
                <w:rFonts w:ascii="Cambria" w:hAnsi="Cambria"/>
                <w:color w:val="000000" w:themeColor="text1"/>
                <w:sz w:val="18"/>
                <w:szCs w:val="18"/>
              </w:rPr>
            </w:pPr>
            <w:r w:rsidRPr="00524435">
              <w:rPr>
                <w:rFonts w:ascii="Cambria" w:hAnsi="Cambria"/>
                <w:color w:val="000000" w:themeColor="text1"/>
                <w:sz w:val="18"/>
                <w:szCs w:val="18"/>
              </w:rPr>
              <w:t>To undertake a reform of the regulations of INPEC regarding penitentiaries and prisons, with the purpose of ensuring the right of persons deprived of liberty not to be discriminated against based on their sexual orientation, in compliance with decision T</w:t>
            </w:r>
            <w:r w:rsidRPr="00524435">
              <w:rPr>
                <w:rFonts w:ascii="Cambria" w:hAnsi="Cambria"/>
                <w:color w:val="000000" w:themeColor="text1"/>
                <w:sz w:val="18"/>
                <w:szCs w:val="18"/>
              </w:rPr>
              <w:noBreakHyphen/>
              <w:t>062 of 2011 issued by the Colombian Constitutional Court</w:t>
            </w:r>
            <w:r w:rsidRPr="00524435">
              <w:rPr>
                <w:rFonts w:ascii="Cambria" w:eastAsia="MS Mincho" w:hAnsi="Cambria" w:cs="Calibri"/>
                <w:color w:val="000000" w:themeColor="text1"/>
                <w:sz w:val="18"/>
                <w:szCs w:val="18"/>
                <w:lang w:eastAsia="es-ES_tradnl"/>
              </w:rPr>
              <w:t>.</w:t>
            </w:r>
          </w:p>
        </w:tc>
        <w:tc>
          <w:tcPr>
            <w:tcW w:w="2790" w:type="dxa"/>
            <w:shd w:val="clear" w:color="auto" w:fill="D9D9D9"/>
          </w:tcPr>
          <w:p w14:paraId="7677F1AB" w14:textId="77777777" w:rsidR="00302253" w:rsidRPr="00524435" w:rsidRDefault="00302253" w:rsidP="00C33359">
            <w:pPr>
              <w:jc w:val="both"/>
              <w:rPr>
                <w:rFonts w:ascii="Cambria" w:eastAsia="MS Mincho" w:hAnsi="Cambria" w:cs="Calibri"/>
                <w:color w:val="000000" w:themeColor="text1"/>
                <w:sz w:val="18"/>
                <w:szCs w:val="18"/>
                <w:highlight w:val="yellow"/>
                <w:lang w:eastAsia="es-ES_tradnl"/>
              </w:rPr>
            </w:pPr>
          </w:p>
          <w:p w14:paraId="727F2335" w14:textId="77777777" w:rsidR="00302253" w:rsidRPr="00524435" w:rsidRDefault="00302253" w:rsidP="00C33359">
            <w:pPr>
              <w:jc w:val="both"/>
              <w:rPr>
                <w:rFonts w:ascii="Cambria" w:eastAsia="MS Mincho" w:hAnsi="Cambria" w:cs="Calibri"/>
                <w:color w:val="000000" w:themeColor="text1"/>
                <w:sz w:val="18"/>
                <w:szCs w:val="18"/>
                <w:highlight w:val="yellow"/>
                <w:lang w:eastAsia="es-ES_tradnl"/>
              </w:rPr>
            </w:pPr>
            <w:r w:rsidRPr="00524435">
              <w:rPr>
                <w:rFonts w:ascii="Cambria" w:hAnsi="Cambria" w:cs="Cambria"/>
                <w:color w:val="000000" w:themeColor="text1"/>
                <w:sz w:val="18"/>
                <w:szCs w:val="18"/>
                <w:u w:color="FF0000"/>
              </w:rPr>
              <w:t>The Commission viewed positively the information sent by both parties showing that all 132 internal regulations of the country’s penitentiaries and jails were adopted by INPEC’s General Directorate, in accordance with the General Regulations of the National Correctional Establishments (ERON).</w:t>
            </w:r>
          </w:p>
        </w:tc>
        <w:tc>
          <w:tcPr>
            <w:tcW w:w="1350" w:type="dxa"/>
            <w:shd w:val="clear" w:color="auto" w:fill="D9D9D9"/>
            <w:vAlign w:val="center"/>
          </w:tcPr>
          <w:p w14:paraId="12768C49" w14:textId="77777777" w:rsidR="00302253" w:rsidRPr="00524435" w:rsidRDefault="00302253" w:rsidP="00C33359">
            <w:pPr>
              <w:jc w:val="center"/>
              <w:rPr>
                <w:rFonts w:ascii="Cambria" w:eastAsia="MS Mincho" w:hAnsi="Cambria" w:cs="Calibri"/>
                <w:color w:val="000000" w:themeColor="text1"/>
                <w:sz w:val="18"/>
                <w:szCs w:val="18"/>
                <w:highlight w:val="yellow"/>
                <w:lang w:eastAsia="es-ES_tradnl"/>
              </w:rPr>
            </w:pPr>
            <w:r w:rsidRPr="00524435">
              <w:rPr>
                <w:rFonts w:ascii="Cambria" w:eastAsia="MS Mincho" w:hAnsi="Cambria" w:cs="Calibri"/>
                <w:color w:val="000000" w:themeColor="text1"/>
                <w:sz w:val="18"/>
                <w:szCs w:val="18"/>
                <w:lang w:eastAsia="es-ES_tradnl"/>
              </w:rPr>
              <w:t>Total</w:t>
            </w:r>
          </w:p>
        </w:tc>
      </w:tr>
      <w:tr w:rsidR="00302253" w:rsidRPr="00524435" w14:paraId="50B98B89" w14:textId="77777777" w:rsidTr="00C33359">
        <w:trPr>
          <w:trHeight w:val="504"/>
          <w:jc w:val="center"/>
        </w:trPr>
        <w:tc>
          <w:tcPr>
            <w:tcW w:w="9630" w:type="dxa"/>
            <w:gridSpan w:val="5"/>
            <w:shd w:val="clear" w:color="auto" w:fill="BFBFBF"/>
            <w:vAlign w:val="center"/>
          </w:tcPr>
          <w:p w14:paraId="703F8AB7" w14:textId="77777777" w:rsidR="00302253" w:rsidRPr="00524435" w:rsidRDefault="00302253" w:rsidP="00D55667">
            <w:pPr>
              <w:spacing w:before="240" w:after="240" w:line="240" w:lineRule="auto"/>
              <w:jc w:val="center"/>
              <w:rPr>
                <w:rFonts w:ascii="Cambria" w:eastAsia="MS Mincho" w:hAnsi="Cambria" w:cs="Calibri"/>
                <w:b/>
                <w:color w:val="000000" w:themeColor="text1"/>
                <w:sz w:val="18"/>
                <w:szCs w:val="18"/>
                <w:highlight w:val="yellow"/>
                <w:lang w:eastAsia="es-ES_tradnl"/>
              </w:rPr>
            </w:pPr>
            <w:r w:rsidRPr="00524435">
              <w:rPr>
                <w:rFonts w:ascii="Cambria" w:eastAsia="MS Mincho" w:hAnsi="Cambria" w:cs="Calibri"/>
                <w:b/>
                <w:color w:val="000000" w:themeColor="text1"/>
                <w:sz w:val="18"/>
                <w:szCs w:val="18"/>
                <w:lang w:eastAsia="es-ES_tradnl"/>
              </w:rPr>
              <w:lastRenderedPageBreak/>
              <w:t>MEXICO</w:t>
            </w:r>
          </w:p>
        </w:tc>
      </w:tr>
      <w:tr w:rsidR="00302253" w:rsidRPr="00524435" w14:paraId="0E2D9A15" w14:textId="77777777" w:rsidTr="00D55667">
        <w:trPr>
          <w:trHeight w:val="504"/>
          <w:jc w:val="center"/>
        </w:trPr>
        <w:tc>
          <w:tcPr>
            <w:tcW w:w="1890" w:type="dxa"/>
            <w:shd w:val="clear" w:color="auto" w:fill="D9D9D9"/>
            <w:vAlign w:val="center"/>
          </w:tcPr>
          <w:p w14:paraId="792AE6C0" w14:textId="77777777" w:rsidR="00302253" w:rsidRPr="007A5442" w:rsidRDefault="00302253" w:rsidP="00C33359">
            <w:pPr>
              <w:rPr>
                <w:rFonts w:ascii="Cambria" w:eastAsia="MS Mincho" w:hAnsi="Cambria" w:cs="Calibri"/>
                <w:color w:val="000000" w:themeColor="text1"/>
                <w:sz w:val="18"/>
                <w:szCs w:val="18"/>
                <w:highlight w:val="yellow"/>
                <w:lang w:val="es-ES" w:eastAsia="es-ES_tradnl"/>
              </w:rPr>
            </w:pPr>
            <w:r w:rsidRPr="007A5442">
              <w:rPr>
                <w:rFonts w:ascii="Cambria" w:eastAsia="MS Mincho" w:hAnsi="Cambria" w:cs="Calibri"/>
                <w:color w:val="000000" w:themeColor="text1"/>
                <w:sz w:val="18"/>
                <w:szCs w:val="18"/>
                <w:lang w:val="es-ES"/>
              </w:rPr>
              <w:t xml:space="preserve">Case </w:t>
            </w:r>
            <w:r w:rsidRPr="007A5442">
              <w:rPr>
                <w:rFonts w:ascii="Cambria" w:hAnsi="Cambria" w:cs="Calibri"/>
                <w:bCs/>
                <w:color w:val="000000" w:themeColor="text1"/>
                <w:sz w:val="18"/>
                <w:szCs w:val="18"/>
                <w:lang w:val="es-ES"/>
              </w:rPr>
              <w:t xml:space="preserve">11.565, </w:t>
            </w:r>
            <w:proofErr w:type="spellStart"/>
            <w:r w:rsidRPr="007A5442">
              <w:rPr>
                <w:rFonts w:ascii="Cambria" w:eastAsia="MS Mincho" w:hAnsi="Cambria" w:cs="Calibri"/>
                <w:color w:val="000000" w:themeColor="text1"/>
                <w:sz w:val="18"/>
                <w:szCs w:val="18"/>
                <w:lang w:val="es-ES"/>
              </w:rPr>
              <w:t>Report</w:t>
            </w:r>
            <w:proofErr w:type="spellEnd"/>
            <w:r w:rsidRPr="007A5442">
              <w:rPr>
                <w:rFonts w:ascii="Cambria" w:eastAsia="MS Mincho" w:hAnsi="Cambria" w:cs="Calibri"/>
                <w:color w:val="000000" w:themeColor="text1"/>
                <w:sz w:val="18"/>
                <w:szCs w:val="18"/>
                <w:lang w:val="es-ES"/>
              </w:rPr>
              <w:t xml:space="preserve"> No. </w:t>
            </w:r>
            <w:r w:rsidRPr="007A5442">
              <w:rPr>
                <w:rFonts w:ascii="Cambria" w:hAnsi="Cambria" w:cs="Calibri"/>
                <w:bCs/>
                <w:color w:val="000000" w:themeColor="text1"/>
                <w:sz w:val="18"/>
                <w:szCs w:val="18"/>
                <w:lang w:val="es-ES"/>
              </w:rPr>
              <w:t xml:space="preserve">53/01, González Pérez </w:t>
            </w:r>
            <w:proofErr w:type="spellStart"/>
            <w:r w:rsidRPr="007A5442">
              <w:rPr>
                <w:rFonts w:ascii="Cambria" w:hAnsi="Cambria" w:cs="Calibri"/>
                <w:bCs/>
                <w:color w:val="000000" w:themeColor="text1"/>
                <w:sz w:val="18"/>
                <w:szCs w:val="18"/>
                <w:lang w:val="es-ES"/>
              </w:rPr>
              <w:t>sisters</w:t>
            </w:r>
            <w:proofErr w:type="spellEnd"/>
            <w:r w:rsidRPr="007A5442">
              <w:rPr>
                <w:rFonts w:ascii="Cambria" w:hAnsi="Cambria" w:cs="Calibri"/>
                <w:bCs/>
                <w:color w:val="000000" w:themeColor="text1"/>
                <w:sz w:val="18"/>
                <w:szCs w:val="18"/>
                <w:lang w:val="es-ES"/>
              </w:rPr>
              <w:t xml:space="preserve"> (</w:t>
            </w:r>
            <w:proofErr w:type="spellStart"/>
            <w:r w:rsidRPr="007A5442">
              <w:rPr>
                <w:rFonts w:ascii="Cambria" w:hAnsi="Cambria" w:cs="Calibri"/>
                <w:bCs/>
                <w:color w:val="000000" w:themeColor="text1"/>
                <w:sz w:val="18"/>
                <w:szCs w:val="18"/>
                <w:lang w:val="es-ES"/>
              </w:rPr>
              <w:t>Mexico</w:t>
            </w:r>
            <w:proofErr w:type="spellEnd"/>
            <w:r w:rsidRPr="007A5442">
              <w:rPr>
                <w:rFonts w:ascii="Cambria" w:hAnsi="Cambria" w:cs="Calibri"/>
                <w:bCs/>
                <w:color w:val="000000" w:themeColor="text1"/>
                <w:sz w:val="18"/>
                <w:szCs w:val="18"/>
                <w:lang w:val="es-ES"/>
              </w:rPr>
              <w:t xml:space="preserve">), </w:t>
            </w:r>
            <w:proofErr w:type="spellStart"/>
            <w:r w:rsidRPr="007A5442">
              <w:rPr>
                <w:rFonts w:ascii="Cambria" w:hAnsi="Cambria" w:cs="Calibri"/>
                <w:bCs/>
                <w:color w:val="000000" w:themeColor="text1"/>
                <w:sz w:val="18"/>
                <w:szCs w:val="18"/>
                <w:lang w:val="es-ES"/>
              </w:rPr>
              <w:t>recommendation</w:t>
            </w:r>
            <w:proofErr w:type="spellEnd"/>
            <w:r w:rsidRPr="007A5442">
              <w:rPr>
                <w:rFonts w:ascii="Cambria" w:hAnsi="Cambria" w:cs="Calibri"/>
                <w:bCs/>
                <w:color w:val="000000" w:themeColor="text1"/>
                <w:sz w:val="18"/>
                <w:szCs w:val="18"/>
                <w:lang w:val="es-ES"/>
              </w:rPr>
              <w:t xml:space="preserve"> 2</w:t>
            </w:r>
          </w:p>
        </w:tc>
        <w:tc>
          <w:tcPr>
            <w:tcW w:w="1170" w:type="dxa"/>
            <w:shd w:val="clear" w:color="auto" w:fill="D9D9D9"/>
            <w:vAlign w:val="center"/>
          </w:tcPr>
          <w:p w14:paraId="7DE347BC" w14:textId="77777777" w:rsidR="00302253" w:rsidRPr="00524435" w:rsidRDefault="00302253" w:rsidP="00C33359">
            <w:pPr>
              <w:jc w:val="center"/>
              <w:rPr>
                <w:rFonts w:ascii="Cambria" w:eastAsia="MS Mincho" w:hAnsi="Cambria" w:cs="Calibri"/>
                <w:color w:val="000000" w:themeColor="text1"/>
                <w:sz w:val="18"/>
                <w:szCs w:val="18"/>
                <w:highlight w:val="yellow"/>
                <w:lang w:eastAsia="es-ES_tradnl"/>
              </w:rPr>
            </w:pPr>
            <w:r w:rsidRPr="00524435">
              <w:rPr>
                <w:rFonts w:ascii="Cambria" w:eastAsia="MS Mincho" w:hAnsi="Cambria" w:cs="Calibri"/>
                <w:color w:val="000000" w:themeColor="text1"/>
                <w:sz w:val="18"/>
                <w:szCs w:val="18"/>
                <w:lang w:eastAsia="es-ES_tradnl"/>
              </w:rPr>
              <w:t>Individual</w:t>
            </w:r>
          </w:p>
        </w:tc>
        <w:tc>
          <w:tcPr>
            <w:tcW w:w="2430" w:type="dxa"/>
            <w:shd w:val="clear" w:color="auto" w:fill="D9D9D9"/>
            <w:vAlign w:val="center"/>
          </w:tcPr>
          <w:p w14:paraId="1343FE65" w14:textId="77777777" w:rsidR="00302253" w:rsidRPr="00524435" w:rsidRDefault="00302253" w:rsidP="00C33359">
            <w:pPr>
              <w:rPr>
                <w:rFonts w:ascii="Cambria" w:eastAsia="Times New Roman" w:hAnsi="Cambria"/>
                <w:color w:val="000000" w:themeColor="text1"/>
                <w:sz w:val="18"/>
                <w:szCs w:val="18"/>
              </w:rPr>
            </w:pPr>
            <w:r w:rsidRPr="00524435">
              <w:rPr>
                <w:rFonts w:ascii="Cambria" w:hAnsi="Cambria"/>
                <w:color w:val="000000" w:themeColor="text1"/>
                <w:sz w:val="18"/>
                <w:szCs w:val="18"/>
              </w:rPr>
              <w:t>Adequately compensate Ana, Beatriz, and Celia González Pérez and Delia Pérez de González for the human rights violations established in this report.</w:t>
            </w:r>
          </w:p>
          <w:p w14:paraId="32832F5A" w14:textId="77777777" w:rsidR="00302253" w:rsidRPr="00524435" w:rsidRDefault="00302253" w:rsidP="00C33359">
            <w:pPr>
              <w:jc w:val="both"/>
              <w:outlineLvl w:val="0"/>
              <w:rPr>
                <w:rFonts w:ascii="Cambria" w:hAnsi="Cambria"/>
                <w:color w:val="000000" w:themeColor="text1"/>
                <w:sz w:val="18"/>
                <w:szCs w:val="18"/>
              </w:rPr>
            </w:pPr>
          </w:p>
        </w:tc>
        <w:tc>
          <w:tcPr>
            <w:tcW w:w="2790" w:type="dxa"/>
            <w:shd w:val="clear" w:color="auto" w:fill="D9D9D9"/>
          </w:tcPr>
          <w:p w14:paraId="6DBC4E2F" w14:textId="77777777" w:rsidR="00302253" w:rsidRPr="00524435" w:rsidRDefault="00302253" w:rsidP="00C33359">
            <w:pPr>
              <w:jc w:val="both"/>
              <w:rPr>
                <w:rFonts w:ascii="Cambria" w:eastAsia="MS Mincho" w:hAnsi="Cambria" w:cs="Calibri"/>
                <w:color w:val="000000" w:themeColor="text1"/>
                <w:sz w:val="18"/>
                <w:szCs w:val="18"/>
                <w:highlight w:val="yellow"/>
                <w:lang w:eastAsia="es-ES_tradnl"/>
              </w:rPr>
            </w:pPr>
          </w:p>
          <w:p w14:paraId="6C104DA5" w14:textId="77777777" w:rsidR="00302253" w:rsidRPr="00524435" w:rsidRDefault="00302253" w:rsidP="00C33359">
            <w:pPr>
              <w:jc w:val="both"/>
              <w:rPr>
                <w:rFonts w:ascii="Cambria" w:eastAsia="MS Mincho" w:hAnsi="Cambria" w:cs="Calibri"/>
                <w:color w:val="000000" w:themeColor="text1"/>
                <w:sz w:val="18"/>
                <w:szCs w:val="18"/>
                <w:lang w:eastAsia="es-ES_tradnl"/>
              </w:rPr>
            </w:pPr>
          </w:p>
          <w:p w14:paraId="616DD936" w14:textId="01EB3118" w:rsidR="00302253" w:rsidRPr="00524435" w:rsidRDefault="00302253" w:rsidP="00D55667">
            <w:pPr>
              <w:jc w:val="both"/>
              <w:rPr>
                <w:rFonts w:ascii="Cambria" w:eastAsia="MS Mincho" w:hAnsi="Cambria" w:cs="Calibri"/>
                <w:color w:val="000000" w:themeColor="text1"/>
                <w:sz w:val="18"/>
                <w:szCs w:val="18"/>
                <w:highlight w:val="yellow"/>
                <w:lang w:eastAsia="es-ES_tradnl"/>
              </w:rPr>
            </w:pPr>
            <w:r w:rsidRPr="00524435">
              <w:rPr>
                <w:rFonts w:ascii="Cambria" w:eastAsia="MS Mincho" w:hAnsi="Cambria" w:cs="Calibri"/>
                <w:color w:val="000000" w:themeColor="text1"/>
                <w:sz w:val="18"/>
                <w:szCs w:val="18"/>
                <w:lang w:eastAsia="es-ES_tradnl"/>
              </w:rPr>
              <w:t xml:space="preserve">The Commission noted that the parties signed an agreement to comply, and that the petitioner reported that the State had complied fully with the requirement to pay monetary compensation to the victims. </w:t>
            </w:r>
            <w:r w:rsidRPr="00524435">
              <w:rPr>
                <w:rFonts w:ascii="Cambria" w:eastAsia="Times New Roman" w:hAnsi="Cambria"/>
                <w:color w:val="000000" w:themeColor="text1"/>
                <w:sz w:val="18"/>
                <w:szCs w:val="18"/>
              </w:rPr>
              <w:t>The agreement also acknowledged that the State had recognized its responsibility through a public act.</w:t>
            </w:r>
          </w:p>
        </w:tc>
        <w:tc>
          <w:tcPr>
            <w:tcW w:w="1350" w:type="dxa"/>
            <w:shd w:val="clear" w:color="auto" w:fill="D9D9D9"/>
            <w:vAlign w:val="center"/>
          </w:tcPr>
          <w:p w14:paraId="4E32CE9F" w14:textId="77777777" w:rsidR="00302253" w:rsidRPr="00524435" w:rsidRDefault="00302253" w:rsidP="00C33359">
            <w:pPr>
              <w:jc w:val="center"/>
              <w:rPr>
                <w:rFonts w:ascii="Cambria" w:eastAsia="MS Mincho" w:hAnsi="Cambria" w:cs="Calibri"/>
                <w:color w:val="000000" w:themeColor="text1"/>
                <w:sz w:val="18"/>
                <w:szCs w:val="18"/>
                <w:highlight w:val="yellow"/>
                <w:lang w:eastAsia="es-ES_tradnl"/>
              </w:rPr>
            </w:pPr>
            <w:r w:rsidRPr="00524435">
              <w:rPr>
                <w:rFonts w:ascii="Cambria" w:eastAsia="MS Mincho" w:hAnsi="Cambria" w:cs="Calibri"/>
                <w:color w:val="000000" w:themeColor="text1"/>
                <w:sz w:val="18"/>
                <w:szCs w:val="18"/>
                <w:lang w:eastAsia="es-ES_tradnl"/>
              </w:rPr>
              <w:t>Total</w:t>
            </w:r>
          </w:p>
        </w:tc>
      </w:tr>
    </w:tbl>
    <w:p w14:paraId="067CD5D3" w14:textId="77777777" w:rsidR="00302253" w:rsidRPr="00524435" w:rsidRDefault="00302253" w:rsidP="00302253">
      <w:pPr>
        <w:contextualSpacing/>
        <w:jc w:val="both"/>
        <w:rPr>
          <w:rFonts w:ascii="Cambria" w:hAnsi="Cambria" w:cs="Calibri"/>
          <w:color w:val="000000" w:themeColor="text1"/>
          <w:sz w:val="20"/>
          <w:szCs w:val="20"/>
        </w:rPr>
      </w:pPr>
    </w:p>
    <w:p w14:paraId="393D1A70" w14:textId="77777777" w:rsidR="00302253" w:rsidRPr="00524435" w:rsidRDefault="00302253" w:rsidP="006E5C42">
      <w:pPr>
        <w:pStyle w:val="ListParagraph"/>
      </w:pPr>
      <w:r w:rsidRPr="00524435">
        <w:t>The Commission appreciates the efforts put forth by the States of Argentina, Bahamas, Chile, Colombia y México to determine full compliance with some of the recommendations issued in published substantive reports or with respect to the clauses of the compliance agreements and welcomes the progress made in the implementation of these decisions. The Commission reiterates that such compliance is crucial to lend legitimacy to the inter</w:t>
      </w:r>
      <w:r w:rsidRPr="00524435">
        <w:noBreakHyphen/>
        <w:t xml:space="preserve">American human rights system and to build trust in the good faith of States to fulfill their international obligations. The Commission also avails itself of this opportunity to call on all OAS Member States to comply with the recommendations issued in merits reports published by the IACHR, in accordance with Article 51 of the ACHR, so that the IACHR can declare full compliance with these recommendations and cease its follow-up of these cases.  </w:t>
      </w:r>
    </w:p>
    <w:p w14:paraId="4EA64A82" w14:textId="77777777" w:rsidR="00302253" w:rsidRPr="00524435" w:rsidRDefault="00302253" w:rsidP="00DA35C1">
      <w:pPr>
        <w:pStyle w:val="Heading4"/>
      </w:pPr>
      <w:r w:rsidRPr="00524435">
        <w:t>Cases in which No Information was Received in 2021</w:t>
      </w:r>
    </w:p>
    <w:p w14:paraId="7CACE3B5" w14:textId="39C63D0E" w:rsidR="00302253" w:rsidRPr="00524435" w:rsidRDefault="00302253" w:rsidP="006E5C42">
      <w:pPr>
        <w:pStyle w:val="ListParagraph"/>
      </w:pPr>
      <w:r w:rsidRPr="00524435">
        <w:t xml:space="preserve">In the following </w:t>
      </w:r>
      <w:r w:rsidR="0030565E" w:rsidRPr="00524435">
        <w:t xml:space="preserve">19 </w:t>
      </w:r>
      <w:r w:rsidRPr="00524435">
        <w:t xml:space="preserve">cases, the IACHR did not receive information from any of the parties as of the closing date of this report: </w:t>
      </w:r>
    </w:p>
    <w:p w14:paraId="51C545F9" w14:textId="13FE9289" w:rsidR="00302253" w:rsidRPr="001A680E" w:rsidRDefault="00302253" w:rsidP="0009324C">
      <w:pPr>
        <w:pStyle w:val="ListParagraph"/>
        <w:numPr>
          <w:ilvl w:val="0"/>
          <w:numId w:val="33"/>
        </w:numPr>
        <w:autoSpaceDE/>
        <w:autoSpaceDN/>
        <w:adjustRightInd/>
        <w:spacing w:after="0"/>
        <w:ind w:left="1440" w:hanging="630"/>
        <w:contextualSpacing/>
        <w:rPr>
          <w:bCs/>
          <w:color w:val="000000" w:themeColor="text1"/>
        </w:rPr>
      </w:pPr>
      <w:r w:rsidRPr="001A680E">
        <w:rPr>
          <w:bCs/>
          <w:color w:val="000000" w:themeColor="text1"/>
        </w:rPr>
        <w:t>Cas</w:t>
      </w:r>
      <w:r w:rsidR="00991B24" w:rsidRPr="001A680E">
        <w:rPr>
          <w:bCs/>
          <w:color w:val="000000" w:themeColor="text1"/>
        </w:rPr>
        <w:t>e</w:t>
      </w:r>
      <w:r w:rsidRPr="001A680E">
        <w:rPr>
          <w:bCs/>
          <w:color w:val="000000" w:themeColor="text1"/>
        </w:rPr>
        <w:t xml:space="preserve"> 12.053, </w:t>
      </w:r>
      <w:r w:rsidR="00991B24" w:rsidRPr="001A680E">
        <w:rPr>
          <w:bCs/>
          <w:color w:val="000000" w:themeColor="text1"/>
        </w:rPr>
        <w:t xml:space="preserve">Report </w:t>
      </w:r>
      <w:r w:rsidRPr="001A680E">
        <w:rPr>
          <w:bCs/>
          <w:color w:val="000000" w:themeColor="text1"/>
        </w:rPr>
        <w:t xml:space="preserve">Nº 40/04, </w:t>
      </w:r>
      <w:r w:rsidR="0048555E" w:rsidRPr="001A680E">
        <w:rPr>
          <w:bCs/>
          <w:color w:val="000000" w:themeColor="text1"/>
        </w:rPr>
        <w:t>Community</w:t>
      </w:r>
      <w:r w:rsidRPr="001A680E">
        <w:rPr>
          <w:bCs/>
          <w:color w:val="000000" w:themeColor="text1"/>
        </w:rPr>
        <w:t xml:space="preserve"> Maya del Distrito Toledo (</w:t>
      </w:r>
      <w:proofErr w:type="spellStart"/>
      <w:r w:rsidRPr="001A680E">
        <w:rPr>
          <w:bCs/>
          <w:color w:val="000000" w:themeColor="text1"/>
        </w:rPr>
        <w:t>Belice</w:t>
      </w:r>
      <w:proofErr w:type="spellEnd"/>
      <w:r w:rsidRPr="001A680E">
        <w:rPr>
          <w:bCs/>
          <w:color w:val="000000" w:themeColor="text1"/>
        </w:rPr>
        <w:t>)</w:t>
      </w:r>
    </w:p>
    <w:p w14:paraId="181A4F74" w14:textId="2CF1FC06" w:rsidR="00302253" w:rsidRPr="00524435" w:rsidRDefault="00302253" w:rsidP="0009324C">
      <w:pPr>
        <w:pStyle w:val="ListParagraph"/>
        <w:numPr>
          <w:ilvl w:val="0"/>
          <w:numId w:val="33"/>
        </w:numPr>
        <w:autoSpaceDE/>
        <w:autoSpaceDN/>
        <w:adjustRightInd/>
        <w:spacing w:after="0"/>
        <w:ind w:left="1440" w:hanging="630"/>
        <w:contextualSpacing/>
        <w:rPr>
          <w:color w:val="000000" w:themeColor="text1"/>
        </w:rPr>
      </w:pPr>
      <w:r w:rsidRPr="00524435">
        <w:rPr>
          <w:color w:val="000000" w:themeColor="text1"/>
        </w:rPr>
        <w:t>Cas</w:t>
      </w:r>
      <w:r w:rsidR="00991B24" w:rsidRPr="00524435">
        <w:rPr>
          <w:color w:val="000000" w:themeColor="text1"/>
        </w:rPr>
        <w:t>e</w:t>
      </w:r>
      <w:r w:rsidRPr="00524435">
        <w:rPr>
          <w:color w:val="000000" w:themeColor="text1"/>
        </w:rPr>
        <w:t xml:space="preserve"> 12.586, </w:t>
      </w:r>
      <w:r w:rsidR="00991B24" w:rsidRPr="00524435">
        <w:rPr>
          <w:color w:val="000000" w:themeColor="text1"/>
        </w:rPr>
        <w:t xml:space="preserve">Report </w:t>
      </w:r>
      <w:r w:rsidRPr="00524435">
        <w:rPr>
          <w:color w:val="000000" w:themeColor="text1"/>
        </w:rPr>
        <w:t>Nº 78/11, John Doe (Canad</w:t>
      </w:r>
      <w:r w:rsidR="00DA35C1" w:rsidRPr="00524435">
        <w:rPr>
          <w:color w:val="000000" w:themeColor="text1"/>
        </w:rPr>
        <w:t>a</w:t>
      </w:r>
      <w:r w:rsidRPr="00524435">
        <w:rPr>
          <w:color w:val="000000" w:themeColor="text1"/>
        </w:rPr>
        <w:t>)</w:t>
      </w:r>
    </w:p>
    <w:p w14:paraId="4466E17E" w14:textId="409DD11E" w:rsidR="00302253" w:rsidRPr="007A5442" w:rsidRDefault="00302253" w:rsidP="0009324C">
      <w:pPr>
        <w:pStyle w:val="ListParagraph"/>
        <w:numPr>
          <w:ilvl w:val="0"/>
          <w:numId w:val="33"/>
        </w:numPr>
        <w:autoSpaceDE/>
        <w:autoSpaceDN/>
        <w:adjustRightInd/>
        <w:spacing w:after="0"/>
        <w:ind w:left="1440" w:hanging="630"/>
        <w:contextualSpacing/>
        <w:rPr>
          <w:color w:val="000000" w:themeColor="text1"/>
          <w:lang w:val="es-ES"/>
        </w:rPr>
      </w:pPr>
      <w:r w:rsidRPr="007A5442">
        <w:rPr>
          <w:color w:val="000000" w:themeColor="text1"/>
          <w:lang w:val="es-ES"/>
        </w:rPr>
        <w:t>Cas</w:t>
      </w:r>
      <w:r w:rsidR="00991B24" w:rsidRPr="007A5442">
        <w:rPr>
          <w:color w:val="000000" w:themeColor="text1"/>
          <w:lang w:val="es-ES"/>
        </w:rPr>
        <w:t>e</w:t>
      </w:r>
      <w:r w:rsidRPr="007A5442">
        <w:rPr>
          <w:color w:val="000000" w:themeColor="text1"/>
          <w:lang w:val="es-ES"/>
        </w:rPr>
        <w:t xml:space="preserve"> 11.710, </w:t>
      </w:r>
      <w:proofErr w:type="spellStart"/>
      <w:r w:rsidR="00991B24" w:rsidRPr="007A5442">
        <w:rPr>
          <w:color w:val="000000" w:themeColor="text1"/>
          <w:lang w:val="es-ES"/>
        </w:rPr>
        <w:t>Report</w:t>
      </w:r>
      <w:proofErr w:type="spellEnd"/>
      <w:r w:rsidR="00991B24" w:rsidRPr="007A5442">
        <w:rPr>
          <w:color w:val="000000" w:themeColor="text1"/>
          <w:lang w:val="es-ES"/>
        </w:rPr>
        <w:t xml:space="preserve"> </w:t>
      </w:r>
      <w:proofErr w:type="spellStart"/>
      <w:r w:rsidRPr="007A5442">
        <w:rPr>
          <w:color w:val="000000" w:themeColor="text1"/>
          <w:lang w:val="es-ES"/>
        </w:rPr>
        <w:t>Nº</w:t>
      </w:r>
      <w:proofErr w:type="spellEnd"/>
      <w:r w:rsidRPr="007A5442">
        <w:rPr>
          <w:color w:val="000000" w:themeColor="text1"/>
          <w:lang w:val="es-ES"/>
        </w:rPr>
        <w:t xml:space="preserve"> 63/01, Carlos Manuel Prada González </w:t>
      </w:r>
      <w:r w:rsidR="00DA35C1" w:rsidRPr="007A5442">
        <w:rPr>
          <w:color w:val="000000" w:themeColor="text1"/>
          <w:lang w:val="es-ES"/>
        </w:rPr>
        <w:t>and</w:t>
      </w:r>
      <w:r w:rsidRPr="007A5442">
        <w:rPr>
          <w:color w:val="000000" w:themeColor="text1"/>
          <w:lang w:val="es-ES"/>
        </w:rPr>
        <w:t xml:space="preserve"> Evelio Antonio Bolaño Castro (Colombia)</w:t>
      </w:r>
    </w:p>
    <w:p w14:paraId="39E57C23" w14:textId="17845CE5" w:rsidR="00302253" w:rsidRPr="00524435" w:rsidRDefault="00302253" w:rsidP="0009324C">
      <w:pPr>
        <w:pStyle w:val="ListParagraph"/>
        <w:numPr>
          <w:ilvl w:val="0"/>
          <w:numId w:val="33"/>
        </w:numPr>
        <w:autoSpaceDE/>
        <w:autoSpaceDN/>
        <w:adjustRightInd/>
        <w:spacing w:after="0"/>
        <w:ind w:left="1440" w:hanging="630"/>
        <w:contextualSpacing/>
        <w:rPr>
          <w:rFonts w:eastAsia="MS Mincho"/>
          <w:color w:val="000000" w:themeColor="text1"/>
        </w:rPr>
      </w:pPr>
      <w:r w:rsidRPr="00DF0CD0">
        <w:rPr>
          <w:rFonts w:eastAsia="MS Mincho"/>
          <w:color w:val="000000" w:themeColor="text1"/>
          <w:lang w:val="fr-CA"/>
        </w:rPr>
        <w:t>Cas</w:t>
      </w:r>
      <w:r w:rsidR="00991B24" w:rsidRPr="00DF0CD0">
        <w:rPr>
          <w:rFonts w:eastAsia="MS Mincho"/>
          <w:color w:val="000000" w:themeColor="text1"/>
          <w:lang w:val="fr-CA"/>
        </w:rPr>
        <w:t>e</w:t>
      </w:r>
      <w:r w:rsidRPr="00DF0CD0">
        <w:rPr>
          <w:rFonts w:eastAsia="MS Mincho"/>
          <w:color w:val="000000" w:themeColor="text1"/>
          <w:lang w:val="fr-CA"/>
        </w:rPr>
        <w:t xml:space="preserve"> 12.713, </w:t>
      </w:r>
      <w:r w:rsidR="00991B24" w:rsidRPr="00DF0CD0">
        <w:rPr>
          <w:rFonts w:eastAsia="MS Mincho"/>
          <w:color w:val="000000" w:themeColor="text1"/>
          <w:lang w:val="fr-CA"/>
        </w:rPr>
        <w:t xml:space="preserve">Report </w:t>
      </w:r>
      <w:r w:rsidRPr="00DF0CD0">
        <w:rPr>
          <w:rFonts w:eastAsia="MS Mincho"/>
          <w:color w:val="000000" w:themeColor="text1"/>
          <w:lang w:val="fr-CA"/>
        </w:rPr>
        <w:t xml:space="preserve">Nº 35/17, José </w:t>
      </w:r>
      <w:proofErr w:type="spellStart"/>
      <w:r w:rsidRPr="00DF0CD0">
        <w:rPr>
          <w:rFonts w:eastAsia="MS Mincho"/>
          <w:color w:val="000000" w:themeColor="text1"/>
          <w:lang w:val="fr-CA"/>
        </w:rPr>
        <w:t>Rusbel</w:t>
      </w:r>
      <w:proofErr w:type="spellEnd"/>
      <w:r w:rsidRPr="00DF0CD0">
        <w:rPr>
          <w:rFonts w:eastAsia="MS Mincho"/>
          <w:color w:val="000000" w:themeColor="text1"/>
          <w:lang w:val="fr-CA"/>
        </w:rPr>
        <w:t xml:space="preserve"> Lara </w:t>
      </w:r>
      <w:r w:rsidR="00DA35C1" w:rsidRPr="00DF0CD0">
        <w:rPr>
          <w:rFonts w:eastAsia="MS Mincho"/>
          <w:color w:val="000000" w:themeColor="text1"/>
          <w:lang w:val="fr-CA"/>
        </w:rPr>
        <w:t>et al.</w:t>
      </w:r>
      <w:r w:rsidRPr="00DF0CD0">
        <w:rPr>
          <w:rFonts w:eastAsia="MS Mincho"/>
          <w:color w:val="000000" w:themeColor="text1"/>
          <w:lang w:val="fr-CA"/>
        </w:rPr>
        <w:t xml:space="preserve"> </w:t>
      </w:r>
      <w:r w:rsidRPr="00524435">
        <w:rPr>
          <w:rFonts w:eastAsia="MS Mincho"/>
          <w:color w:val="000000" w:themeColor="text1"/>
        </w:rPr>
        <w:t>(Colombia)</w:t>
      </w:r>
    </w:p>
    <w:p w14:paraId="33D80AA1" w14:textId="349EBF47" w:rsidR="00302253" w:rsidRPr="00524435" w:rsidRDefault="00302253" w:rsidP="0009324C">
      <w:pPr>
        <w:pStyle w:val="ListParagraph"/>
        <w:numPr>
          <w:ilvl w:val="0"/>
          <w:numId w:val="33"/>
        </w:numPr>
        <w:autoSpaceDE/>
        <w:autoSpaceDN/>
        <w:adjustRightInd/>
        <w:spacing w:after="0"/>
        <w:ind w:left="1440" w:hanging="630"/>
        <w:contextualSpacing/>
        <w:rPr>
          <w:bCs/>
          <w:color w:val="000000" w:themeColor="text1"/>
        </w:rPr>
      </w:pPr>
      <w:r w:rsidRPr="007A5442">
        <w:rPr>
          <w:bCs/>
          <w:color w:val="000000" w:themeColor="text1"/>
          <w:lang w:val="es-ES"/>
        </w:rPr>
        <w:t>Cas</w:t>
      </w:r>
      <w:r w:rsidR="00991B24" w:rsidRPr="007A5442">
        <w:rPr>
          <w:bCs/>
          <w:color w:val="000000" w:themeColor="text1"/>
          <w:lang w:val="es-ES"/>
        </w:rPr>
        <w:t>e</w:t>
      </w:r>
      <w:r w:rsidRPr="007A5442">
        <w:rPr>
          <w:bCs/>
          <w:color w:val="000000" w:themeColor="text1"/>
          <w:lang w:val="es-ES"/>
        </w:rPr>
        <w:t xml:space="preserve"> 12.477, </w:t>
      </w:r>
      <w:proofErr w:type="spellStart"/>
      <w:r w:rsidR="00991B24" w:rsidRPr="007A5442">
        <w:rPr>
          <w:bCs/>
          <w:color w:val="000000" w:themeColor="text1"/>
          <w:lang w:val="es-ES"/>
        </w:rPr>
        <w:t>Report</w:t>
      </w:r>
      <w:proofErr w:type="spellEnd"/>
      <w:r w:rsidR="00991B24" w:rsidRPr="007A5442">
        <w:rPr>
          <w:bCs/>
          <w:color w:val="000000" w:themeColor="text1"/>
          <w:lang w:val="es-ES"/>
        </w:rPr>
        <w:t xml:space="preserve"> </w:t>
      </w:r>
      <w:proofErr w:type="spellStart"/>
      <w:r w:rsidRPr="007A5442">
        <w:rPr>
          <w:bCs/>
          <w:color w:val="000000" w:themeColor="text1"/>
          <w:lang w:val="es-ES"/>
        </w:rPr>
        <w:t>Nº</w:t>
      </w:r>
      <w:proofErr w:type="spellEnd"/>
      <w:r w:rsidRPr="007A5442">
        <w:rPr>
          <w:bCs/>
          <w:color w:val="000000" w:themeColor="text1"/>
          <w:lang w:val="es-ES"/>
        </w:rPr>
        <w:t xml:space="preserve"> 68/06, Lorenzo Enrique </w:t>
      </w:r>
      <w:proofErr w:type="spellStart"/>
      <w:r w:rsidRPr="007A5442">
        <w:rPr>
          <w:bCs/>
          <w:color w:val="000000" w:themeColor="text1"/>
          <w:lang w:val="es-ES"/>
        </w:rPr>
        <w:t>Copello</w:t>
      </w:r>
      <w:proofErr w:type="spellEnd"/>
      <w:r w:rsidRPr="007A5442">
        <w:rPr>
          <w:bCs/>
          <w:color w:val="000000" w:themeColor="text1"/>
          <w:lang w:val="es-ES"/>
        </w:rPr>
        <w:t xml:space="preserve"> Castillo </w:t>
      </w:r>
      <w:r w:rsidR="00DA35C1" w:rsidRPr="007A5442">
        <w:rPr>
          <w:bCs/>
          <w:color w:val="000000" w:themeColor="text1"/>
          <w:lang w:val="es-ES"/>
        </w:rPr>
        <w:t>et al.</w:t>
      </w:r>
      <w:r w:rsidRPr="007A5442">
        <w:rPr>
          <w:bCs/>
          <w:i/>
          <w:color w:val="000000" w:themeColor="text1"/>
          <w:lang w:val="es-ES"/>
        </w:rPr>
        <w:t xml:space="preserve"> </w:t>
      </w:r>
      <w:r w:rsidRPr="00524435">
        <w:rPr>
          <w:bCs/>
          <w:color w:val="000000" w:themeColor="text1"/>
        </w:rPr>
        <w:t>(Cuba)</w:t>
      </w:r>
    </w:p>
    <w:p w14:paraId="021C9A02" w14:textId="29676BAB" w:rsidR="00302253" w:rsidRPr="00524435" w:rsidRDefault="00302253" w:rsidP="0009324C">
      <w:pPr>
        <w:pStyle w:val="ListParagraph"/>
        <w:numPr>
          <w:ilvl w:val="0"/>
          <w:numId w:val="33"/>
        </w:numPr>
        <w:autoSpaceDE/>
        <w:autoSpaceDN/>
        <w:adjustRightInd/>
        <w:spacing w:after="0"/>
        <w:ind w:left="1440" w:hanging="630"/>
        <w:contextualSpacing/>
        <w:rPr>
          <w:bCs/>
          <w:color w:val="000000" w:themeColor="text1"/>
        </w:rPr>
      </w:pPr>
      <w:r w:rsidRPr="007A5442">
        <w:rPr>
          <w:bCs/>
          <w:color w:val="000000" w:themeColor="text1"/>
          <w:lang w:val="pt-PT"/>
        </w:rPr>
        <w:t>Cas</w:t>
      </w:r>
      <w:r w:rsidR="00991B24" w:rsidRPr="007A5442">
        <w:rPr>
          <w:bCs/>
          <w:color w:val="000000" w:themeColor="text1"/>
          <w:lang w:val="pt-PT"/>
        </w:rPr>
        <w:t>e</w:t>
      </w:r>
      <w:r w:rsidRPr="007A5442">
        <w:rPr>
          <w:bCs/>
          <w:color w:val="000000" w:themeColor="text1"/>
          <w:lang w:val="pt-PT"/>
        </w:rPr>
        <w:t xml:space="preserve"> 12.127, </w:t>
      </w:r>
      <w:r w:rsidR="00991B24" w:rsidRPr="007A5442">
        <w:rPr>
          <w:color w:val="000000" w:themeColor="text1"/>
          <w:lang w:val="pt-PT"/>
        </w:rPr>
        <w:t xml:space="preserve">Report </w:t>
      </w:r>
      <w:r w:rsidRPr="007A5442">
        <w:rPr>
          <w:color w:val="000000" w:themeColor="text1"/>
          <w:lang w:val="pt-PT"/>
        </w:rPr>
        <w:t xml:space="preserve">Nº 27/18, </w:t>
      </w:r>
      <w:r w:rsidRPr="007A5442">
        <w:rPr>
          <w:bCs/>
          <w:color w:val="000000" w:themeColor="text1"/>
          <w:lang w:val="pt-PT"/>
        </w:rPr>
        <w:t xml:space="preserve">Valdimiro Roca Antunez </w:t>
      </w:r>
      <w:r w:rsidR="00DA35C1" w:rsidRPr="007A5442">
        <w:rPr>
          <w:bCs/>
          <w:color w:val="000000" w:themeColor="text1"/>
          <w:lang w:val="pt-PT"/>
        </w:rPr>
        <w:t>et al.</w:t>
      </w:r>
      <w:r w:rsidRPr="007A5442">
        <w:rPr>
          <w:bCs/>
          <w:color w:val="000000" w:themeColor="text1"/>
          <w:lang w:val="pt-PT"/>
        </w:rPr>
        <w:t xml:space="preserve"> </w:t>
      </w:r>
      <w:r w:rsidRPr="00524435">
        <w:rPr>
          <w:bCs/>
          <w:color w:val="000000" w:themeColor="text1"/>
        </w:rPr>
        <w:t>(Cuba)</w:t>
      </w:r>
    </w:p>
    <w:p w14:paraId="1E4CF833" w14:textId="5A1794B5" w:rsidR="00302253" w:rsidRPr="00524435" w:rsidRDefault="00302253" w:rsidP="0009324C">
      <w:pPr>
        <w:pStyle w:val="ListParagraph"/>
        <w:numPr>
          <w:ilvl w:val="0"/>
          <w:numId w:val="33"/>
        </w:numPr>
        <w:autoSpaceDE/>
        <w:autoSpaceDN/>
        <w:adjustRightInd/>
        <w:spacing w:after="0"/>
        <w:ind w:left="1440" w:hanging="630"/>
        <w:contextualSpacing/>
        <w:rPr>
          <w:color w:val="000000" w:themeColor="text1"/>
        </w:rPr>
      </w:pPr>
      <w:r w:rsidRPr="00524435">
        <w:rPr>
          <w:color w:val="000000" w:themeColor="text1"/>
        </w:rPr>
        <w:t>Cas</w:t>
      </w:r>
      <w:r w:rsidR="00991B24" w:rsidRPr="00524435">
        <w:rPr>
          <w:color w:val="000000" w:themeColor="text1"/>
        </w:rPr>
        <w:t>e</w:t>
      </w:r>
      <w:r w:rsidRPr="00524435">
        <w:rPr>
          <w:color w:val="000000" w:themeColor="text1"/>
        </w:rPr>
        <w:t xml:space="preserve"> 11.992, </w:t>
      </w:r>
      <w:r w:rsidR="00991B24" w:rsidRPr="00524435">
        <w:rPr>
          <w:color w:val="000000" w:themeColor="text1"/>
        </w:rPr>
        <w:t xml:space="preserve">Report </w:t>
      </w:r>
      <w:r w:rsidRPr="00524435">
        <w:rPr>
          <w:color w:val="000000" w:themeColor="text1"/>
        </w:rPr>
        <w:t xml:space="preserve">Nº 66/01, </w:t>
      </w:r>
      <w:proofErr w:type="spellStart"/>
      <w:r w:rsidRPr="00524435">
        <w:rPr>
          <w:color w:val="000000" w:themeColor="text1"/>
        </w:rPr>
        <w:t>Dayra</w:t>
      </w:r>
      <w:proofErr w:type="spellEnd"/>
      <w:r w:rsidRPr="00524435">
        <w:rPr>
          <w:color w:val="000000" w:themeColor="text1"/>
        </w:rPr>
        <w:t xml:space="preserve"> María </w:t>
      </w:r>
      <w:proofErr w:type="spellStart"/>
      <w:r w:rsidRPr="00524435">
        <w:rPr>
          <w:color w:val="000000" w:themeColor="text1"/>
        </w:rPr>
        <w:t>Levoyer</w:t>
      </w:r>
      <w:proofErr w:type="spellEnd"/>
      <w:r w:rsidRPr="00524435">
        <w:rPr>
          <w:color w:val="000000" w:themeColor="text1"/>
        </w:rPr>
        <w:t xml:space="preserve"> Jiménez (Ecuador)</w:t>
      </w:r>
    </w:p>
    <w:p w14:paraId="09DA7C39" w14:textId="7AA807E5" w:rsidR="00302253" w:rsidRPr="00524435" w:rsidRDefault="00302253" w:rsidP="0009324C">
      <w:pPr>
        <w:pStyle w:val="ListParagraph"/>
        <w:numPr>
          <w:ilvl w:val="0"/>
          <w:numId w:val="33"/>
        </w:numPr>
        <w:autoSpaceDE/>
        <w:autoSpaceDN/>
        <w:adjustRightInd/>
        <w:spacing w:after="0"/>
        <w:ind w:left="1440" w:hanging="630"/>
        <w:contextualSpacing/>
        <w:rPr>
          <w:color w:val="000000" w:themeColor="text1"/>
        </w:rPr>
      </w:pPr>
      <w:r w:rsidRPr="00524435">
        <w:rPr>
          <w:color w:val="000000" w:themeColor="text1"/>
        </w:rPr>
        <w:t>Cas</w:t>
      </w:r>
      <w:r w:rsidR="00991B24" w:rsidRPr="00524435">
        <w:rPr>
          <w:color w:val="000000" w:themeColor="text1"/>
        </w:rPr>
        <w:t>e</w:t>
      </w:r>
      <w:r w:rsidRPr="00524435">
        <w:rPr>
          <w:color w:val="000000" w:themeColor="text1"/>
        </w:rPr>
        <w:t xml:space="preserve"> 12.487, </w:t>
      </w:r>
      <w:r w:rsidR="00991B24" w:rsidRPr="00524435">
        <w:rPr>
          <w:color w:val="000000" w:themeColor="text1"/>
        </w:rPr>
        <w:t xml:space="preserve">Report </w:t>
      </w:r>
      <w:r w:rsidRPr="00524435">
        <w:rPr>
          <w:color w:val="000000" w:themeColor="text1"/>
        </w:rPr>
        <w:t xml:space="preserve">Nº 17/08, Rafael Ignacio Cuesta </w:t>
      </w:r>
      <w:proofErr w:type="spellStart"/>
      <w:r w:rsidRPr="00524435">
        <w:rPr>
          <w:color w:val="000000" w:themeColor="text1"/>
        </w:rPr>
        <w:t>Caputi</w:t>
      </w:r>
      <w:proofErr w:type="spellEnd"/>
      <w:r w:rsidRPr="00524435">
        <w:rPr>
          <w:color w:val="000000" w:themeColor="text1"/>
        </w:rPr>
        <w:t xml:space="preserve"> (Ecuador)</w:t>
      </w:r>
    </w:p>
    <w:p w14:paraId="1DDC49F6" w14:textId="11F2A87A" w:rsidR="00302253" w:rsidRPr="00524435" w:rsidRDefault="00302253" w:rsidP="0009324C">
      <w:pPr>
        <w:pStyle w:val="ListParagraph"/>
        <w:numPr>
          <w:ilvl w:val="0"/>
          <w:numId w:val="33"/>
        </w:numPr>
        <w:autoSpaceDE/>
        <w:autoSpaceDN/>
        <w:adjustRightInd/>
        <w:spacing w:after="0"/>
        <w:ind w:left="1440" w:hanging="630"/>
        <w:contextualSpacing/>
        <w:rPr>
          <w:color w:val="000000" w:themeColor="text1"/>
        </w:rPr>
      </w:pPr>
      <w:r w:rsidRPr="00524435">
        <w:rPr>
          <w:color w:val="000000" w:themeColor="text1"/>
        </w:rPr>
        <w:t>Cas</w:t>
      </w:r>
      <w:r w:rsidR="00991B24" w:rsidRPr="00524435">
        <w:rPr>
          <w:color w:val="000000" w:themeColor="text1"/>
        </w:rPr>
        <w:t>e</w:t>
      </w:r>
      <w:r w:rsidRPr="00524435">
        <w:rPr>
          <w:color w:val="000000" w:themeColor="text1"/>
        </w:rPr>
        <w:t xml:space="preserve"> 12.525, </w:t>
      </w:r>
      <w:r w:rsidR="00991B24" w:rsidRPr="00524435">
        <w:rPr>
          <w:color w:val="000000" w:themeColor="text1"/>
        </w:rPr>
        <w:t xml:space="preserve">Report </w:t>
      </w:r>
      <w:r w:rsidRPr="00524435">
        <w:rPr>
          <w:color w:val="000000" w:themeColor="text1"/>
        </w:rPr>
        <w:t xml:space="preserve">Nº 84/09, Nelson Iván </w:t>
      </w:r>
      <w:proofErr w:type="spellStart"/>
      <w:r w:rsidRPr="00524435">
        <w:rPr>
          <w:color w:val="000000" w:themeColor="text1"/>
        </w:rPr>
        <w:t>Serano</w:t>
      </w:r>
      <w:proofErr w:type="spellEnd"/>
      <w:r w:rsidRPr="00524435">
        <w:rPr>
          <w:color w:val="000000" w:themeColor="text1"/>
        </w:rPr>
        <w:t xml:space="preserve"> </w:t>
      </w:r>
      <w:proofErr w:type="spellStart"/>
      <w:r w:rsidRPr="00524435">
        <w:rPr>
          <w:color w:val="000000" w:themeColor="text1"/>
        </w:rPr>
        <w:t>Sáenz</w:t>
      </w:r>
      <w:proofErr w:type="spellEnd"/>
      <w:r w:rsidRPr="00524435">
        <w:rPr>
          <w:color w:val="000000" w:themeColor="text1"/>
        </w:rPr>
        <w:t xml:space="preserve"> (Ecuador)</w:t>
      </w:r>
    </w:p>
    <w:p w14:paraId="270E1F23" w14:textId="0059B86E" w:rsidR="00302253" w:rsidRPr="00524435" w:rsidRDefault="00302253" w:rsidP="0009324C">
      <w:pPr>
        <w:pStyle w:val="ListParagraph"/>
        <w:numPr>
          <w:ilvl w:val="0"/>
          <w:numId w:val="33"/>
        </w:numPr>
        <w:autoSpaceDE/>
        <w:autoSpaceDN/>
        <w:adjustRightInd/>
        <w:spacing w:after="0"/>
        <w:ind w:left="1440" w:hanging="630"/>
        <w:contextualSpacing/>
        <w:rPr>
          <w:color w:val="000000" w:themeColor="text1"/>
        </w:rPr>
      </w:pPr>
      <w:r w:rsidRPr="00524435">
        <w:rPr>
          <w:color w:val="000000" w:themeColor="text1"/>
        </w:rPr>
        <w:t>Cas</w:t>
      </w:r>
      <w:r w:rsidR="00991B24" w:rsidRPr="00524435">
        <w:rPr>
          <w:color w:val="000000" w:themeColor="text1"/>
        </w:rPr>
        <w:t>e</w:t>
      </w:r>
      <w:r w:rsidRPr="00524435">
        <w:rPr>
          <w:color w:val="000000" w:themeColor="text1"/>
        </w:rPr>
        <w:t xml:space="preserve"> 11.624, </w:t>
      </w:r>
      <w:r w:rsidR="00991B24" w:rsidRPr="00524435">
        <w:rPr>
          <w:color w:val="000000" w:themeColor="text1"/>
        </w:rPr>
        <w:t xml:space="preserve">Report </w:t>
      </w:r>
      <w:r w:rsidRPr="00524435">
        <w:rPr>
          <w:color w:val="000000" w:themeColor="text1"/>
        </w:rPr>
        <w:t xml:space="preserve">Nº 992/19, Jorge Darwin </w:t>
      </w:r>
      <w:r w:rsidR="0057284E" w:rsidRPr="00524435">
        <w:rPr>
          <w:color w:val="000000" w:themeColor="text1"/>
        </w:rPr>
        <w:t xml:space="preserve">and family </w:t>
      </w:r>
      <w:r w:rsidRPr="00524435">
        <w:rPr>
          <w:color w:val="000000" w:themeColor="text1"/>
        </w:rPr>
        <w:t>(Ecuador)</w:t>
      </w:r>
    </w:p>
    <w:p w14:paraId="63CD411A" w14:textId="0C821729" w:rsidR="00302253" w:rsidRPr="00524435" w:rsidRDefault="00302253" w:rsidP="0009324C">
      <w:pPr>
        <w:pStyle w:val="ListParagraph"/>
        <w:numPr>
          <w:ilvl w:val="0"/>
          <w:numId w:val="33"/>
        </w:numPr>
        <w:autoSpaceDE/>
        <w:autoSpaceDN/>
        <w:adjustRightInd/>
        <w:spacing w:after="0"/>
        <w:ind w:left="1440" w:hanging="630"/>
        <w:contextualSpacing/>
        <w:rPr>
          <w:bCs/>
          <w:color w:val="000000" w:themeColor="text1"/>
        </w:rPr>
      </w:pPr>
      <w:r w:rsidRPr="00524435">
        <w:rPr>
          <w:bCs/>
          <w:color w:val="000000" w:themeColor="text1"/>
        </w:rPr>
        <w:t>Cas</w:t>
      </w:r>
      <w:r w:rsidR="00991B24" w:rsidRPr="00524435">
        <w:rPr>
          <w:bCs/>
          <w:color w:val="000000" w:themeColor="text1"/>
        </w:rPr>
        <w:t>e</w:t>
      </w:r>
      <w:r w:rsidRPr="00524435">
        <w:rPr>
          <w:bCs/>
          <w:color w:val="000000" w:themeColor="text1"/>
        </w:rPr>
        <w:t xml:space="preserve"> 12.028, </w:t>
      </w:r>
      <w:r w:rsidR="00991B24" w:rsidRPr="00524435">
        <w:rPr>
          <w:bCs/>
          <w:color w:val="000000" w:themeColor="text1"/>
        </w:rPr>
        <w:t xml:space="preserve">Report </w:t>
      </w:r>
      <w:r w:rsidRPr="00524435">
        <w:rPr>
          <w:bCs/>
          <w:color w:val="000000" w:themeColor="text1"/>
        </w:rPr>
        <w:t xml:space="preserve">Nº 47/01, </w:t>
      </w:r>
      <w:proofErr w:type="spellStart"/>
      <w:r w:rsidRPr="00524435">
        <w:rPr>
          <w:bCs/>
          <w:color w:val="000000" w:themeColor="text1"/>
        </w:rPr>
        <w:t>Donnason</w:t>
      </w:r>
      <w:proofErr w:type="spellEnd"/>
      <w:r w:rsidRPr="00524435">
        <w:rPr>
          <w:bCs/>
          <w:color w:val="000000" w:themeColor="text1"/>
        </w:rPr>
        <w:t xml:space="preserve"> Knights (Granada)</w:t>
      </w:r>
    </w:p>
    <w:p w14:paraId="544775E9" w14:textId="434513A2" w:rsidR="00302253" w:rsidRPr="00524435" w:rsidRDefault="00302253" w:rsidP="0009324C">
      <w:pPr>
        <w:pStyle w:val="ListParagraph"/>
        <w:numPr>
          <w:ilvl w:val="0"/>
          <w:numId w:val="33"/>
        </w:numPr>
        <w:autoSpaceDE/>
        <w:autoSpaceDN/>
        <w:adjustRightInd/>
        <w:spacing w:after="0"/>
        <w:ind w:left="1440" w:hanging="630"/>
        <w:contextualSpacing/>
        <w:rPr>
          <w:color w:val="000000" w:themeColor="text1"/>
        </w:rPr>
      </w:pPr>
      <w:r w:rsidRPr="00524435">
        <w:rPr>
          <w:color w:val="000000" w:themeColor="text1"/>
        </w:rPr>
        <w:t>Cas</w:t>
      </w:r>
      <w:r w:rsidR="00991B24" w:rsidRPr="00524435">
        <w:rPr>
          <w:color w:val="000000" w:themeColor="text1"/>
        </w:rPr>
        <w:t>e</w:t>
      </w:r>
      <w:r w:rsidRPr="00524435">
        <w:rPr>
          <w:color w:val="000000" w:themeColor="text1"/>
        </w:rPr>
        <w:t xml:space="preserve"> 11.765, </w:t>
      </w:r>
      <w:r w:rsidR="00991B24" w:rsidRPr="00524435">
        <w:rPr>
          <w:color w:val="000000" w:themeColor="text1"/>
        </w:rPr>
        <w:t xml:space="preserve">Report </w:t>
      </w:r>
      <w:r w:rsidRPr="00524435">
        <w:rPr>
          <w:color w:val="000000" w:themeColor="text1"/>
        </w:rPr>
        <w:t xml:space="preserve">Nº 55/02, Paul </w:t>
      </w:r>
      <w:proofErr w:type="spellStart"/>
      <w:r w:rsidRPr="00524435">
        <w:rPr>
          <w:color w:val="000000" w:themeColor="text1"/>
        </w:rPr>
        <w:t>Lallion</w:t>
      </w:r>
      <w:proofErr w:type="spellEnd"/>
      <w:r w:rsidRPr="00524435">
        <w:rPr>
          <w:color w:val="000000" w:themeColor="text1"/>
        </w:rPr>
        <w:t xml:space="preserve"> (Granada)</w:t>
      </w:r>
    </w:p>
    <w:p w14:paraId="548341F6" w14:textId="75F1F6A1" w:rsidR="00302253" w:rsidRPr="00524435" w:rsidRDefault="00302253" w:rsidP="0009324C">
      <w:pPr>
        <w:pStyle w:val="ListParagraph"/>
        <w:numPr>
          <w:ilvl w:val="0"/>
          <w:numId w:val="33"/>
        </w:numPr>
        <w:autoSpaceDE/>
        <w:autoSpaceDN/>
        <w:adjustRightInd/>
        <w:spacing w:after="0"/>
        <w:ind w:left="1440" w:hanging="630"/>
        <w:contextualSpacing/>
        <w:rPr>
          <w:bCs/>
          <w:color w:val="000000" w:themeColor="text1"/>
        </w:rPr>
      </w:pPr>
      <w:r w:rsidRPr="00524435">
        <w:rPr>
          <w:bCs/>
          <w:color w:val="000000" w:themeColor="text1"/>
        </w:rPr>
        <w:t>Cas</w:t>
      </w:r>
      <w:r w:rsidR="00991B24" w:rsidRPr="00524435">
        <w:rPr>
          <w:bCs/>
          <w:color w:val="000000" w:themeColor="text1"/>
        </w:rPr>
        <w:t>e</w:t>
      </w:r>
      <w:r w:rsidRPr="00524435">
        <w:rPr>
          <w:bCs/>
          <w:color w:val="000000" w:themeColor="text1"/>
        </w:rPr>
        <w:t xml:space="preserve"> 12.158, </w:t>
      </w:r>
      <w:r w:rsidR="00991B24" w:rsidRPr="00524435">
        <w:rPr>
          <w:bCs/>
          <w:color w:val="000000" w:themeColor="text1"/>
        </w:rPr>
        <w:t xml:space="preserve">Report </w:t>
      </w:r>
      <w:r w:rsidRPr="00524435">
        <w:rPr>
          <w:bCs/>
          <w:color w:val="000000" w:themeColor="text1"/>
        </w:rPr>
        <w:t>Nº 56/02 Benedict Jacob (Granada)</w:t>
      </w:r>
    </w:p>
    <w:p w14:paraId="4A865DCC" w14:textId="4C2C1A04" w:rsidR="00302253" w:rsidRPr="00524435" w:rsidRDefault="00302253" w:rsidP="0009324C">
      <w:pPr>
        <w:pStyle w:val="ListParagraph"/>
        <w:numPr>
          <w:ilvl w:val="0"/>
          <w:numId w:val="33"/>
        </w:numPr>
        <w:autoSpaceDE/>
        <w:autoSpaceDN/>
        <w:adjustRightInd/>
        <w:spacing w:after="0"/>
        <w:ind w:left="1440" w:hanging="630"/>
        <w:contextualSpacing/>
        <w:rPr>
          <w:bCs/>
          <w:color w:val="000000" w:themeColor="text1"/>
        </w:rPr>
      </w:pPr>
      <w:r w:rsidRPr="00524435">
        <w:rPr>
          <w:bCs/>
          <w:color w:val="000000" w:themeColor="text1"/>
        </w:rPr>
        <w:t>Cas</w:t>
      </w:r>
      <w:r w:rsidR="00991B24" w:rsidRPr="00524435">
        <w:rPr>
          <w:bCs/>
          <w:color w:val="000000" w:themeColor="text1"/>
        </w:rPr>
        <w:t>e</w:t>
      </w:r>
      <w:r w:rsidRPr="00524435">
        <w:rPr>
          <w:bCs/>
          <w:color w:val="000000" w:themeColor="text1"/>
        </w:rPr>
        <w:t xml:space="preserve"> 12.504, </w:t>
      </w:r>
      <w:r w:rsidR="00991B24" w:rsidRPr="00524435">
        <w:rPr>
          <w:bCs/>
          <w:color w:val="000000" w:themeColor="text1"/>
        </w:rPr>
        <w:t xml:space="preserve">Report </w:t>
      </w:r>
      <w:r w:rsidRPr="00524435">
        <w:rPr>
          <w:bCs/>
          <w:color w:val="000000" w:themeColor="text1"/>
        </w:rPr>
        <w:t xml:space="preserve">81/07 </w:t>
      </w:r>
      <w:proofErr w:type="gramStart"/>
      <w:r w:rsidRPr="00524435">
        <w:rPr>
          <w:bCs/>
          <w:color w:val="000000" w:themeColor="text1"/>
        </w:rPr>
        <w:t>Daniel</w:t>
      </w:r>
      <w:proofErr w:type="gramEnd"/>
      <w:r w:rsidRPr="00524435">
        <w:rPr>
          <w:bCs/>
          <w:color w:val="000000" w:themeColor="text1"/>
        </w:rPr>
        <w:t xml:space="preserve"> </w:t>
      </w:r>
      <w:r w:rsidR="001A680E">
        <w:rPr>
          <w:bCs/>
          <w:color w:val="000000" w:themeColor="text1"/>
        </w:rPr>
        <w:t>and</w:t>
      </w:r>
      <w:r w:rsidRPr="00524435">
        <w:rPr>
          <w:bCs/>
          <w:color w:val="000000" w:themeColor="text1"/>
        </w:rPr>
        <w:t xml:space="preserve"> Kornel Vaux (Guyana)</w:t>
      </w:r>
    </w:p>
    <w:p w14:paraId="1FC93660" w14:textId="7EF43F4B" w:rsidR="00302253" w:rsidRPr="00524435" w:rsidRDefault="00302253" w:rsidP="0009324C">
      <w:pPr>
        <w:pStyle w:val="ListParagraph"/>
        <w:numPr>
          <w:ilvl w:val="0"/>
          <w:numId w:val="33"/>
        </w:numPr>
        <w:autoSpaceDE/>
        <w:autoSpaceDN/>
        <w:adjustRightInd/>
        <w:spacing w:after="0"/>
        <w:ind w:left="1440" w:hanging="630"/>
        <w:contextualSpacing/>
        <w:rPr>
          <w:color w:val="000000" w:themeColor="text1"/>
        </w:rPr>
      </w:pPr>
      <w:r w:rsidRPr="00524435">
        <w:rPr>
          <w:bCs/>
          <w:color w:val="000000" w:themeColor="text1"/>
        </w:rPr>
        <w:t>Cas</w:t>
      </w:r>
      <w:r w:rsidR="00991B24" w:rsidRPr="00524435">
        <w:rPr>
          <w:bCs/>
          <w:color w:val="000000" w:themeColor="text1"/>
        </w:rPr>
        <w:t>e</w:t>
      </w:r>
      <w:r w:rsidRPr="00524435">
        <w:rPr>
          <w:bCs/>
          <w:color w:val="000000" w:themeColor="text1"/>
        </w:rPr>
        <w:t xml:space="preserve"> </w:t>
      </w:r>
      <w:r w:rsidRPr="00524435">
        <w:rPr>
          <w:color w:val="000000" w:themeColor="text1"/>
        </w:rPr>
        <w:t xml:space="preserve">11.335, </w:t>
      </w:r>
      <w:r w:rsidR="00991B24" w:rsidRPr="00524435">
        <w:rPr>
          <w:color w:val="000000" w:themeColor="text1"/>
        </w:rPr>
        <w:t xml:space="preserve">Report </w:t>
      </w:r>
      <w:r w:rsidRPr="00524435">
        <w:rPr>
          <w:color w:val="000000" w:themeColor="text1"/>
        </w:rPr>
        <w:t xml:space="preserve">Nº 78/02, Guy </w:t>
      </w:r>
      <w:proofErr w:type="spellStart"/>
      <w:r w:rsidRPr="00524435">
        <w:rPr>
          <w:color w:val="000000" w:themeColor="text1"/>
        </w:rPr>
        <w:t>Malary</w:t>
      </w:r>
      <w:proofErr w:type="spellEnd"/>
      <w:r w:rsidRPr="00524435">
        <w:rPr>
          <w:color w:val="000000" w:themeColor="text1"/>
        </w:rPr>
        <w:t xml:space="preserve"> (Hait</w:t>
      </w:r>
      <w:r w:rsidR="00EC4555" w:rsidRPr="00524435">
        <w:rPr>
          <w:color w:val="000000" w:themeColor="text1"/>
        </w:rPr>
        <w:t>i</w:t>
      </w:r>
      <w:r w:rsidRPr="00524435">
        <w:rPr>
          <w:color w:val="000000" w:themeColor="text1"/>
        </w:rPr>
        <w:t>)</w:t>
      </w:r>
    </w:p>
    <w:p w14:paraId="0537BD7F" w14:textId="615D9921" w:rsidR="00302253" w:rsidRPr="007A5442" w:rsidRDefault="00302253" w:rsidP="0009324C">
      <w:pPr>
        <w:pStyle w:val="ListParagraph"/>
        <w:numPr>
          <w:ilvl w:val="0"/>
          <w:numId w:val="33"/>
        </w:numPr>
        <w:autoSpaceDE/>
        <w:autoSpaceDN/>
        <w:adjustRightInd/>
        <w:spacing w:after="0"/>
        <w:ind w:left="1440" w:hanging="630"/>
        <w:contextualSpacing/>
        <w:rPr>
          <w:bCs/>
          <w:color w:val="000000" w:themeColor="text1"/>
          <w:lang w:val="pt-PT"/>
        </w:rPr>
      </w:pPr>
      <w:r w:rsidRPr="007A5442">
        <w:rPr>
          <w:bCs/>
          <w:color w:val="000000" w:themeColor="text1"/>
          <w:lang w:val="pt-PT"/>
        </w:rPr>
        <w:t>Cas</w:t>
      </w:r>
      <w:r w:rsidR="00991B24" w:rsidRPr="007A5442">
        <w:rPr>
          <w:bCs/>
          <w:color w:val="000000" w:themeColor="text1"/>
          <w:lang w:val="pt-PT"/>
        </w:rPr>
        <w:t>e</w:t>
      </w:r>
      <w:r w:rsidRPr="007A5442">
        <w:rPr>
          <w:bCs/>
          <w:color w:val="000000" w:themeColor="text1"/>
          <w:lang w:val="pt-PT"/>
        </w:rPr>
        <w:t xml:space="preserve"> 11.381, </w:t>
      </w:r>
      <w:r w:rsidR="00991B24" w:rsidRPr="007A5442">
        <w:rPr>
          <w:bCs/>
          <w:color w:val="000000" w:themeColor="text1"/>
          <w:lang w:val="pt-PT"/>
        </w:rPr>
        <w:t xml:space="preserve">Report </w:t>
      </w:r>
      <w:r w:rsidRPr="007A5442">
        <w:rPr>
          <w:bCs/>
          <w:color w:val="000000" w:themeColor="text1"/>
          <w:lang w:val="pt-PT"/>
        </w:rPr>
        <w:t>Nº 100/01, Milton García Fajardo (Nicaragua)</w:t>
      </w:r>
    </w:p>
    <w:p w14:paraId="466D6297" w14:textId="1A644616" w:rsidR="00302253" w:rsidRPr="007A5442" w:rsidRDefault="00302253" w:rsidP="0009324C">
      <w:pPr>
        <w:pStyle w:val="ListParagraph"/>
        <w:numPr>
          <w:ilvl w:val="0"/>
          <w:numId w:val="33"/>
        </w:numPr>
        <w:autoSpaceDE/>
        <w:autoSpaceDN/>
        <w:adjustRightInd/>
        <w:spacing w:after="0"/>
        <w:ind w:left="1440" w:hanging="630"/>
        <w:contextualSpacing/>
        <w:rPr>
          <w:bCs/>
          <w:color w:val="000000" w:themeColor="text1"/>
          <w:lang w:val="pt-PT"/>
        </w:rPr>
      </w:pPr>
      <w:r w:rsidRPr="007A5442">
        <w:rPr>
          <w:bCs/>
          <w:color w:val="000000" w:themeColor="text1"/>
          <w:lang w:val="pt-PT"/>
        </w:rPr>
        <w:lastRenderedPageBreak/>
        <w:t>Cas</w:t>
      </w:r>
      <w:r w:rsidR="00991B24" w:rsidRPr="007A5442">
        <w:rPr>
          <w:bCs/>
          <w:color w:val="000000" w:themeColor="text1"/>
          <w:lang w:val="pt-PT"/>
        </w:rPr>
        <w:t>e</w:t>
      </w:r>
      <w:r w:rsidRPr="007A5442">
        <w:rPr>
          <w:bCs/>
          <w:color w:val="000000" w:themeColor="text1"/>
          <w:lang w:val="pt-PT"/>
        </w:rPr>
        <w:t xml:space="preserve"> 11.506, </w:t>
      </w:r>
      <w:r w:rsidR="00991B24" w:rsidRPr="007A5442">
        <w:rPr>
          <w:bCs/>
          <w:color w:val="000000" w:themeColor="text1"/>
          <w:lang w:val="pt-PT"/>
        </w:rPr>
        <w:t xml:space="preserve">Report </w:t>
      </w:r>
      <w:r w:rsidRPr="007A5442">
        <w:rPr>
          <w:bCs/>
          <w:color w:val="000000" w:themeColor="text1"/>
          <w:lang w:val="pt-PT"/>
        </w:rPr>
        <w:t xml:space="preserve">Nº 77/02, Waldemar Gerónimo Pinheiro </w:t>
      </w:r>
      <w:r w:rsidR="00DA35C1" w:rsidRPr="007A5442">
        <w:rPr>
          <w:bCs/>
          <w:color w:val="000000" w:themeColor="text1"/>
          <w:lang w:val="pt-PT"/>
        </w:rPr>
        <w:t>and</w:t>
      </w:r>
      <w:r w:rsidRPr="007A5442">
        <w:rPr>
          <w:bCs/>
          <w:color w:val="000000" w:themeColor="text1"/>
          <w:lang w:val="pt-PT"/>
        </w:rPr>
        <w:t xml:space="preserve"> José Víctor Dos Santos (Paraguay)</w:t>
      </w:r>
    </w:p>
    <w:p w14:paraId="6D6C1032" w14:textId="64097D70" w:rsidR="00302253" w:rsidRPr="00524435" w:rsidRDefault="00302253" w:rsidP="0009324C">
      <w:pPr>
        <w:pStyle w:val="ListParagraph"/>
        <w:numPr>
          <w:ilvl w:val="0"/>
          <w:numId w:val="33"/>
        </w:numPr>
        <w:autoSpaceDE/>
        <w:autoSpaceDN/>
        <w:adjustRightInd/>
        <w:spacing w:after="0"/>
        <w:ind w:left="1440" w:hanging="630"/>
        <w:contextualSpacing/>
        <w:rPr>
          <w:color w:val="000000" w:themeColor="text1"/>
        </w:rPr>
      </w:pPr>
      <w:r w:rsidRPr="00524435">
        <w:rPr>
          <w:color w:val="000000" w:themeColor="text1"/>
        </w:rPr>
        <w:t>Cas</w:t>
      </w:r>
      <w:r w:rsidR="00991B24" w:rsidRPr="00524435">
        <w:rPr>
          <w:color w:val="000000" w:themeColor="text1"/>
        </w:rPr>
        <w:t>e</w:t>
      </w:r>
      <w:r w:rsidRPr="00524435">
        <w:rPr>
          <w:color w:val="000000" w:themeColor="text1"/>
        </w:rPr>
        <w:t xml:space="preserve"> 12.269, </w:t>
      </w:r>
      <w:r w:rsidR="00991B24" w:rsidRPr="00524435">
        <w:rPr>
          <w:color w:val="000000" w:themeColor="text1"/>
        </w:rPr>
        <w:t xml:space="preserve">Report </w:t>
      </w:r>
      <w:r w:rsidRPr="00524435">
        <w:rPr>
          <w:color w:val="000000" w:themeColor="text1"/>
        </w:rPr>
        <w:t xml:space="preserve">Nº 28/09, Dexter </w:t>
      </w:r>
      <w:proofErr w:type="spellStart"/>
      <w:r w:rsidRPr="00524435">
        <w:rPr>
          <w:color w:val="000000" w:themeColor="text1"/>
        </w:rPr>
        <w:t>Lendore</w:t>
      </w:r>
      <w:proofErr w:type="spellEnd"/>
      <w:r w:rsidRPr="00524435">
        <w:rPr>
          <w:color w:val="000000" w:themeColor="text1"/>
        </w:rPr>
        <w:t xml:space="preserve"> (Trinidad </w:t>
      </w:r>
      <w:r w:rsidR="00991B24" w:rsidRPr="00524435">
        <w:rPr>
          <w:color w:val="000000" w:themeColor="text1"/>
        </w:rPr>
        <w:t>and</w:t>
      </w:r>
      <w:r w:rsidRPr="00524435">
        <w:rPr>
          <w:color w:val="000000" w:themeColor="text1"/>
        </w:rPr>
        <w:t xml:space="preserve"> Tobago)</w:t>
      </w:r>
    </w:p>
    <w:p w14:paraId="65B64A18" w14:textId="74C39D52" w:rsidR="00302253" w:rsidRPr="007A5442" w:rsidRDefault="00302253" w:rsidP="0009324C">
      <w:pPr>
        <w:pStyle w:val="ListParagraph"/>
        <w:numPr>
          <w:ilvl w:val="0"/>
          <w:numId w:val="33"/>
        </w:numPr>
        <w:autoSpaceDE/>
        <w:autoSpaceDN/>
        <w:adjustRightInd/>
        <w:spacing w:after="0"/>
        <w:ind w:left="1440" w:hanging="630"/>
        <w:contextualSpacing/>
        <w:rPr>
          <w:color w:val="000000" w:themeColor="text1"/>
          <w:lang w:val="pt-PT"/>
        </w:rPr>
      </w:pPr>
      <w:r w:rsidRPr="007A5442">
        <w:rPr>
          <w:color w:val="000000" w:themeColor="text1"/>
          <w:lang w:val="pt-PT"/>
        </w:rPr>
        <w:t>Cas</w:t>
      </w:r>
      <w:r w:rsidR="00991B24" w:rsidRPr="007A5442">
        <w:rPr>
          <w:color w:val="000000" w:themeColor="text1"/>
          <w:lang w:val="pt-PT"/>
        </w:rPr>
        <w:t>e</w:t>
      </w:r>
      <w:r w:rsidRPr="007A5442">
        <w:rPr>
          <w:color w:val="000000" w:themeColor="text1"/>
          <w:lang w:val="pt-PT"/>
        </w:rPr>
        <w:t xml:space="preserve"> 12.553, </w:t>
      </w:r>
      <w:r w:rsidR="00991B24" w:rsidRPr="007A5442">
        <w:rPr>
          <w:color w:val="000000" w:themeColor="text1"/>
          <w:lang w:val="pt-PT"/>
        </w:rPr>
        <w:t>Report</w:t>
      </w:r>
      <w:r w:rsidRPr="007A5442">
        <w:rPr>
          <w:color w:val="000000" w:themeColor="text1"/>
          <w:lang w:val="pt-PT"/>
        </w:rPr>
        <w:t xml:space="preserve"> Nº 86/09, Jorge, José y Dante Peirano Basso (Uruguay)</w:t>
      </w:r>
    </w:p>
    <w:p w14:paraId="1D456558" w14:textId="77777777" w:rsidR="00302253" w:rsidRPr="007A5442" w:rsidRDefault="00302253" w:rsidP="00AF62AE">
      <w:pPr>
        <w:spacing w:after="0" w:line="240" w:lineRule="auto"/>
        <w:jc w:val="both"/>
        <w:rPr>
          <w:rFonts w:ascii="Cambria" w:hAnsi="Cambria" w:cs="Calibri"/>
          <w:color w:val="000000" w:themeColor="text1"/>
          <w:sz w:val="20"/>
          <w:szCs w:val="20"/>
          <w:lang w:val="pt-PT"/>
        </w:rPr>
      </w:pPr>
    </w:p>
    <w:p w14:paraId="0A4DA6A8" w14:textId="77777777" w:rsidR="00302253" w:rsidRPr="00524435" w:rsidRDefault="00302253" w:rsidP="006E5C42">
      <w:pPr>
        <w:pStyle w:val="ListParagraph"/>
      </w:pPr>
      <w:r w:rsidRPr="00524435">
        <w:t>The IACHR urges the parties to submit up</w:t>
      </w:r>
      <w:r w:rsidRPr="00524435">
        <w:noBreakHyphen/>
        <w:t>to</w:t>
      </w:r>
      <w:r w:rsidRPr="00524435">
        <w:noBreakHyphen/>
        <w:t xml:space="preserve">date information on actions adopted by the State to comply with the Commission’s recommendations in these cases.  </w:t>
      </w:r>
    </w:p>
    <w:p w14:paraId="5B3AC7D0" w14:textId="77777777" w:rsidR="00302253" w:rsidRPr="00524435" w:rsidRDefault="00302253" w:rsidP="0009324C">
      <w:pPr>
        <w:pStyle w:val="Heading4"/>
        <w:numPr>
          <w:ilvl w:val="0"/>
          <w:numId w:val="27"/>
        </w:numPr>
        <w:ind w:firstLine="0"/>
      </w:pPr>
      <w:r w:rsidRPr="00524435">
        <w:t>New Processes of Follow-Up of Published Merits Reports</w:t>
      </w:r>
    </w:p>
    <w:p w14:paraId="0250CC70" w14:textId="77777777" w:rsidR="00302253" w:rsidRPr="00524435" w:rsidRDefault="00302253" w:rsidP="006E5C42">
      <w:pPr>
        <w:pStyle w:val="ListParagraph"/>
      </w:pPr>
      <w:r w:rsidRPr="00524435">
        <w:t xml:space="preserve">The Commission announces that 11 new cases have entered the follow-up of recommendations stage for the first time in the Annual Report of the IACHR in 2021 (Article 48 of the Rules of Procedure): </w:t>
      </w:r>
    </w:p>
    <w:p w14:paraId="70BF9CF5" w14:textId="7BDC2504" w:rsidR="00302253" w:rsidRPr="00524435" w:rsidRDefault="00302253" w:rsidP="0009324C">
      <w:pPr>
        <w:pStyle w:val="ListParagraph"/>
        <w:numPr>
          <w:ilvl w:val="0"/>
          <w:numId w:val="32"/>
        </w:numPr>
        <w:autoSpaceDE/>
        <w:autoSpaceDN/>
        <w:adjustRightInd/>
        <w:spacing w:after="0"/>
        <w:ind w:left="1440" w:hanging="630"/>
        <w:contextualSpacing/>
        <w:rPr>
          <w:color w:val="000000" w:themeColor="text1"/>
        </w:rPr>
      </w:pPr>
      <w:r w:rsidRPr="00524435">
        <w:rPr>
          <w:color w:val="000000" w:themeColor="text1"/>
        </w:rPr>
        <w:t xml:space="preserve">Case 12.332, </w:t>
      </w:r>
      <w:r w:rsidR="00991B24" w:rsidRPr="00524435">
        <w:rPr>
          <w:color w:val="000000" w:themeColor="text1"/>
        </w:rPr>
        <w:t>Report</w:t>
      </w:r>
      <w:r w:rsidRPr="00524435">
        <w:rPr>
          <w:color w:val="000000" w:themeColor="text1"/>
        </w:rPr>
        <w:t xml:space="preserve"> Nº 31/20, Margarida Maria Alves </w:t>
      </w:r>
      <w:r w:rsidR="0057284E" w:rsidRPr="00524435">
        <w:rPr>
          <w:color w:val="000000" w:themeColor="text1"/>
        </w:rPr>
        <w:t xml:space="preserve">and relatives </w:t>
      </w:r>
      <w:r w:rsidRPr="00524435">
        <w:rPr>
          <w:color w:val="000000" w:themeColor="text1"/>
        </w:rPr>
        <w:t>(Bra</w:t>
      </w:r>
      <w:r w:rsidR="0030565E" w:rsidRPr="00524435">
        <w:rPr>
          <w:color w:val="000000" w:themeColor="text1"/>
        </w:rPr>
        <w:t>z</w:t>
      </w:r>
      <w:r w:rsidRPr="00524435">
        <w:rPr>
          <w:color w:val="000000" w:themeColor="text1"/>
        </w:rPr>
        <w:t>il)</w:t>
      </w:r>
    </w:p>
    <w:p w14:paraId="01F54CA9" w14:textId="228B5A10" w:rsidR="00302253" w:rsidRPr="00524435" w:rsidRDefault="00302253" w:rsidP="0009324C">
      <w:pPr>
        <w:pStyle w:val="ListParagraph"/>
        <w:numPr>
          <w:ilvl w:val="0"/>
          <w:numId w:val="32"/>
        </w:numPr>
        <w:autoSpaceDE/>
        <w:autoSpaceDN/>
        <w:adjustRightInd/>
        <w:spacing w:after="0"/>
        <w:ind w:left="1440" w:hanging="630"/>
        <w:contextualSpacing/>
        <w:rPr>
          <w:rFonts w:eastAsia="MS Mincho"/>
          <w:color w:val="000000" w:themeColor="text1"/>
        </w:rPr>
      </w:pPr>
      <w:r w:rsidRPr="00524435">
        <w:rPr>
          <w:rFonts w:eastAsia="MS Mincho"/>
          <w:color w:val="000000" w:themeColor="text1"/>
        </w:rPr>
        <w:t xml:space="preserve">Case 10.780, </w:t>
      </w:r>
      <w:r w:rsidR="00991B24" w:rsidRPr="00524435">
        <w:rPr>
          <w:rFonts w:eastAsia="MS Mincho"/>
          <w:color w:val="000000" w:themeColor="text1"/>
        </w:rPr>
        <w:t>Report</w:t>
      </w:r>
      <w:r w:rsidRPr="00524435">
        <w:rPr>
          <w:rFonts w:eastAsia="MS Mincho"/>
          <w:color w:val="000000" w:themeColor="text1"/>
        </w:rPr>
        <w:t xml:space="preserve"> Nº 25/20, Carlos Arturo Betancourt Estrada </w:t>
      </w:r>
      <w:r w:rsidR="0030565E" w:rsidRPr="00524435">
        <w:rPr>
          <w:rFonts w:eastAsia="MS Mincho"/>
          <w:color w:val="000000" w:themeColor="text1"/>
        </w:rPr>
        <w:t>et al.</w:t>
      </w:r>
      <w:r w:rsidRPr="00524435">
        <w:rPr>
          <w:rFonts w:eastAsia="MS Mincho"/>
          <w:color w:val="000000" w:themeColor="text1"/>
        </w:rPr>
        <w:t xml:space="preserve"> (Colombia)</w:t>
      </w:r>
    </w:p>
    <w:p w14:paraId="3A8A97EE" w14:textId="07DE4F30" w:rsidR="00302253" w:rsidRPr="00524435" w:rsidRDefault="00302253" w:rsidP="0009324C">
      <w:pPr>
        <w:pStyle w:val="ListParagraph"/>
        <w:numPr>
          <w:ilvl w:val="0"/>
          <w:numId w:val="32"/>
        </w:numPr>
        <w:autoSpaceDE/>
        <w:autoSpaceDN/>
        <w:adjustRightInd/>
        <w:spacing w:after="0"/>
        <w:ind w:left="1440" w:hanging="630"/>
        <w:contextualSpacing/>
        <w:rPr>
          <w:color w:val="000000" w:themeColor="text1"/>
        </w:rPr>
      </w:pPr>
      <w:r w:rsidRPr="00524435">
        <w:rPr>
          <w:color w:val="000000" w:themeColor="text1"/>
        </w:rPr>
        <w:t xml:space="preserve">Case 13.570, </w:t>
      </w:r>
      <w:r w:rsidR="00991B24" w:rsidRPr="00524435">
        <w:rPr>
          <w:color w:val="000000" w:themeColor="text1"/>
        </w:rPr>
        <w:t>Report</w:t>
      </w:r>
      <w:r w:rsidRPr="00524435">
        <w:rPr>
          <w:color w:val="000000" w:themeColor="text1"/>
        </w:rPr>
        <w:t xml:space="preserve"> </w:t>
      </w:r>
      <w:r w:rsidR="0030565E" w:rsidRPr="00524435">
        <w:rPr>
          <w:color w:val="000000" w:themeColor="text1"/>
        </w:rPr>
        <w:t>on Merits</w:t>
      </w:r>
      <w:r w:rsidRPr="00524435">
        <w:rPr>
          <w:color w:val="000000" w:themeColor="text1"/>
        </w:rPr>
        <w:t xml:space="preserve"> Nº 211/20, </w:t>
      </w:r>
      <w:proofErr w:type="spellStart"/>
      <w:r w:rsidRPr="00524435">
        <w:rPr>
          <w:color w:val="000000" w:themeColor="text1"/>
        </w:rPr>
        <w:t>Lezmond</w:t>
      </w:r>
      <w:proofErr w:type="spellEnd"/>
      <w:r w:rsidRPr="00524435">
        <w:rPr>
          <w:color w:val="000000" w:themeColor="text1"/>
        </w:rPr>
        <w:t xml:space="preserve"> C. Mitchell (</w:t>
      </w:r>
      <w:r w:rsidRPr="00524435">
        <w:rPr>
          <w:bCs/>
          <w:color w:val="000000" w:themeColor="text1"/>
        </w:rPr>
        <w:t>United States</w:t>
      </w:r>
      <w:r w:rsidRPr="00524435">
        <w:rPr>
          <w:color w:val="000000" w:themeColor="text1"/>
        </w:rPr>
        <w:t>)</w:t>
      </w:r>
    </w:p>
    <w:p w14:paraId="71F36991" w14:textId="7B103725" w:rsidR="00302253" w:rsidRPr="00524435" w:rsidRDefault="00302253" w:rsidP="0009324C">
      <w:pPr>
        <w:pStyle w:val="ListParagraph"/>
        <w:numPr>
          <w:ilvl w:val="0"/>
          <w:numId w:val="32"/>
        </w:numPr>
        <w:autoSpaceDE/>
        <w:autoSpaceDN/>
        <w:adjustRightInd/>
        <w:spacing w:after="0"/>
        <w:ind w:left="1440" w:hanging="630"/>
        <w:contextualSpacing/>
        <w:rPr>
          <w:color w:val="000000" w:themeColor="text1"/>
        </w:rPr>
      </w:pPr>
      <w:r w:rsidRPr="00524435">
        <w:rPr>
          <w:color w:val="000000" w:themeColor="text1"/>
        </w:rPr>
        <w:t xml:space="preserve">Case 13.361, </w:t>
      </w:r>
      <w:r w:rsidR="00991B24" w:rsidRPr="00524435">
        <w:rPr>
          <w:color w:val="000000" w:themeColor="text1"/>
        </w:rPr>
        <w:t>Report</w:t>
      </w:r>
      <w:r w:rsidRPr="00524435">
        <w:rPr>
          <w:color w:val="000000" w:themeColor="text1"/>
        </w:rPr>
        <w:t xml:space="preserve"> </w:t>
      </w:r>
      <w:r w:rsidR="0030565E" w:rsidRPr="00524435">
        <w:rPr>
          <w:color w:val="000000" w:themeColor="text1"/>
        </w:rPr>
        <w:t xml:space="preserve">on Merits </w:t>
      </w:r>
      <w:r w:rsidRPr="00524435">
        <w:rPr>
          <w:color w:val="000000" w:themeColor="text1"/>
        </w:rPr>
        <w:t xml:space="preserve">Nº 220/20, </w:t>
      </w:r>
      <w:r w:rsidRPr="00524435">
        <w:rPr>
          <w:rFonts w:eastAsia="Times New Roman"/>
          <w:color w:val="000000" w:themeColor="text1"/>
        </w:rPr>
        <w:t xml:space="preserve">Julius Omar Robinson </w:t>
      </w:r>
      <w:r w:rsidRPr="00524435">
        <w:rPr>
          <w:color w:val="000000" w:themeColor="text1"/>
        </w:rPr>
        <w:t>(</w:t>
      </w:r>
      <w:r w:rsidRPr="00524435">
        <w:rPr>
          <w:bCs/>
          <w:color w:val="000000" w:themeColor="text1"/>
        </w:rPr>
        <w:t>United States</w:t>
      </w:r>
      <w:r w:rsidRPr="00524435">
        <w:rPr>
          <w:color w:val="000000" w:themeColor="text1"/>
        </w:rPr>
        <w:t>)</w:t>
      </w:r>
    </w:p>
    <w:p w14:paraId="2225C3EF" w14:textId="54868658" w:rsidR="00302253" w:rsidRPr="00524435" w:rsidRDefault="00302253" w:rsidP="0009324C">
      <w:pPr>
        <w:pStyle w:val="ListParagraph"/>
        <w:numPr>
          <w:ilvl w:val="0"/>
          <w:numId w:val="32"/>
        </w:numPr>
        <w:autoSpaceDE/>
        <w:autoSpaceDN/>
        <w:adjustRightInd/>
        <w:spacing w:after="0"/>
        <w:ind w:left="1440" w:hanging="630"/>
        <w:contextualSpacing/>
        <w:rPr>
          <w:color w:val="000000" w:themeColor="text1"/>
        </w:rPr>
      </w:pPr>
      <w:r w:rsidRPr="00524435">
        <w:rPr>
          <w:color w:val="000000" w:themeColor="text1"/>
        </w:rPr>
        <w:t xml:space="preserve">Case 13.356, </w:t>
      </w:r>
      <w:r w:rsidR="00991B24" w:rsidRPr="00524435">
        <w:rPr>
          <w:color w:val="000000" w:themeColor="text1"/>
        </w:rPr>
        <w:t>Report</w:t>
      </w:r>
      <w:r w:rsidRPr="00524435">
        <w:rPr>
          <w:color w:val="000000" w:themeColor="text1"/>
        </w:rPr>
        <w:t xml:space="preserve"> </w:t>
      </w:r>
      <w:r w:rsidR="0030565E" w:rsidRPr="00524435">
        <w:rPr>
          <w:color w:val="000000" w:themeColor="text1"/>
        </w:rPr>
        <w:t xml:space="preserve">on Merits </w:t>
      </w:r>
      <w:r w:rsidRPr="00524435">
        <w:rPr>
          <w:color w:val="000000" w:themeColor="text1"/>
        </w:rPr>
        <w:t xml:space="preserve">Nº 200/20, </w:t>
      </w:r>
      <w:r w:rsidRPr="00524435">
        <w:rPr>
          <w:bCs/>
          <w:color w:val="000000" w:themeColor="text1"/>
        </w:rPr>
        <w:t xml:space="preserve">Nelson Iván Serrano </w:t>
      </w:r>
      <w:proofErr w:type="spellStart"/>
      <w:r w:rsidRPr="00524435">
        <w:rPr>
          <w:bCs/>
          <w:color w:val="000000" w:themeColor="text1"/>
        </w:rPr>
        <w:t>Sáenz</w:t>
      </w:r>
      <w:proofErr w:type="spellEnd"/>
      <w:r w:rsidRPr="00524435">
        <w:rPr>
          <w:bCs/>
          <w:color w:val="000000" w:themeColor="text1"/>
        </w:rPr>
        <w:t xml:space="preserve"> </w:t>
      </w:r>
      <w:r w:rsidRPr="00524435">
        <w:rPr>
          <w:color w:val="000000" w:themeColor="text1"/>
        </w:rPr>
        <w:t>(</w:t>
      </w:r>
      <w:r w:rsidRPr="00524435">
        <w:rPr>
          <w:bCs/>
          <w:color w:val="000000" w:themeColor="text1"/>
        </w:rPr>
        <w:t>United States</w:t>
      </w:r>
      <w:r w:rsidRPr="00524435">
        <w:rPr>
          <w:color w:val="000000" w:themeColor="text1"/>
        </w:rPr>
        <w:t>)</w:t>
      </w:r>
    </w:p>
    <w:p w14:paraId="1DDA5CCD" w14:textId="796A7308" w:rsidR="00302253" w:rsidRPr="00524435" w:rsidRDefault="00302253" w:rsidP="0009324C">
      <w:pPr>
        <w:pStyle w:val="ListParagraph"/>
        <w:numPr>
          <w:ilvl w:val="0"/>
          <w:numId w:val="32"/>
        </w:numPr>
        <w:autoSpaceDE/>
        <w:autoSpaceDN/>
        <w:adjustRightInd/>
        <w:spacing w:after="0"/>
        <w:ind w:left="1440" w:hanging="630"/>
        <w:contextualSpacing/>
        <w:rPr>
          <w:color w:val="000000" w:themeColor="text1"/>
        </w:rPr>
      </w:pPr>
      <w:r w:rsidRPr="00524435">
        <w:rPr>
          <w:color w:val="000000" w:themeColor="text1"/>
        </w:rPr>
        <w:t xml:space="preserve">Case 12.865, </w:t>
      </w:r>
      <w:r w:rsidR="00991B24" w:rsidRPr="00524435">
        <w:rPr>
          <w:color w:val="000000" w:themeColor="text1"/>
        </w:rPr>
        <w:t>Report</w:t>
      </w:r>
      <w:r w:rsidRPr="00524435">
        <w:rPr>
          <w:color w:val="000000" w:themeColor="text1"/>
        </w:rPr>
        <w:t xml:space="preserve"> </w:t>
      </w:r>
      <w:r w:rsidR="0030565E" w:rsidRPr="00524435">
        <w:rPr>
          <w:color w:val="000000" w:themeColor="text1"/>
        </w:rPr>
        <w:t xml:space="preserve">on Merits </w:t>
      </w:r>
      <w:r w:rsidRPr="00524435">
        <w:rPr>
          <w:color w:val="000000" w:themeColor="text1"/>
        </w:rPr>
        <w:t xml:space="preserve">Nº 29/20, </w:t>
      </w:r>
      <w:r w:rsidRPr="00524435">
        <w:rPr>
          <w:bCs/>
          <w:color w:val="000000" w:themeColor="text1"/>
        </w:rPr>
        <w:t xml:space="preserve">Djamel </w:t>
      </w:r>
      <w:proofErr w:type="spellStart"/>
      <w:r w:rsidRPr="00524435">
        <w:rPr>
          <w:bCs/>
          <w:color w:val="000000" w:themeColor="text1"/>
        </w:rPr>
        <w:t>Ameziane</w:t>
      </w:r>
      <w:proofErr w:type="spellEnd"/>
      <w:r w:rsidRPr="00524435">
        <w:rPr>
          <w:bCs/>
          <w:color w:val="000000" w:themeColor="text1"/>
        </w:rPr>
        <w:t xml:space="preserve"> </w:t>
      </w:r>
      <w:r w:rsidRPr="00524435">
        <w:rPr>
          <w:color w:val="000000" w:themeColor="text1"/>
        </w:rPr>
        <w:t>(</w:t>
      </w:r>
      <w:r w:rsidRPr="00524435">
        <w:rPr>
          <w:bCs/>
          <w:color w:val="000000" w:themeColor="text1"/>
        </w:rPr>
        <w:t>United States</w:t>
      </w:r>
      <w:r w:rsidRPr="00524435">
        <w:rPr>
          <w:color w:val="000000" w:themeColor="text1"/>
        </w:rPr>
        <w:t>)</w:t>
      </w:r>
    </w:p>
    <w:p w14:paraId="5D26E80E" w14:textId="27331560" w:rsidR="00302253" w:rsidRPr="00524435" w:rsidRDefault="00302253" w:rsidP="0009324C">
      <w:pPr>
        <w:pStyle w:val="ListParagraph"/>
        <w:numPr>
          <w:ilvl w:val="0"/>
          <w:numId w:val="32"/>
        </w:numPr>
        <w:autoSpaceDE/>
        <w:autoSpaceDN/>
        <w:adjustRightInd/>
        <w:spacing w:after="0"/>
        <w:ind w:left="1440" w:hanging="630"/>
        <w:contextualSpacing/>
        <w:rPr>
          <w:color w:val="000000" w:themeColor="text1"/>
        </w:rPr>
      </w:pPr>
      <w:r w:rsidRPr="00524435">
        <w:rPr>
          <w:color w:val="000000" w:themeColor="text1"/>
        </w:rPr>
        <w:t xml:space="preserve">Case 12.719, </w:t>
      </w:r>
      <w:r w:rsidR="00991B24" w:rsidRPr="00524435">
        <w:rPr>
          <w:color w:val="000000" w:themeColor="text1"/>
        </w:rPr>
        <w:t>Report</w:t>
      </w:r>
      <w:r w:rsidRPr="00524435">
        <w:rPr>
          <w:color w:val="000000" w:themeColor="text1"/>
        </w:rPr>
        <w:t xml:space="preserve"> </w:t>
      </w:r>
      <w:r w:rsidR="0030565E" w:rsidRPr="00524435">
        <w:rPr>
          <w:color w:val="000000" w:themeColor="text1"/>
        </w:rPr>
        <w:t xml:space="preserve">on Merits </w:t>
      </w:r>
      <w:r w:rsidRPr="00524435">
        <w:rPr>
          <w:color w:val="000000" w:themeColor="text1"/>
        </w:rPr>
        <w:t xml:space="preserve">Nº 28/20, </w:t>
      </w:r>
      <w:r w:rsidRPr="00524435">
        <w:rPr>
          <w:bCs/>
          <w:color w:val="000000" w:themeColor="text1"/>
        </w:rPr>
        <w:t xml:space="preserve">Orlando Cordia Hall </w:t>
      </w:r>
      <w:r w:rsidRPr="00524435">
        <w:rPr>
          <w:color w:val="000000" w:themeColor="text1"/>
        </w:rPr>
        <w:t>(</w:t>
      </w:r>
      <w:r w:rsidRPr="00524435">
        <w:rPr>
          <w:bCs/>
          <w:color w:val="000000" w:themeColor="text1"/>
        </w:rPr>
        <w:t>United States</w:t>
      </w:r>
      <w:r w:rsidRPr="00524435">
        <w:rPr>
          <w:color w:val="000000" w:themeColor="text1"/>
        </w:rPr>
        <w:t>)</w:t>
      </w:r>
    </w:p>
    <w:p w14:paraId="38A15B25" w14:textId="24896A13" w:rsidR="00302253" w:rsidRPr="00524435" w:rsidRDefault="00302253" w:rsidP="0009324C">
      <w:pPr>
        <w:pStyle w:val="ListParagraph"/>
        <w:numPr>
          <w:ilvl w:val="0"/>
          <w:numId w:val="32"/>
        </w:numPr>
        <w:autoSpaceDE/>
        <w:autoSpaceDN/>
        <w:adjustRightInd/>
        <w:spacing w:after="0"/>
        <w:ind w:left="1440" w:hanging="630"/>
        <w:contextualSpacing/>
        <w:rPr>
          <w:color w:val="000000" w:themeColor="text1"/>
        </w:rPr>
      </w:pPr>
      <w:r w:rsidRPr="00524435">
        <w:rPr>
          <w:color w:val="000000" w:themeColor="text1"/>
        </w:rPr>
        <w:t xml:space="preserve">Case 12.754, </w:t>
      </w:r>
      <w:r w:rsidR="00991B24" w:rsidRPr="00524435">
        <w:rPr>
          <w:color w:val="000000" w:themeColor="text1"/>
        </w:rPr>
        <w:t>Report</w:t>
      </w:r>
      <w:r w:rsidRPr="00524435">
        <w:rPr>
          <w:color w:val="000000" w:themeColor="text1"/>
        </w:rPr>
        <w:t xml:space="preserve"> </w:t>
      </w:r>
      <w:r w:rsidR="0030565E" w:rsidRPr="00524435">
        <w:rPr>
          <w:color w:val="000000" w:themeColor="text1"/>
        </w:rPr>
        <w:t xml:space="preserve">on Merits </w:t>
      </w:r>
      <w:r w:rsidRPr="00524435">
        <w:rPr>
          <w:color w:val="000000" w:themeColor="text1"/>
        </w:rPr>
        <w:t xml:space="preserve">Nº 27/20, </w:t>
      </w:r>
      <w:proofErr w:type="spellStart"/>
      <w:r w:rsidRPr="00524435">
        <w:rPr>
          <w:bCs/>
          <w:color w:val="000000" w:themeColor="text1"/>
        </w:rPr>
        <w:t>Nvwtohiyada</w:t>
      </w:r>
      <w:proofErr w:type="spellEnd"/>
      <w:r w:rsidRPr="00524435">
        <w:rPr>
          <w:bCs/>
          <w:color w:val="000000" w:themeColor="text1"/>
        </w:rPr>
        <w:t xml:space="preserve"> </w:t>
      </w:r>
      <w:proofErr w:type="spellStart"/>
      <w:r w:rsidRPr="00524435">
        <w:rPr>
          <w:bCs/>
          <w:color w:val="000000" w:themeColor="text1"/>
        </w:rPr>
        <w:t>Idehesdi</w:t>
      </w:r>
      <w:proofErr w:type="spellEnd"/>
      <w:r w:rsidRPr="00524435">
        <w:rPr>
          <w:bCs/>
          <w:color w:val="000000" w:themeColor="text1"/>
        </w:rPr>
        <w:t xml:space="preserve"> Sequoyah </w:t>
      </w:r>
      <w:r w:rsidRPr="00524435">
        <w:rPr>
          <w:color w:val="000000" w:themeColor="text1"/>
        </w:rPr>
        <w:t>(</w:t>
      </w:r>
      <w:r w:rsidRPr="00524435">
        <w:rPr>
          <w:bCs/>
          <w:color w:val="000000" w:themeColor="text1"/>
        </w:rPr>
        <w:t>United States</w:t>
      </w:r>
      <w:r w:rsidRPr="00524435">
        <w:rPr>
          <w:color w:val="000000" w:themeColor="text1"/>
        </w:rPr>
        <w:t>)</w:t>
      </w:r>
    </w:p>
    <w:p w14:paraId="21327029" w14:textId="77A3F16D" w:rsidR="00302253" w:rsidRPr="00524435" w:rsidRDefault="00302253" w:rsidP="0009324C">
      <w:pPr>
        <w:pStyle w:val="ListParagraph"/>
        <w:numPr>
          <w:ilvl w:val="0"/>
          <w:numId w:val="32"/>
        </w:numPr>
        <w:autoSpaceDE/>
        <w:autoSpaceDN/>
        <w:adjustRightInd/>
        <w:spacing w:after="0"/>
        <w:ind w:left="1440" w:hanging="630"/>
        <w:contextualSpacing/>
        <w:rPr>
          <w:color w:val="000000" w:themeColor="text1"/>
        </w:rPr>
      </w:pPr>
      <w:r w:rsidRPr="00524435">
        <w:rPr>
          <w:color w:val="000000" w:themeColor="text1"/>
        </w:rPr>
        <w:t xml:space="preserve">Case 12.545, </w:t>
      </w:r>
      <w:r w:rsidR="00991B24" w:rsidRPr="00524435">
        <w:rPr>
          <w:color w:val="000000" w:themeColor="text1"/>
        </w:rPr>
        <w:t>Report</w:t>
      </w:r>
      <w:r w:rsidRPr="00524435">
        <w:rPr>
          <w:color w:val="000000" w:themeColor="text1"/>
        </w:rPr>
        <w:t xml:space="preserve"> </w:t>
      </w:r>
      <w:r w:rsidR="0030565E" w:rsidRPr="00524435">
        <w:rPr>
          <w:color w:val="000000" w:themeColor="text1"/>
        </w:rPr>
        <w:t>on Merits</w:t>
      </w:r>
      <w:r w:rsidRPr="00524435">
        <w:rPr>
          <w:color w:val="000000" w:themeColor="text1"/>
        </w:rPr>
        <w:t xml:space="preserve"> Nº 26/20, </w:t>
      </w:r>
      <w:r w:rsidRPr="00524435">
        <w:rPr>
          <w:bCs/>
          <w:color w:val="000000" w:themeColor="text1"/>
        </w:rPr>
        <w:t xml:space="preserve">Isamu Carlos </w:t>
      </w:r>
      <w:proofErr w:type="spellStart"/>
      <w:r w:rsidRPr="00524435">
        <w:rPr>
          <w:bCs/>
          <w:color w:val="000000" w:themeColor="text1"/>
        </w:rPr>
        <w:t>Shibayama</w:t>
      </w:r>
      <w:proofErr w:type="spellEnd"/>
      <w:r w:rsidRPr="00524435">
        <w:rPr>
          <w:bCs/>
          <w:color w:val="000000" w:themeColor="text1"/>
        </w:rPr>
        <w:t xml:space="preserve">, Kenichi Javier </w:t>
      </w:r>
      <w:proofErr w:type="spellStart"/>
      <w:r w:rsidRPr="00524435">
        <w:rPr>
          <w:bCs/>
          <w:color w:val="000000" w:themeColor="text1"/>
        </w:rPr>
        <w:t>Shibayama</w:t>
      </w:r>
      <w:proofErr w:type="spellEnd"/>
      <w:r w:rsidRPr="00524435">
        <w:rPr>
          <w:bCs/>
          <w:color w:val="000000" w:themeColor="text1"/>
        </w:rPr>
        <w:t xml:space="preserve">, Takeshi Jorge </w:t>
      </w:r>
      <w:proofErr w:type="spellStart"/>
      <w:r w:rsidRPr="00524435">
        <w:rPr>
          <w:bCs/>
          <w:color w:val="000000" w:themeColor="text1"/>
        </w:rPr>
        <w:t>Shibayama</w:t>
      </w:r>
      <w:proofErr w:type="spellEnd"/>
      <w:r w:rsidRPr="00524435">
        <w:rPr>
          <w:bCs/>
          <w:color w:val="000000" w:themeColor="text1"/>
        </w:rPr>
        <w:t xml:space="preserve"> </w:t>
      </w:r>
      <w:r w:rsidRPr="00524435">
        <w:rPr>
          <w:color w:val="000000" w:themeColor="text1"/>
        </w:rPr>
        <w:t>(</w:t>
      </w:r>
      <w:r w:rsidRPr="00524435">
        <w:rPr>
          <w:bCs/>
          <w:color w:val="000000" w:themeColor="text1"/>
        </w:rPr>
        <w:t>United States</w:t>
      </w:r>
      <w:r w:rsidRPr="00524435">
        <w:rPr>
          <w:color w:val="000000" w:themeColor="text1"/>
        </w:rPr>
        <w:t>)</w:t>
      </w:r>
    </w:p>
    <w:p w14:paraId="2705A6F1" w14:textId="6425BDC8" w:rsidR="00302253" w:rsidRPr="00524435" w:rsidRDefault="00302253" w:rsidP="0009324C">
      <w:pPr>
        <w:pStyle w:val="ListParagraph"/>
        <w:numPr>
          <w:ilvl w:val="0"/>
          <w:numId w:val="32"/>
        </w:numPr>
        <w:autoSpaceDE/>
        <w:autoSpaceDN/>
        <w:adjustRightInd/>
        <w:spacing w:after="0"/>
        <w:ind w:left="1440" w:hanging="630"/>
        <w:contextualSpacing/>
        <w:rPr>
          <w:color w:val="000000" w:themeColor="text1"/>
        </w:rPr>
      </w:pPr>
      <w:r w:rsidRPr="00524435">
        <w:rPr>
          <w:color w:val="000000" w:themeColor="text1"/>
        </w:rPr>
        <w:t xml:space="preserve">Case 13.095, </w:t>
      </w:r>
      <w:r w:rsidR="00991B24" w:rsidRPr="00524435">
        <w:rPr>
          <w:color w:val="000000" w:themeColor="text1"/>
        </w:rPr>
        <w:t>Report</w:t>
      </w:r>
      <w:r w:rsidRPr="00524435">
        <w:rPr>
          <w:color w:val="000000" w:themeColor="text1"/>
        </w:rPr>
        <w:t xml:space="preserve"> Nº 401/20, T.B. y S.H. (Jamaica)</w:t>
      </w:r>
    </w:p>
    <w:p w14:paraId="1EE2416C" w14:textId="76FEDF11" w:rsidR="00302253" w:rsidRPr="00524435" w:rsidRDefault="00302253" w:rsidP="0009324C">
      <w:pPr>
        <w:pStyle w:val="ListParagraph"/>
        <w:numPr>
          <w:ilvl w:val="0"/>
          <w:numId w:val="32"/>
        </w:numPr>
        <w:autoSpaceDE/>
        <w:autoSpaceDN/>
        <w:adjustRightInd/>
        <w:spacing w:after="0"/>
        <w:ind w:left="1440" w:hanging="630"/>
        <w:contextualSpacing/>
        <w:rPr>
          <w:bCs/>
          <w:color w:val="000000" w:themeColor="text1"/>
        </w:rPr>
      </w:pPr>
      <w:r w:rsidRPr="00524435">
        <w:rPr>
          <w:color w:val="000000" w:themeColor="text1"/>
        </w:rPr>
        <w:t xml:space="preserve">Case 13.637, </w:t>
      </w:r>
      <w:r w:rsidR="00991B24" w:rsidRPr="00524435">
        <w:rPr>
          <w:color w:val="000000" w:themeColor="text1"/>
        </w:rPr>
        <w:t>Report</w:t>
      </w:r>
      <w:r w:rsidRPr="00524435">
        <w:rPr>
          <w:color w:val="000000" w:themeColor="text1"/>
        </w:rPr>
        <w:t xml:space="preserve"> Nº 400/20, </w:t>
      </w:r>
      <w:r w:rsidRPr="00524435">
        <w:rPr>
          <w:rFonts w:cs="Tahoma"/>
          <w:bCs/>
          <w:color w:val="000000" w:themeColor="text1"/>
          <w:shd w:val="clear" w:color="auto" w:fill="FFFFFF" w:themeFill="background1"/>
        </w:rPr>
        <w:t xml:space="preserve">Gareth Henry </w:t>
      </w:r>
      <w:r w:rsidR="0030565E" w:rsidRPr="00524435">
        <w:rPr>
          <w:rFonts w:cs="Tahoma"/>
          <w:bCs/>
          <w:color w:val="000000" w:themeColor="text1"/>
          <w:shd w:val="clear" w:color="auto" w:fill="FFFFFF" w:themeFill="background1"/>
        </w:rPr>
        <w:t>and</w:t>
      </w:r>
      <w:r w:rsidRPr="00524435">
        <w:rPr>
          <w:rFonts w:cs="Tahoma"/>
          <w:bCs/>
          <w:color w:val="000000" w:themeColor="text1"/>
          <w:shd w:val="clear" w:color="auto" w:fill="FFFFFF" w:themeFill="background1"/>
        </w:rPr>
        <w:t xml:space="preserve"> Simone Carline Edwards</w:t>
      </w:r>
      <w:r w:rsidRPr="00524435">
        <w:rPr>
          <w:color w:val="000000" w:themeColor="text1"/>
        </w:rPr>
        <w:t xml:space="preserve"> (Jamaica)</w:t>
      </w:r>
    </w:p>
    <w:p w14:paraId="68F485DA" w14:textId="77777777" w:rsidR="00302253" w:rsidRPr="00524435" w:rsidRDefault="00302253" w:rsidP="00AF62AE">
      <w:pPr>
        <w:spacing w:after="0" w:line="240" w:lineRule="auto"/>
        <w:jc w:val="both"/>
        <w:rPr>
          <w:rFonts w:ascii="Cambria" w:hAnsi="Cambria" w:cs="Cambria"/>
          <w:color w:val="000000" w:themeColor="text1"/>
          <w:sz w:val="20"/>
          <w:szCs w:val="20"/>
        </w:rPr>
      </w:pPr>
    </w:p>
    <w:p w14:paraId="07BFF030" w14:textId="77777777" w:rsidR="00302253" w:rsidRPr="00524435" w:rsidRDefault="00302253" w:rsidP="006E5C42">
      <w:pPr>
        <w:pStyle w:val="ListParagraph"/>
      </w:pPr>
      <w:r w:rsidRPr="00524435">
        <w:t xml:space="preserve">In addition, the Commission reports the publication of four merits reports during 2021, which will be followed up on in the 2022 Annual Report. These are: </w:t>
      </w:r>
    </w:p>
    <w:p w14:paraId="402D9AC8" w14:textId="0D035025" w:rsidR="00302253" w:rsidRPr="007A5442" w:rsidRDefault="00302253" w:rsidP="0009324C">
      <w:pPr>
        <w:numPr>
          <w:ilvl w:val="0"/>
          <w:numId w:val="30"/>
        </w:numPr>
        <w:spacing w:after="0" w:line="240" w:lineRule="auto"/>
        <w:ind w:firstLine="0"/>
        <w:jc w:val="both"/>
        <w:rPr>
          <w:rFonts w:ascii="Cambria" w:hAnsi="Cambria" w:cs="Calibri"/>
          <w:color w:val="000000" w:themeColor="text1"/>
          <w:sz w:val="20"/>
          <w:szCs w:val="20"/>
          <w:lang w:val="pt-PT"/>
        </w:rPr>
      </w:pPr>
      <w:r w:rsidRPr="007A5442">
        <w:rPr>
          <w:rFonts w:ascii="Cambria" w:hAnsi="Cambria" w:cs="Calibri"/>
          <w:color w:val="000000" w:themeColor="text1"/>
          <w:sz w:val="20"/>
          <w:szCs w:val="20"/>
          <w:lang w:val="pt-PT"/>
        </w:rPr>
        <w:t xml:space="preserve">Case 12.681, </w:t>
      </w:r>
      <w:r w:rsidR="00991B24" w:rsidRPr="007A5442">
        <w:rPr>
          <w:rFonts w:ascii="Cambria" w:hAnsi="Cambria" w:cs="Calibri"/>
          <w:color w:val="000000" w:themeColor="text1"/>
          <w:sz w:val="20"/>
          <w:szCs w:val="20"/>
          <w:lang w:val="pt-PT"/>
        </w:rPr>
        <w:t>Report</w:t>
      </w:r>
      <w:r w:rsidRPr="007A5442">
        <w:rPr>
          <w:rFonts w:ascii="Cambria" w:hAnsi="Cambria" w:cs="Calibri"/>
          <w:color w:val="000000" w:themeColor="text1"/>
          <w:sz w:val="20"/>
          <w:szCs w:val="20"/>
          <w:lang w:val="pt-PT"/>
        </w:rPr>
        <w:t xml:space="preserve"> </w:t>
      </w:r>
      <w:r w:rsidRPr="007A5442">
        <w:rPr>
          <w:rFonts w:ascii="Cambria" w:eastAsia="MS Mincho" w:hAnsi="Cambria" w:cs="Calibri"/>
          <w:color w:val="000000" w:themeColor="text1"/>
          <w:sz w:val="20"/>
          <w:szCs w:val="20"/>
          <w:lang w:val="pt-PT" w:eastAsia="es-ES_tradnl"/>
        </w:rPr>
        <w:t>Nº 268/21, Marcos Alejandro Martín (Argentina)</w:t>
      </w:r>
    </w:p>
    <w:p w14:paraId="3097C88B" w14:textId="7FB41EC8" w:rsidR="00302253" w:rsidRPr="00524435" w:rsidRDefault="00302253" w:rsidP="0009324C">
      <w:pPr>
        <w:numPr>
          <w:ilvl w:val="0"/>
          <w:numId w:val="30"/>
        </w:numPr>
        <w:spacing w:after="0" w:line="240" w:lineRule="auto"/>
        <w:ind w:firstLine="0"/>
        <w:jc w:val="both"/>
        <w:rPr>
          <w:rFonts w:ascii="Cambria" w:hAnsi="Cambria" w:cs="Calibri"/>
          <w:color w:val="000000" w:themeColor="text1"/>
          <w:sz w:val="20"/>
          <w:szCs w:val="20"/>
        </w:rPr>
      </w:pPr>
      <w:r w:rsidRPr="00524435">
        <w:rPr>
          <w:rFonts w:ascii="Cambria" w:hAnsi="Cambria" w:cs="Calibri"/>
          <w:color w:val="000000" w:themeColor="text1"/>
          <w:sz w:val="20"/>
          <w:szCs w:val="20"/>
        </w:rPr>
        <w:t xml:space="preserve">Case 13.639, </w:t>
      </w:r>
      <w:r w:rsidR="00991B24" w:rsidRPr="00524435">
        <w:rPr>
          <w:rFonts w:ascii="Cambria" w:hAnsi="Cambria" w:cs="Calibri"/>
          <w:color w:val="000000" w:themeColor="text1"/>
          <w:sz w:val="20"/>
          <w:szCs w:val="20"/>
        </w:rPr>
        <w:t>Report</w:t>
      </w:r>
      <w:r w:rsidRPr="00524435">
        <w:rPr>
          <w:rFonts w:ascii="Cambria" w:hAnsi="Cambria" w:cs="Calibri"/>
          <w:color w:val="000000" w:themeColor="text1"/>
          <w:sz w:val="20"/>
          <w:szCs w:val="20"/>
        </w:rPr>
        <w:t xml:space="preserve"> </w:t>
      </w:r>
      <w:r w:rsidRPr="00524435">
        <w:rPr>
          <w:rFonts w:ascii="Cambria" w:eastAsia="MS Mincho" w:hAnsi="Cambria" w:cs="Calibri"/>
          <w:color w:val="000000" w:themeColor="text1"/>
          <w:sz w:val="20"/>
          <w:szCs w:val="20"/>
          <w:lang w:eastAsia="es-ES_tradnl"/>
        </w:rPr>
        <w:t xml:space="preserve">Nº 297/21, </w:t>
      </w:r>
      <w:proofErr w:type="spellStart"/>
      <w:r w:rsidRPr="00524435">
        <w:rPr>
          <w:rFonts w:ascii="Cambria" w:eastAsia="MS Mincho" w:hAnsi="Cambria" w:cs="Calibri"/>
          <w:color w:val="000000" w:themeColor="text1"/>
          <w:sz w:val="20"/>
          <w:szCs w:val="20"/>
          <w:lang w:eastAsia="es-ES_tradnl"/>
        </w:rPr>
        <w:t>Yoani</w:t>
      </w:r>
      <w:proofErr w:type="spellEnd"/>
      <w:r w:rsidRPr="00524435">
        <w:rPr>
          <w:rFonts w:ascii="Cambria" w:eastAsia="MS Mincho" w:hAnsi="Cambria" w:cs="Calibri"/>
          <w:color w:val="000000" w:themeColor="text1"/>
          <w:sz w:val="20"/>
          <w:szCs w:val="20"/>
          <w:lang w:eastAsia="es-ES_tradnl"/>
        </w:rPr>
        <w:t xml:space="preserve"> María Sánchez Cordero (Cuba)</w:t>
      </w:r>
    </w:p>
    <w:p w14:paraId="49F546D3" w14:textId="79DDFEAB" w:rsidR="00302253" w:rsidRPr="00524435" w:rsidRDefault="00302253" w:rsidP="0009324C">
      <w:pPr>
        <w:numPr>
          <w:ilvl w:val="0"/>
          <w:numId w:val="30"/>
        </w:numPr>
        <w:spacing w:after="0" w:line="240" w:lineRule="auto"/>
        <w:ind w:firstLine="0"/>
        <w:jc w:val="both"/>
        <w:rPr>
          <w:rFonts w:ascii="Cambria" w:hAnsi="Cambria" w:cs="Calibri"/>
          <w:color w:val="000000" w:themeColor="text1"/>
          <w:sz w:val="20"/>
          <w:szCs w:val="20"/>
        </w:rPr>
      </w:pPr>
      <w:r w:rsidRPr="00524435">
        <w:rPr>
          <w:rFonts w:ascii="Cambria" w:eastAsia="MS Mincho" w:hAnsi="Cambria" w:cs="Calibri"/>
          <w:color w:val="000000" w:themeColor="text1"/>
          <w:sz w:val="20"/>
          <w:szCs w:val="20"/>
          <w:lang w:eastAsia="es-ES_tradnl"/>
        </w:rPr>
        <w:t xml:space="preserve">Case 12.931, </w:t>
      </w:r>
      <w:r w:rsidR="00991B24" w:rsidRPr="00524435">
        <w:rPr>
          <w:rFonts w:ascii="Cambria" w:eastAsia="MS Mincho" w:hAnsi="Cambria" w:cs="Calibri"/>
          <w:color w:val="000000" w:themeColor="text1"/>
          <w:sz w:val="20"/>
          <w:szCs w:val="20"/>
          <w:lang w:eastAsia="es-ES_tradnl"/>
        </w:rPr>
        <w:t>Report</w:t>
      </w:r>
      <w:r w:rsidRPr="00524435">
        <w:rPr>
          <w:rFonts w:ascii="Cambria" w:eastAsia="MS Mincho" w:hAnsi="Cambria" w:cs="Calibri"/>
          <w:color w:val="000000" w:themeColor="text1"/>
          <w:sz w:val="20"/>
          <w:szCs w:val="20"/>
          <w:lang w:eastAsia="es-ES_tradnl"/>
        </w:rPr>
        <w:t xml:space="preserve"> Nº 328/21, </w:t>
      </w:r>
      <w:proofErr w:type="spellStart"/>
      <w:r w:rsidRPr="00524435">
        <w:rPr>
          <w:rFonts w:ascii="Cambria" w:eastAsia="MS Mincho" w:hAnsi="Cambria" w:cs="Calibri"/>
          <w:color w:val="000000" w:themeColor="text1"/>
          <w:sz w:val="20"/>
          <w:szCs w:val="20"/>
          <w:lang w:eastAsia="es-ES_tradnl"/>
        </w:rPr>
        <w:t>Daría</w:t>
      </w:r>
      <w:proofErr w:type="spellEnd"/>
      <w:r w:rsidRPr="00524435">
        <w:rPr>
          <w:rFonts w:ascii="Cambria" w:eastAsia="MS Mincho" w:hAnsi="Cambria" w:cs="Calibri"/>
          <w:color w:val="000000" w:themeColor="text1"/>
          <w:sz w:val="20"/>
          <w:szCs w:val="20"/>
          <w:lang w:eastAsia="es-ES_tradnl"/>
        </w:rPr>
        <w:t xml:space="preserve"> Olinda </w:t>
      </w:r>
      <w:proofErr w:type="spellStart"/>
      <w:r w:rsidRPr="00524435">
        <w:rPr>
          <w:rFonts w:ascii="Cambria" w:eastAsia="MS Mincho" w:hAnsi="Cambria" w:cs="Calibri"/>
          <w:color w:val="000000" w:themeColor="text1"/>
          <w:sz w:val="20"/>
          <w:szCs w:val="20"/>
          <w:lang w:eastAsia="es-ES_tradnl"/>
        </w:rPr>
        <w:t>Puertocarrero</w:t>
      </w:r>
      <w:proofErr w:type="spellEnd"/>
      <w:r w:rsidRPr="00524435">
        <w:rPr>
          <w:rFonts w:ascii="Cambria" w:eastAsia="MS Mincho" w:hAnsi="Cambria" w:cs="Calibri"/>
          <w:color w:val="000000" w:themeColor="text1"/>
          <w:sz w:val="20"/>
          <w:szCs w:val="20"/>
          <w:lang w:eastAsia="es-ES_tradnl"/>
        </w:rPr>
        <w:t xml:space="preserve"> Hurtado (Ecuador)</w:t>
      </w:r>
    </w:p>
    <w:p w14:paraId="61AAEDAF" w14:textId="4794886B" w:rsidR="00302253" w:rsidRPr="00524435" w:rsidRDefault="00302253" w:rsidP="0009324C">
      <w:pPr>
        <w:numPr>
          <w:ilvl w:val="0"/>
          <w:numId w:val="30"/>
        </w:numPr>
        <w:spacing w:after="0" w:line="240" w:lineRule="auto"/>
        <w:ind w:firstLine="0"/>
        <w:jc w:val="both"/>
        <w:rPr>
          <w:rFonts w:ascii="Cambria" w:hAnsi="Cambria" w:cs="Calibri"/>
          <w:color w:val="000000" w:themeColor="text1"/>
          <w:sz w:val="20"/>
          <w:szCs w:val="20"/>
        </w:rPr>
      </w:pPr>
      <w:r w:rsidRPr="00524435">
        <w:rPr>
          <w:rFonts w:ascii="Cambria" w:eastAsia="MS Mincho" w:hAnsi="Cambria" w:cs="Calibri"/>
          <w:color w:val="000000" w:themeColor="text1"/>
          <w:sz w:val="20"/>
          <w:szCs w:val="20"/>
          <w:lang w:eastAsia="es-ES_tradnl"/>
        </w:rPr>
        <w:t xml:space="preserve">Case 12.871, </w:t>
      </w:r>
      <w:r w:rsidR="00991B24" w:rsidRPr="00524435">
        <w:rPr>
          <w:rFonts w:ascii="Cambria" w:eastAsia="MS Mincho" w:hAnsi="Cambria" w:cs="Calibri"/>
          <w:color w:val="000000" w:themeColor="text1"/>
          <w:sz w:val="20"/>
          <w:szCs w:val="20"/>
          <w:lang w:eastAsia="es-ES_tradnl"/>
        </w:rPr>
        <w:t>Report</w:t>
      </w:r>
      <w:r w:rsidRPr="00524435">
        <w:rPr>
          <w:rFonts w:ascii="Cambria" w:eastAsia="MS Mincho" w:hAnsi="Cambria" w:cs="Calibri"/>
          <w:color w:val="000000" w:themeColor="text1"/>
          <w:sz w:val="20"/>
          <w:szCs w:val="20"/>
          <w:lang w:eastAsia="es-ES_tradnl"/>
        </w:rPr>
        <w:t xml:space="preserve"> Nº 333/21, Virgilio Maldonado Rodríguez </w:t>
      </w:r>
      <w:r w:rsidRPr="00524435">
        <w:rPr>
          <w:rFonts w:ascii="Cambria" w:hAnsi="Cambria" w:cs="Calibri"/>
          <w:color w:val="000000" w:themeColor="text1"/>
          <w:sz w:val="20"/>
          <w:szCs w:val="20"/>
        </w:rPr>
        <w:t>(</w:t>
      </w:r>
      <w:r w:rsidRPr="00524435">
        <w:rPr>
          <w:rFonts w:ascii="Cambria" w:hAnsi="Cambria" w:cs="Calibri"/>
          <w:bCs/>
          <w:color w:val="000000" w:themeColor="text1"/>
          <w:sz w:val="20"/>
          <w:szCs w:val="20"/>
        </w:rPr>
        <w:t>United States</w:t>
      </w:r>
      <w:r w:rsidRPr="00524435">
        <w:rPr>
          <w:rFonts w:ascii="Cambria" w:hAnsi="Cambria" w:cs="Calibri"/>
          <w:color w:val="000000" w:themeColor="text1"/>
          <w:sz w:val="20"/>
          <w:szCs w:val="20"/>
        </w:rPr>
        <w:t>)</w:t>
      </w:r>
    </w:p>
    <w:p w14:paraId="756D3507" w14:textId="77777777" w:rsidR="00302253" w:rsidRPr="00524435" w:rsidRDefault="00302253" w:rsidP="00AF62AE">
      <w:pPr>
        <w:spacing w:after="0" w:line="240" w:lineRule="auto"/>
        <w:jc w:val="both"/>
        <w:rPr>
          <w:rFonts w:ascii="Cambria" w:hAnsi="Cambria" w:cs="Cambria"/>
          <w:i/>
          <w:iCs/>
          <w:color w:val="000000" w:themeColor="text1"/>
        </w:rPr>
      </w:pPr>
    </w:p>
    <w:p w14:paraId="7998414E" w14:textId="77777777" w:rsidR="00302253" w:rsidRPr="00524435" w:rsidRDefault="00302253" w:rsidP="006E5C42">
      <w:pPr>
        <w:pStyle w:val="ListParagraph"/>
      </w:pPr>
      <w:r w:rsidRPr="00524435">
        <w:t>The IACHR thanks the parties for the information presented regarding the follow</w:t>
      </w:r>
      <w:r w:rsidRPr="00524435">
        <w:noBreakHyphen/>
        <w:t xml:space="preserve">up of recommendations in 2021. The Commission will continue to improve its work </w:t>
      </w:r>
      <w:proofErr w:type="gramStart"/>
      <w:r w:rsidRPr="00524435">
        <w:t>in order to</w:t>
      </w:r>
      <w:proofErr w:type="gramEnd"/>
      <w:r w:rsidRPr="00524435">
        <w:t xml:space="preserve"> enhance the presentation of results, progress and challenges related to compliance with the recommendations issued in merits reports (Article 51).  </w:t>
      </w:r>
    </w:p>
    <w:p w14:paraId="746DCF57" w14:textId="77777777" w:rsidR="001D3A5D" w:rsidRPr="00524435" w:rsidRDefault="001D3A5D" w:rsidP="007425A1">
      <w:pPr>
        <w:pStyle w:val="Heading1"/>
      </w:pPr>
      <w:r w:rsidRPr="00524435">
        <w:t>Cases before the Inter-American Court</w:t>
      </w:r>
    </w:p>
    <w:p w14:paraId="33B826DB" w14:textId="77777777" w:rsidR="001D3A5D" w:rsidRPr="00524435" w:rsidRDefault="001D3A5D" w:rsidP="0003552D">
      <w:pPr>
        <w:pStyle w:val="ListParagraph"/>
      </w:pPr>
      <w:r w:rsidRPr="00524435">
        <w:t xml:space="preserve">During 2021, the Commission continued to exercise its conventional and statutory mandates before the Inter-American Court in the following areas: </w:t>
      </w:r>
      <w:proofErr w:type="spellStart"/>
      <w:r w:rsidRPr="00524435">
        <w:t>i</w:t>
      </w:r>
      <w:proofErr w:type="spellEnd"/>
      <w:r w:rsidRPr="00524435">
        <w:t>) submission of contentious cases; ii) requests for advisory opinions; iii) appearance at and participation in public and private hearings; and v) submission of written observations on State reports in cases subject to supervision of compliance with judgments. Following is a description of the activities and outcomes obtained in 2021.</w:t>
      </w:r>
    </w:p>
    <w:p w14:paraId="3AB768EA" w14:textId="77777777" w:rsidR="001D3A5D" w:rsidRPr="00524435" w:rsidRDefault="001D3A5D" w:rsidP="001A680E">
      <w:pPr>
        <w:pStyle w:val="Heading3"/>
        <w:numPr>
          <w:ilvl w:val="0"/>
          <w:numId w:val="37"/>
        </w:numPr>
        <w:ind w:left="1440" w:hanging="720"/>
      </w:pPr>
      <w:r w:rsidRPr="00524435">
        <w:t>Submission of contentious cases</w:t>
      </w:r>
    </w:p>
    <w:p w14:paraId="2940AC2E" w14:textId="6F419CE7" w:rsidR="001D3A5D" w:rsidRPr="00524435" w:rsidRDefault="001D3A5D" w:rsidP="0003552D">
      <w:pPr>
        <w:pStyle w:val="ListParagraph"/>
      </w:pPr>
      <w:r w:rsidRPr="00524435">
        <w:t xml:space="preserve">Pursuant to Article 51 of the American Convention and Article 45 of its Rules of Procedure, during 2021, the Commission submitted </w:t>
      </w:r>
      <w:r w:rsidR="0030565E" w:rsidRPr="00524435">
        <w:t>40</w:t>
      </w:r>
      <w:r w:rsidRPr="00524435">
        <w:t xml:space="preserve"> cases to the jurisdiction of the Inter-American Court</w:t>
      </w:r>
      <w:r w:rsidRPr="00524435">
        <w:rPr>
          <w:color w:val="000000" w:themeColor="text1"/>
        </w:rPr>
        <w:t xml:space="preserve">. </w:t>
      </w:r>
      <w:r w:rsidRPr="00524435">
        <w:t xml:space="preserve"> Through the </w:t>
      </w:r>
      <w:r w:rsidRPr="00524435">
        <w:lastRenderedPageBreak/>
        <w:t>cases submitted to its jurisdiction, the Court will have an opportunity to pronounce on the responsibility of the States and order the corresponding reparations in favor of the victims.</w:t>
      </w:r>
    </w:p>
    <w:p w14:paraId="311A2C04" w14:textId="77777777" w:rsidR="001D3A5D" w:rsidRPr="00524435" w:rsidRDefault="001D3A5D" w:rsidP="0003552D">
      <w:pPr>
        <w:pStyle w:val="ListParagraph"/>
      </w:pPr>
      <w:r w:rsidRPr="00524435">
        <w:t xml:space="preserve">The Commission decided to send to the jurisdiction of the Court those cases in which it considered that the requirements of Article 45 of the Rules of Procedure had been met with respect to the need to obtain justice, but in which the requirements established in Article 46 of the Rules of Procedure for granting an extension to continue compliance with such recommendations were not given. </w:t>
      </w:r>
    </w:p>
    <w:p w14:paraId="54175DFC" w14:textId="40F97BAB" w:rsidR="001D3A5D" w:rsidRPr="00524435" w:rsidRDefault="001D3A5D" w:rsidP="0003552D">
      <w:pPr>
        <w:pStyle w:val="ListParagraph"/>
      </w:pPr>
      <w:r w:rsidRPr="00524435">
        <w:t>In the proceedings before the Inter-American Court, the Commission continues to participate in all cases submitted in accordance with the provisions of the American Convention and the Rules of Procedure of the Court. Among other actions, the Commission presents its observations in relation to possible preliminary objections, offers expert evidence when inter-American public order is significantly affected, and presents its oral and written observations in relation to the arguments of the parties. It also participates in public hearings in those cases in which the Court convenes them.</w:t>
      </w:r>
    </w:p>
    <w:p w14:paraId="1F7D5FCB" w14:textId="77777777" w:rsidR="001D3A5D" w:rsidRPr="00524435" w:rsidRDefault="001D3A5D" w:rsidP="0003552D">
      <w:pPr>
        <w:pStyle w:val="ListParagraph"/>
      </w:pPr>
      <w:r w:rsidRPr="00524435">
        <w:t>The following is a description of the cases that were submitted to the Inter-American Court, including a breakdown by date of submission and by country.</w:t>
      </w:r>
    </w:p>
    <w:p w14:paraId="27D0C105" w14:textId="77777777" w:rsidR="001D3A5D" w:rsidRPr="00524435" w:rsidRDefault="001D3A5D" w:rsidP="001D3A5D">
      <w:pPr>
        <w:spacing w:after="0" w:line="240" w:lineRule="auto"/>
        <w:jc w:val="both"/>
        <w:rPr>
          <w:rFonts w:ascii="Cambria" w:hAnsi="Cambria" w:cs="Calibri"/>
          <w:noProof/>
          <w:sz w:val="20"/>
          <w:szCs w:val="20"/>
        </w:rPr>
      </w:pPr>
    </w:p>
    <w:tbl>
      <w:tblPr>
        <w:tblStyle w:val="MediumShading1-Accent11"/>
        <w:tblW w:w="9520" w:type="dxa"/>
        <w:tblLook w:val="04A0" w:firstRow="1" w:lastRow="0" w:firstColumn="1" w:lastColumn="0" w:noHBand="0" w:noVBand="1"/>
      </w:tblPr>
      <w:tblGrid>
        <w:gridCol w:w="2020"/>
        <w:gridCol w:w="3340"/>
        <w:gridCol w:w="1031"/>
        <w:gridCol w:w="3129"/>
      </w:tblGrid>
      <w:tr w:rsidR="00943D31" w:rsidRPr="00524435" w14:paraId="0F7918D7" w14:textId="77777777" w:rsidTr="000B469B">
        <w:trPr>
          <w:cnfStyle w:val="100000000000" w:firstRow="1" w:lastRow="0" w:firstColumn="0" w:lastColumn="0" w:oddVBand="0" w:evenVBand="0" w:oddHBand="0" w:evenHBand="0" w:firstRowFirstColumn="0" w:firstRowLastColumn="0" w:lastRowFirstColumn="0" w:lastRowLastColumn="0"/>
          <w:trHeight w:val="405"/>
        </w:trPr>
        <w:tc>
          <w:tcPr>
            <w:tcW w:w="2020" w:type="dxa"/>
            <w:hideMark/>
          </w:tcPr>
          <w:p w14:paraId="58BD25F5" w14:textId="6FA6CA31" w:rsidR="00943D31" w:rsidRPr="00524435" w:rsidRDefault="00F275B0" w:rsidP="000B469B">
            <w:pPr>
              <w:jc w:val="center"/>
              <w:rPr>
                <w:rFonts w:ascii="Cambria" w:eastAsia="Times New Roman" w:hAnsi="Cambria" w:cs="Calibri"/>
                <w:b/>
                <w:bCs/>
                <w:color w:val="000000"/>
              </w:rPr>
            </w:pPr>
            <w:r w:rsidRPr="00524435">
              <w:rPr>
                <w:rFonts w:ascii="Cambria" w:eastAsia="Times New Roman" w:hAnsi="Cambria" w:cs="Calibri"/>
                <w:b/>
                <w:bCs/>
                <w:color w:val="000000"/>
              </w:rPr>
              <w:t>Case No.</w:t>
            </w:r>
          </w:p>
        </w:tc>
        <w:tc>
          <w:tcPr>
            <w:tcW w:w="3340" w:type="dxa"/>
            <w:hideMark/>
          </w:tcPr>
          <w:p w14:paraId="6B660955" w14:textId="41A13BDA" w:rsidR="00943D31" w:rsidRPr="00524435" w:rsidRDefault="00F275B0" w:rsidP="000B469B">
            <w:pPr>
              <w:jc w:val="center"/>
              <w:rPr>
                <w:rFonts w:ascii="Cambria" w:eastAsia="Times New Roman" w:hAnsi="Cambria" w:cs="Calibri"/>
                <w:b/>
                <w:bCs/>
                <w:color w:val="000000"/>
              </w:rPr>
            </w:pPr>
            <w:r w:rsidRPr="00524435">
              <w:rPr>
                <w:rFonts w:ascii="Cambria" w:eastAsia="Times New Roman" w:hAnsi="Cambria" w:cs="Calibri"/>
                <w:b/>
                <w:bCs/>
                <w:color w:val="000000"/>
              </w:rPr>
              <w:t>Name</w:t>
            </w:r>
          </w:p>
        </w:tc>
        <w:tc>
          <w:tcPr>
            <w:tcW w:w="940" w:type="dxa"/>
            <w:hideMark/>
          </w:tcPr>
          <w:p w14:paraId="44810035" w14:textId="1D7D22FF" w:rsidR="00943D31" w:rsidRPr="00524435" w:rsidRDefault="00F275B0" w:rsidP="000B469B">
            <w:pPr>
              <w:jc w:val="center"/>
              <w:rPr>
                <w:rFonts w:ascii="Cambria" w:eastAsia="Times New Roman" w:hAnsi="Cambria" w:cs="Calibri"/>
                <w:b/>
                <w:bCs/>
                <w:color w:val="000000"/>
              </w:rPr>
            </w:pPr>
            <w:r w:rsidRPr="00524435">
              <w:rPr>
                <w:rFonts w:ascii="Cambria" w:eastAsia="Times New Roman" w:hAnsi="Cambria" w:cs="Calibri"/>
                <w:b/>
                <w:bCs/>
                <w:color w:val="000000"/>
              </w:rPr>
              <w:t>Country</w:t>
            </w:r>
          </w:p>
        </w:tc>
        <w:tc>
          <w:tcPr>
            <w:tcW w:w="3220" w:type="dxa"/>
            <w:hideMark/>
          </w:tcPr>
          <w:p w14:paraId="23F1D4B0" w14:textId="6B9F2B0E" w:rsidR="00943D31" w:rsidRPr="00524435" w:rsidRDefault="0048555E" w:rsidP="000B469B">
            <w:pPr>
              <w:jc w:val="center"/>
              <w:rPr>
                <w:rFonts w:ascii="Cambria" w:eastAsia="Times New Roman" w:hAnsi="Cambria" w:cs="Calibri"/>
                <w:b/>
                <w:bCs/>
                <w:color w:val="000000"/>
              </w:rPr>
            </w:pPr>
            <w:r w:rsidRPr="00524435">
              <w:rPr>
                <w:rFonts w:ascii="Cambria" w:eastAsia="Times New Roman" w:hAnsi="Cambria" w:cs="Calibri"/>
                <w:b/>
                <w:bCs/>
                <w:color w:val="000000"/>
              </w:rPr>
              <w:t>Filed</w:t>
            </w:r>
          </w:p>
        </w:tc>
      </w:tr>
      <w:tr w:rsidR="00943D31" w:rsidRPr="00524435" w14:paraId="514B715C" w14:textId="77777777" w:rsidTr="000B469B">
        <w:trPr>
          <w:cnfStyle w:val="000000100000" w:firstRow="0" w:lastRow="0" w:firstColumn="0" w:lastColumn="0" w:oddVBand="0" w:evenVBand="0" w:oddHBand="1" w:evenHBand="0" w:firstRowFirstColumn="0" w:firstRowLastColumn="0" w:lastRowFirstColumn="0" w:lastRowLastColumn="0"/>
          <w:trHeight w:val="255"/>
        </w:trPr>
        <w:tc>
          <w:tcPr>
            <w:tcW w:w="2020" w:type="dxa"/>
            <w:noWrap/>
            <w:hideMark/>
          </w:tcPr>
          <w:p w14:paraId="33BAACB9"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11.691</w:t>
            </w:r>
          </w:p>
        </w:tc>
        <w:tc>
          <w:tcPr>
            <w:tcW w:w="3340" w:type="dxa"/>
            <w:noWrap/>
            <w:hideMark/>
          </w:tcPr>
          <w:p w14:paraId="1B810D07" w14:textId="629416DF" w:rsidR="00943D31" w:rsidRPr="00524435" w:rsidRDefault="00943D31" w:rsidP="000B469B">
            <w:pPr>
              <w:jc w:val="center"/>
              <w:rPr>
                <w:rFonts w:ascii="Cambria" w:eastAsia="Times New Roman" w:hAnsi="Cambria" w:cs="Segoe UI"/>
                <w:sz w:val="18"/>
                <w:szCs w:val="18"/>
              </w:rPr>
            </w:pPr>
            <w:proofErr w:type="spellStart"/>
            <w:r w:rsidRPr="00524435">
              <w:rPr>
                <w:rFonts w:ascii="Cambria" w:eastAsia="Times New Roman" w:hAnsi="Cambria" w:cs="Segoe UI"/>
                <w:sz w:val="18"/>
                <w:szCs w:val="18"/>
              </w:rPr>
              <w:t>Raghda</w:t>
            </w:r>
            <w:proofErr w:type="spellEnd"/>
            <w:r w:rsidRPr="00524435">
              <w:rPr>
                <w:rFonts w:ascii="Cambria" w:eastAsia="Times New Roman" w:hAnsi="Cambria" w:cs="Segoe UI"/>
                <w:sz w:val="18"/>
                <w:szCs w:val="18"/>
              </w:rPr>
              <w:t xml:space="preserve"> </w:t>
            </w:r>
            <w:proofErr w:type="spellStart"/>
            <w:r w:rsidRPr="00524435">
              <w:rPr>
                <w:rFonts w:ascii="Cambria" w:eastAsia="Times New Roman" w:hAnsi="Cambria" w:cs="Segoe UI"/>
                <w:sz w:val="18"/>
                <w:szCs w:val="18"/>
              </w:rPr>
              <w:t>Habbal</w:t>
            </w:r>
            <w:proofErr w:type="spellEnd"/>
            <w:r w:rsidRPr="00524435">
              <w:rPr>
                <w:rFonts w:ascii="Cambria" w:eastAsia="Times New Roman" w:hAnsi="Cambria" w:cs="Segoe UI"/>
                <w:sz w:val="18"/>
                <w:szCs w:val="18"/>
              </w:rPr>
              <w:t xml:space="preserve"> </w:t>
            </w:r>
            <w:r w:rsidR="00984FC2" w:rsidRPr="00524435">
              <w:rPr>
                <w:rFonts w:ascii="Cambria" w:eastAsia="Times New Roman" w:hAnsi="Cambria" w:cs="Segoe UI"/>
                <w:sz w:val="18"/>
                <w:szCs w:val="18"/>
              </w:rPr>
              <w:t>and sons</w:t>
            </w:r>
          </w:p>
        </w:tc>
        <w:tc>
          <w:tcPr>
            <w:tcW w:w="940" w:type="dxa"/>
            <w:noWrap/>
            <w:hideMark/>
          </w:tcPr>
          <w:p w14:paraId="40DD7486"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ARG</w:t>
            </w:r>
          </w:p>
        </w:tc>
        <w:tc>
          <w:tcPr>
            <w:tcW w:w="3220" w:type="dxa"/>
            <w:hideMark/>
          </w:tcPr>
          <w:p w14:paraId="0ACC0E40"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Wednesday, February 3, 2021</w:t>
            </w:r>
          </w:p>
        </w:tc>
      </w:tr>
      <w:tr w:rsidR="00943D31" w:rsidRPr="00524435" w14:paraId="3C471E6E" w14:textId="77777777" w:rsidTr="000B469B">
        <w:trPr>
          <w:cnfStyle w:val="000000010000" w:firstRow="0" w:lastRow="0" w:firstColumn="0" w:lastColumn="0" w:oddVBand="0" w:evenVBand="0" w:oddHBand="0" w:evenHBand="1" w:firstRowFirstColumn="0" w:firstRowLastColumn="0" w:lastRowFirstColumn="0" w:lastRowLastColumn="0"/>
          <w:trHeight w:val="255"/>
        </w:trPr>
        <w:tc>
          <w:tcPr>
            <w:tcW w:w="2020" w:type="dxa"/>
            <w:noWrap/>
            <w:hideMark/>
          </w:tcPr>
          <w:p w14:paraId="5648B488"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12.727</w:t>
            </w:r>
          </w:p>
        </w:tc>
        <w:tc>
          <w:tcPr>
            <w:tcW w:w="3340" w:type="dxa"/>
            <w:noWrap/>
            <w:hideMark/>
          </w:tcPr>
          <w:p w14:paraId="3E42A4A4" w14:textId="7D3A81C8"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 xml:space="preserve">Antonio Tavares Pereira </w:t>
            </w:r>
            <w:r w:rsidR="0030565E" w:rsidRPr="00524435">
              <w:rPr>
                <w:rFonts w:ascii="Cambria" w:eastAsia="Times New Roman" w:hAnsi="Cambria" w:cs="Segoe UI"/>
                <w:sz w:val="18"/>
                <w:szCs w:val="18"/>
              </w:rPr>
              <w:t>et al.</w:t>
            </w:r>
          </w:p>
        </w:tc>
        <w:tc>
          <w:tcPr>
            <w:tcW w:w="940" w:type="dxa"/>
            <w:noWrap/>
            <w:hideMark/>
          </w:tcPr>
          <w:p w14:paraId="1DB2FC40"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BRA</w:t>
            </w:r>
          </w:p>
        </w:tc>
        <w:tc>
          <w:tcPr>
            <w:tcW w:w="3220" w:type="dxa"/>
            <w:hideMark/>
          </w:tcPr>
          <w:p w14:paraId="7683E077"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Saturday, February 6, 2021</w:t>
            </w:r>
          </w:p>
        </w:tc>
      </w:tr>
      <w:tr w:rsidR="00943D31" w:rsidRPr="00524435" w14:paraId="2455B47E" w14:textId="77777777" w:rsidTr="000B469B">
        <w:trPr>
          <w:cnfStyle w:val="000000100000" w:firstRow="0" w:lastRow="0" w:firstColumn="0" w:lastColumn="0" w:oddVBand="0" w:evenVBand="0" w:oddHBand="1" w:evenHBand="0" w:firstRowFirstColumn="0" w:firstRowLastColumn="0" w:lastRowFirstColumn="0" w:lastRowLastColumn="0"/>
          <w:trHeight w:val="255"/>
        </w:trPr>
        <w:tc>
          <w:tcPr>
            <w:tcW w:w="2020" w:type="dxa"/>
            <w:noWrap/>
            <w:hideMark/>
          </w:tcPr>
          <w:p w14:paraId="0F673CB4"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13.03</w:t>
            </w:r>
          </w:p>
        </w:tc>
        <w:tc>
          <w:tcPr>
            <w:tcW w:w="3340" w:type="dxa"/>
            <w:noWrap/>
            <w:hideMark/>
          </w:tcPr>
          <w:p w14:paraId="06907799" w14:textId="17135823"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 xml:space="preserve">Santiago </w:t>
            </w:r>
            <w:proofErr w:type="spellStart"/>
            <w:r w:rsidRPr="00524435">
              <w:rPr>
                <w:rFonts w:ascii="Cambria" w:eastAsia="Times New Roman" w:hAnsi="Cambria" w:cs="Segoe UI"/>
                <w:sz w:val="18"/>
                <w:szCs w:val="18"/>
              </w:rPr>
              <w:t>Leguizamón</w:t>
            </w:r>
            <w:proofErr w:type="spellEnd"/>
            <w:r w:rsidRPr="00524435">
              <w:rPr>
                <w:rFonts w:ascii="Cambria" w:eastAsia="Times New Roman" w:hAnsi="Cambria" w:cs="Segoe UI"/>
                <w:sz w:val="18"/>
                <w:szCs w:val="18"/>
              </w:rPr>
              <w:t xml:space="preserve"> </w:t>
            </w:r>
            <w:proofErr w:type="spellStart"/>
            <w:r w:rsidRPr="00524435">
              <w:rPr>
                <w:rFonts w:ascii="Cambria" w:eastAsia="Times New Roman" w:hAnsi="Cambria" w:cs="Segoe UI"/>
                <w:sz w:val="18"/>
                <w:szCs w:val="18"/>
              </w:rPr>
              <w:t>Zaván</w:t>
            </w:r>
            <w:proofErr w:type="spellEnd"/>
            <w:r w:rsidRPr="00524435">
              <w:rPr>
                <w:rFonts w:ascii="Cambria" w:eastAsia="Times New Roman" w:hAnsi="Cambria" w:cs="Segoe UI"/>
                <w:sz w:val="18"/>
                <w:szCs w:val="18"/>
              </w:rPr>
              <w:t xml:space="preserve"> </w:t>
            </w:r>
            <w:r w:rsidR="0030565E" w:rsidRPr="00524435">
              <w:rPr>
                <w:rFonts w:ascii="Cambria" w:eastAsia="Times New Roman" w:hAnsi="Cambria" w:cs="Segoe UI"/>
                <w:sz w:val="18"/>
                <w:szCs w:val="18"/>
              </w:rPr>
              <w:t>and family</w:t>
            </w:r>
          </w:p>
        </w:tc>
        <w:tc>
          <w:tcPr>
            <w:tcW w:w="940" w:type="dxa"/>
            <w:noWrap/>
            <w:hideMark/>
          </w:tcPr>
          <w:p w14:paraId="6F48D084"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PAR</w:t>
            </w:r>
          </w:p>
        </w:tc>
        <w:tc>
          <w:tcPr>
            <w:tcW w:w="3220" w:type="dxa"/>
            <w:hideMark/>
          </w:tcPr>
          <w:p w14:paraId="57745109"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Saturday, February 13, 2021</w:t>
            </w:r>
          </w:p>
        </w:tc>
      </w:tr>
      <w:tr w:rsidR="00943D31" w:rsidRPr="00524435" w14:paraId="3DE4D57B" w14:textId="77777777" w:rsidTr="000B469B">
        <w:trPr>
          <w:cnfStyle w:val="000000010000" w:firstRow="0" w:lastRow="0" w:firstColumn="0" w:lastColumn="0" w:oddVBand="0" w:evenVBand="0" w:oddHBand="0" w:evenHBand="1" w:firstRowFirstColumn="0" w:firstRowLastColumn="0" w:lastRowFirstColumn="0" w:lastRowLastColumn="0"/>
          <w:trHeight w:val="255"/>
        </w:trPr>
        <w:tc>
          <w:tcPr>
            <w:tcW w:w="2020" w:type="dxa"/>
            <w:noWrap/>
            <w:hideMark/>
          </w:tcPr>
          <w:p w14:paraId="06FA00AC"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12.682</w:t>
            </w:r>
          </w:p>
        </w:tc>
        <w:tc>
          <w:tcPr>
            <w:tcW w:w="3340" w:type="dxa"/>
            <w:noWrap/>
            <w:hideMark/>
          </w:tcPr>
          <w:p w14:paraId="3FF8711E" w14:textId="77777777" w:rsidR="00943D31" w:rsidRPr="007A5442" w:rsidRDefault="00943D31" w:rsidP="000B469B">
            <w:pPr>
              <w:jc w:val="center"/>
              <w:rPr>
                <w:rFonts w:ascii="Cambria" w:eastAsia="Times New Roman" w:hAnsi="Cambria" w:cs="Segoe UI"/>
                <w:sz w:val="18"/>
                <w:szCs w:val="18"/>
                <w:lang w:val="es-ES"/>
              </w:rPr>
            </w:pPr>
            <w:r w:rsidRPr="007A5442">
              <w:rPr>
                <w:rFonts w:ascii="Cambria" w:eastAsia="Times New Roman" w:hAnsi="Cambria" w:cs="Segoe UI"/>
                <w:sz w:val="18"/>
                <w:szCs w:val="18"/>
                <w:lang w:val="es-ES"/>
              </w:rPr>
              <w:t>Blas Valencia Campos y otros</w:t>
            </w:r>
          </w:p>
        </w:tc>
        <w:tc>
          <w:tcPr>
            <w:tcW w:w="940" w:type="dxa"/>
            <w:noWrap/>
            <w:hideMark/>
          </w:tcPr>
          <w:p w14:paraId="3918734D"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BOL</w:t>
            </w:r>
          </w:p>
        </w:tc>
        <w:tc>
          <w:tcPr>
            <w:tcW w:w="3220" w:type="dxa"/>
            <w:hideMark/>
          </w:tcPr>
          <w:p w14:paraId="7A0C1DEC"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Monday, February 22, 2021</w:t>
            </w:r>
          </w:p>
        </w:tc>
      </w:tr>
      <w:tr w:rsidR="00943D31" w:rsidRPr="00524435" w14:paraId="532CCABB" w14:textId="77777777" w:rsidTr="000B469B">
        <w:trPr>
          <w:cnfStyle w:val="000000100000" w:firstRow="0" w:lastRow="0" w:firstColumn="0" w:lastColumn="0" w:oddVBand="0" w:evenVBand="0" w:oddHBand="1" w:evenHBand="0" w:firstRowFirstColumn="0" w:firstRowLastColumn="0" w:lastRowFirstColumn="0" w:lastRowLastColumn="0"/>
          <w:trHeight w:val="255"/>
        </w:trPr>
        <w:tc>
          <w:tcPr>
            <w:tcW w:w="2020" w:type="dxa"/>
            <w:noWrap/>
            <w:hideMark/>
          </w:tcPr>
          <w:p w14:paraId="0EDE9525"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13.002</w:t>
            </w:r>
          </w:p>
        </w:tc>
        <w:tc>
          <w:tcPr>
            <w:tcW w:w="3340" w:type="dxa"/>
            <w:noWrap/>
            <w:hideMark/>
          </w:tcPr>
          <w:p w14:paraId="0C0C6E88" w14:textId="74B59DF8"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 xml:space="preserve">Cristina </w:t>
            </w:r>
            <w:proofErr w:type="spellStart"/>
            <w:r w:rsidRPr="00524435">
              <w:rPr>
                <w:rFonts w:ascii="Cambria" w:eastAsia="Times New Roman" w:hAnsi="Cambria" w:cs="Segoe UI"/>
                <w:sz w:val="18"/>
                <w:szCs w:val="18"/>
              </w:rPr>
              <w:t>Britez</w:t>
            </w:r>
            <w:proofErr w:type="spellEnd"/>
            <w:r w:rsidRPr="00524435">
              <w:rPr>
                <w:rFonts w:ascii="Cambria" w:eastAsia="Times New Roman" w:hAnsi="Cambria" w:cs="Segoe UI"/>
                <w:sz w:val="18"/>
                <w:szCs w:val="18"/>
              </w:rPr>
              <w:t xml:space="preserve"> Arce </w:t>
            </w:r>
            <w:r w:rsidR="0030565E" w:rsidRPr="00524435">
              <w:rPr>
                <w:rFonts w:ascii="Cambria" w:eastAsia="Times New Roman" w:hAnsi="Cambria" w:cs="Segoe UI"/>
                <w:sz w:val="18"/>
                <w:szCs w:val="18"/>
              </w:rPr>
              <w:t>and family</w:t>
            </w:r>
          </w:p>
        </w:tc>
        <w:tc>
          <w:tcPr>
            <w:tcW w:w="940" w:type="dxa"/>
            <w:noWrap/>
            <w:hideMark/>
          </w:tcPr>
          <w:p w14:paraId="53F912D3"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ARG</w:t>
            </w:r>
          </w:p>
        </w:tc>
        <w:tc>
          <w:tcPr>
            <w:tcW w:w="3220" w:type="dxa"/>
            <w:hideMark/>
          </w:tcPr>
          <w:p w14:paraId="15540411"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Thursday, February 25, 2021</w:t>
            </w:r>
          </w:p>
        </w:tc>
      </w:tr>
      <w:tr w:rsidR="00943D31" w:rsidRPr="00524435" w14:paraId="3D7DD3AF" w14:textId="77777777" w:rsidTr="000B469B">
        <w:trPr>
          <w:cnfStyle w:val="000000010000" w:firstRow="0" w:lastRow="0" w:firstColumn="0" w:lastColumn="0" w:oddVBand="0" w:evenVBand="0" w:oddHBand="0" w:evenHBand="1" w:firstRowFirstColumn="0" w:firstRowLastColumn="0" w:lastRowFirstColumn="0" w:lastRowLastColumn="0"/>
          <w:trHeight w:val="255"/>
        </w:trPr>
        <w:tc>
          <w:tcPr>
            <w:tcW w:w="2020" w:type="dxa"/>
            <w:noWrap/>
            <w:hideMark/>
          </w:tcPr>
          <w:p w14:paraId="786A3781"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12.963</w:t>
            </w:r>
          </w:p>
        </w:tc>
        <w:tc>
          <w:tcPr>
            <w:tcW w:w="3340" w:type="dxa"/>
            <w:noWrap/>
            <w:hideMark/>
          </w:tcPr>
          <w:p w14:paraId="1DE04C52"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 xml:space="preserve">Alejandro Nissen </w:t>
            </w:r>
            <w:proofErr w:type="spellStart"/>
            <w:r w:rsidRPr="00524435">
              <w:rPr>
                <w:rFonts w:ascii="Cambria" w:eastAsia="Times New Roman" w:hAnsi="Cambria" w:cs="Segoe UI"/>
                <w:sz w:val="18"/>
                <w:szCs w:val="18"/>
              </w:rPr>
              <w:t>Pessolani</w:t>
            </w:r>
            <w:proofErr w:type="spellEnd"/>
          </w:p>
        </w:tc>
        <w:tc>
          <w:tcPr>
            <w:tcW w:w="940" w:type="dxa"/>
            <w:noWrap/>
            <w:hideMark/>
          </w:tcPr>
          <w:p w14:paraId="40DCB464"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PAR</w:t>
            </w:r>
          </w:p>
        </w:tc>
        <w:tc>
          <w:tcPr>
            <w:tcW w:w="3220" w:type="dxa"/>
            <w:hideMark/>
          </w:tcPr>
          <w:p w14:paraId="6E01288E"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Thursday, March 11, 2021</w:t>
            </w:r>
          </w:p>
        </w:tc>
      </w:tr>
      <w:tr w:rsidR="00943D31" w:rsidRPr="00524435" w14:paraId="70201984" w14:textId="77777777" w:rsidTr="000B469B">
        <w:trPr>
          <w:cnfStyle w:val="000000100000" w:firstRow="0" w:lastRow="0" w:firstColumn="0" w:lastColumn="0" w:oddVBand="0" w:evenVBand="0" w:oddHBand="1" w:evenHBand="0" w:firstRowFirstColumn="0" w:firstRowLastColumn="0" w:lastRowFirstColumn="0" w:lastRowLastColumn="0"/>
          <w:trHeight w:val="255"/>
        </w:trPr>
        <w:tc>
          <w:tcPr>
            <w:tcW w:w="2020" w:type="dxa"/>
            <w:noWrap/>
            <w:hideMark/>
          </w:tcPr>
          <w:p w14:paraId="1F2EC368"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12.868</w:t>
            </w:r>
          </w:p>
        </w:tc>
        <w:tc>
          <w:tcPr>
            <w:tcW w:w="3340" w:type="dxa"/>
            <w:hideMark/>
          </w:tcPr>
          <w:p w14:paraId="600B36A9" w14:textId="77777777" w:rsidR="00943D31" w:rsidRPr="00524435" w:rsidRDefault="00943D31" w:rsidP="000B469B">
            <w:pPr>
              <w:jc w:val="center"/>
              <w:rPr>
                <w:rFonts w:ascii="Cambria" w:eastAsia="Times New Roman" w:hAnsi="Cambria" w:cs="Segoe UI"/>
                <w:color w:val="000000"/>
                <w:sz w:val="18"/>
                <w:szCs w:val="18"/>
              </w:rPr>
            </w:pPr>
            <w:proofErr w:type="spellStart"/>
            <w:r w:rsidRPr="00524435">
              <w:rPr>
                <w:rFonts w:ascii="Cambria" w:eastAsia="Times New Roman" w:hAnsi="Cambria" w:cs="Segoe UI"/>
                <w:color w:val="000000"/>
                <w:sz w:val="18"/>
                <w:szCs w:val="18"/>
              </w:rPr>
              <w:t>Balbina</w:t>
            </w:r>
            <w:proofErr w:type="spellEnd"/>
            <w:r w:rsidRPr="00524435">
              <w:rPr>
                <w:rFonts w:ascii="Cambria" w:eastAsia="Times New Roman" w:hAnsi="Cambria" w:cs="Segoe UI"/>
                <w:color w:val="000000"/>
                <w:sz w:val="18"/>
                <w:szCs w:val="18"/>
              </w:rPr>
              <w:t xml:space="preserve"> Francisca Rodríguez Pacheco</w:t>
            </w:r>
          </w:p>
        </w:tc>
        <w:tc>
          <w:tcPr>
            <w:tcW w:w="940" w:type="dxa"/>
            <w:noWrap/>
            <w:hideMark/>
          </w:tcPr>
          <w:p w14:paraId="293CCEFB"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VEN</w:t>
            </w:r>
          </w:p>
        </w:tc>
        <w:tc>
          <w:tcPr>
            <w:tcW w:w="3220" w:type="dxa"/>
            <w:hideMark/>
          </w:tcPr>
          <w:p w14:paraId="1CDD4801"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Monday, March 22, 2021</w:t>
            </w:r>
          </w:p>
        </w:tc>
      </w:tr>
      <w:tr w:rsidR="00943D31" w:rsidRPr="00524435" w14:paraId="684CC3E3" w14:textId="77777777" w:rsidTr="000B469B">
        <w:trPr>
          <w:cnfStyle w:val="000000010000" w:firstRow="0" w:lastRow="0" w:firstColumn="0" w:lastColumn="0" w:oddVBand="0" w:evenVBand="0" w:oddHBand="0" w:evenHBand="1" w:firstRowFirstColumn="0" w:firstRowLastColumn="0" w:lastRowFirstColumn="0" w:lastRowLastColumn="0"/>
          <w:trHeight w:val="255"/>
        </w:trPr>
        <w:tc>
          <w:tcPr>
            <w:tcW w:w="2020" w:type="dxa"/>
            <w:noWrap/>
            <w:hideMark/>
          </w:tcPr>
          <w:p w14:paraId="1A7FBDEA"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12.861</w:t>
            </w:r>
          </w:p>
        </w:tc>
        <w:tc>
          <w:tcPr>
            <w:tcW w:w="3340" w:type="dxa"/>
            <w:noWrap/>
            <w:hideMark/>
          </w:tcPr>
          <w:p w14:paraId="31A56F48"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Luis Fernando Guevara Díaz</w:t>
            </w:r>
          </w:p>
        </w:tc>
        <w:tc>
          <w:tcPr>
            <w:tcW w:w="940" w:type="dxa"/>
            <w:noWrap/>
            <w:hideMark/>
          </w:tcPr>
          <w:p w14:paraId="32AAFC9E"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CR</w:t>
            </w:r>
          </w:p>
        </w:tc>
        <w:tc>
          <w:tcPr>
            <w:tcW w:w="3220" w:type="dxa"/>
            <w:hideMark/>
          </w:tcPr>
          <w:p w14:paraId="64A9FC9B"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Wednesday, March 24, 2021</w:t>
            </w:r>
          </w:p>
        </w:tc>
      </w:tr>
      <w:tr w:rsidR="00943D31" w:rsidRPr="00524435" w14:paraId="1849AA6E" w14:textId="77777777" w:rsidTr="000B469B">
        <w:trPr>
          <w:cnfStyle w:val="000000100000" w:firstRow="0" w:lastRow="0" w:firstColumn="0" w:lastColumn="0" w:oddVBand="0" w:evenVBand="0" w:oddHBand="1" w:evenHBand="0" w:firstRowFirstColumn="0" w:firstRowLastColumn="0" w:lastRowFirstColumn="0" w:lastRowLastColumn="0"/>
          <w:trHeight w:val="255"/>
        </w:trPr>
        <w:tc>
          <w:tcPr>
            <w:tcW w:w="2020" w:type="dxa"/>
            <w:noWrap/>
            <w:hideMark/>
          </w:tcPr>
          <w:p w14:paraId="6403C5C9"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12.204</w:t>
            </w:r>
          </w:p>
        </w:tc>
        <w:tc>
          <w:tcPr>
            <w:tcW w:w="3340" w:type="dxa"/>
            <w:noWrap/>
            <w:hideMark/>
          </w:tcPr>
          <w:p w14:paraId="7FC7A68D"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AMIA</w:t>
            </w:r>
          </w:p>
        </w:tc>
        <w:tc>
          <w:tcPr>
            <w:tcW w:w="940" w:type="dxa"/>
            <w:noWrap/>
            <w:hideMark/>
          </w:tcPr>
          <w:p w14:paraId="294D7D10"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ARG</w:t>
            </w:r>
          </w:p>
        </w:tc>
        <w:tc>
          <w:tcPr>
            <w:tcW w:w="3220" w:type="dxa"/>
            <w:hideMark/>
          </w:tcPr>
          <w:p w14:paraId="1CC3A2CF"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Thursday, March 25, 2021</w:t>
            </w:r>
          </w:p>
        </w:tc>
      </w:tr>
      <w:tr w:rsidR="00943D31" w:rsidRPr="00524435" w14:paraId="2666A482" w14:textId="77777777" w:rsidTr="000B469B">
        <w:trPr>
          <w:cnfStyle w:val="000000010000" w:firstRow="0" w:lastRow="0" w:firstColumn="0" w:lastColumn="0" w:oddVBand="0" w:evenVBand="0" w:oddHBand="0" w:evenHBand="1" w:firstRowFirstColumn="0" w:firstRowLastColumn="0" w:lastRowFirstColumn="0" w:lastRowLastColumn="0"/>
          <w:trHeight w:val="255"/>
        </w:trPr>
        <w:tc>
          <w:tcPr>
            <w:tcW w:w="2020" w:type="dxa"/>
            <w:noWrap/>
            <w:hideMark/>
          </w:tcPr>
          <w:p w14:paraId="5D1BFF86"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13.041</w:t>
            </w:r>
          </w:p>
        </w:tc>
        <w:tc>
          <w:tcPr>
            <w:tcW w:w="3340" w:type="dxa"/>
            <w:noWrap/>
            <w:hideMark/>
          </w:tcPr>
          <w:p w14:paraId="16268F0D"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 xml:space="preserve">Guillermo Antonio Alvarez </w:t>
            </w:r>
          </w:p>
        </w:tc>
        <w:tc>
          <w:tcPr>
            <w:tcW w:w="940" w:type="dxa"/>
            <w:noWrap/>
            <w:hideMark/>
          </w:tcPr>
          <w:p w14:paraId="604A9141"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ARG</w:t>
            </w:r>
          </w:p>
        </w:tc>
        <w:tc>
          <w:tcPr>
            <w:tcW w:w="3220" w:type="dxa"/>
            <w:hideMark/>
          </w:tcPr>
          <w:p w14:paraId="27B358E9"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Saturday, March 27, 2021</w:t>
            </w:r>
          </w:p>
        </w:tc>
      </w:tr>
      <w:tr w:rsidR="00943D31" w:rsidRPr="00524435" w14:paraId="7557E1BD" w14:textId="77777777" w:rsidTr="000B469B">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4AC1DC1A"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13.016</w:t>
            </w:r>
          </w:p>
        </w:tc>
        <w:tc>
          <w:tcPr>
            <w:tcW w:w="3340" w:type="dxa"/>
            <w:hideMark/>
          </w:tcPr>
          <w:p w14:paraId="0A25B939" w14:textId="65493A00" w:rsidR="00943D31" w:rsidRPr="00DF0CD0" w:rsidRDefault="00943D31" w:rsidP="000B469B">
            <w:pPr>
              <w:jc w:val="center"/>
              <w:rPr>
                <w:rFonts w:ascii="Cambria" w:eastAsia="Times New Roman" w:hAnsi="Cambria" w:cs="Segoe UI"/>
                <w:color w:val="000000"/>
                <w:sz w:val="18"/>
                <w:szCs w:val="18"/>
                <w:lang w:val="fr-CA"/>
              </w:rPr>
            </w:pPr>
            <w:r w:rsidRPr="00DF0CD0">
              <w:rPr>
                <w:rFonts w:ascii="Cambria" w:eastAsia="Times New Roman" w:hAnsi="Cambria" w:cs="Segoe UI"/>
                <w:color w:val="000000"/>
                <w:sz w:val="18"/>
                <w:szCs w:val="18"/>
                <w:lang w:val="fr-CA"/>
              </w:rPr>
              <w:t xml:space="preserve">Jorge </w:t>
            </w:r>
            <w:proofErr w:type="spellStart"/>
            <w:r w:rsidRPr="00DF0CD0">
              <w:rPr>
                <w:rFonts w:ascii="Cambria" w:eastAsia="Times New Roman" w:hAnsi="Cambria" w:cs="Segoe UI"/>
                <w:color w:val="000000"/>
                <w:sz w:val="18"/>
                <w:szCs w:val="18"/>
                <w:lang w:val="fr-CA"/>
              </w:rPr>
              <w:t>Marcial</w:t>
            </w:r>
            <w:proofErr w:type="spellEnd"/>
            <w:r w:rsidRPr="00DF0CD0">
              <w:rPr>
                <w:rFonts w:ascii="Cambria" w:eastAsia="Times New Roman" w:hAnsi="Cambria" w:cs="Segoe UI"/>
                <w:color w:val="000000"/>
                <w:sz w:val="18"/>
                <w:szCs w:val="18"/>
                <w:lang w:val="fr-CA"/>
              </w:rPr>
              <w:t xml:space="preserve"> </w:t>
            </w:r>
            <w:proofErr w:type="spellStart"/>
            <w:r w:rsidRPr="00DF0CD0">
              <w:rPr>
                <w:rFonts w:ascii="Cambria" w:eastAsia="Times New Roman" w:hAnsi="Cambria" w:cs="Segoe UI"/>
                <w:color w:val="000000"/>
                <w:sz w:val="18"/>
                <w:szCs w:val="18"/>
                <w:lang w:val="fr-CA"/>
              </w:rPr>
              <w:t>Tzompaxtle</w:t>
            </w:r>
            <w:proofErr w:type="spellEnd"/>
            <w:r w:rsidRPr="00DF0CD0">
              <w:rPr>
                <w:rFonts w:ascii="Cambria" w:eastAsia="Times New Roman" w:hAnsi="Cambria" w:cs="Segoe UI"/>
                <w:color w:val="000000"/>
                <w:sz w:val="18"/>
                <w:szCs w:val="18"/>
                <w:lang w:val="fr-CA"/>
              </w:rPr>
              <w:t xml:space="preserve"> </w:t>
            </w:r>
            <w:r w:rsidR="0030565E" w:rsidRPr="00DF0CD0">
              <w:rPr>
                <w:rFonts w:ascii="Cambria" w:eastAsia="Times New Roman" w:hAnsi="Cambria" w:cs="Segoe UI"/>
                <w:color w:val="000000"/>
                <w:sz w:val="18"/>
                <w:szCs w:val="18"/>
                <w:lang w:val="fr-CA"/>
              </w:rPr>
              <w:t>et al.</w:t>
            </w:r>
          </w:p>
        </w:tc>
        <w:tc>
          <w:tcPr>
            <w:tcW w:w="940" w:type="dxa"/>
            <w:hideMark/>
          </w:tcPr>
          <w:p w14:paraId="643F8923"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MX</w:t>
            </w:r>
          </w:p>
        </w:tc>
        <w:tc>
          <w:tcPr>
            <w:tcW w:w="3220" w:type="dxa"/>
            <w:hideMark/>
          </w:tcPr>
          <w:p w14:paraId="747CDDDA"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Saturday, May 1, 2021</w:t>
            </w:r>
          </w:p>
        </w:tc>
      </w:tr>
      <w:tr w:rsidR="00943D31" w:rsidRPr="00524435" w14:paraId="3FB4CA6A" w14:textId="77777777" w:rsidTr="0030565E">
        <w:trPr>
          <w:cnfStyle w:val="000000010000" w:firstRow="0" w:lastRow="0" w:firstColumn="0" w:lastColumn="0" w:oddVBand="0" w:evenVBand="0" w:oddHBand="0" w:evenHBand="1" w:firstRowFirstColumn="0" w:firstRowLastColumn="0" w:lastRowFirstColumn="0" w:lastRowLastColumn="0"/>
          <w:trHeight w:val="358"/>
        </w:trPr>
        <w:tc>
          <w:tcPr>
            <w:tcW w:w="2020" w:type="dxa"/>
            <w:hideMark/>
          </w:tcPr>
          <w:p w14:paraId="477BFF14"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13.333</w:t>
            </w:r>
          </w:p>
        </w:tc>
        <w:tc>
          <w:tcPr>
            <w:tcW w:w="3340" w:type="dxa"/>
            <w:hideMark/>
          </w:tcPr>
          <w:p w14:paraId="7AF57FFF" w14:textId="3EEB9E9B" w:rsidR="00943D31" w:rsidRPr="007A5442" w:rsidRDefault="00943D31" w:rsidP="000B469B">
            <w:pPr>
              <w:jc w:val="center"/>
              <w:rPr>
                <w:rFonts w:ascii="Cambria" w:eastAsia="Times New Roman" w:hAnsi="Cambria" w:cs="Segoe UI"/>
                <w:color w:val="000000"/>
                <w:sz w:val="18"/>
                <w:szCs w:val="18"/>
                <w:lang w:val="es-ES"/>
              </w:rPr>
            </w:pPr>
            <w:bookmarkStart w:id="57" w:name="RANGE!B39"/>
            <w:r w:rsidRPr="007A5442">
              <w:rPr>
                <w:rFonts w:ascii="Cambria" w:eastAsia="Times New Roman" w:hAnsi="Cambria" w:cs="Segoe UI"/>
                <w:color w:val="000000"/>
                <w:sz w:val="18"/>
                <w:szCs w:val="18"/>
                <w:lang w:val="es-ES"/>
              </w:rPr>
              <w:t xml:space="preserve">Daniel García Rodríguez </w:t>
            </w:r>
            <w:r w:rsidR="0030565E" w:rsidRPr="007A5442">
              <w:rPr>
                <w:rFonts w:ascii="Cambria" w:eastAsia="Times New Roman" w:hAnsi="Cambria" w:cs="Segoe UI"/>
                <w:color w:val="000000"/>
                <w:sz w:val="18"/>
                <w:szCs w:val="18"/>
                <w:lang w:val="es-ES"/>
              </w:rPr>
              <w:t xml:space="preserve">and </w:t>
            </w:r>
            <w:r w:rsidRPr="007A5442">
              <w:rPr>
                <w:rFonts w:ascii="Cambria" w:eastAsia="Times New Roman" w:hAnsi="Cambria" w:cs="Segoe UI"/>
                <w:color w:val="000000"/>
                <w:sz w:val="18"/>
                <w:szCs w:val="18"/>
                <w:lang w:val="es-ES"/>
              </w:rPr>
              <w:t xml:space="preserve">Reyes </w:t>
            </w:r>
            <w:proofErr w:type="spellStart"/>
            <w:r w:rsidRPr="007A5442">
              <w:rPr>
                <w:rFonts w:ascii="Cambria" w:eastAsia="Times New Roman" w:hAnsi="Cambria" w:cs="Segoe UI"/>
                <w:color w:val="000000"/>
                <w:sz w:val="18"/>
                <w:szCs w:val="18"/>
                <w:lang w:val="es-ES"/>
              </w:rPr>
              <w:t>Alpizar</w:t>
            </w:r>
            <w:proofErr w:type="spellEnd"/>
            <w:r w:rsidRPr="007A5442">
              <w:rPr>
                <w:rFonts w:ascii="Cambria" w:eastAsia="Times New Roman" w:hAnsi="Cambria" w:cs="Segoe UI"/>
                <w:color w:val="000000"/>
                <w:sz w:val="18"/>
                <w:szCs w:val="18"/>
                <w:lang w:val="es-ES"/>
              </w:rPr>
              <w:t xml:space="preserve"> Ortiz</w:t>
            </w:r>
            <w:bookmarkEnd w:id="57"/>
          </w:p>
        </w:tc>
        <w:tc>
          <w:tcPr>
            <w:tcW w:w="940" w:type="dxa"/>
            <w:hideMark/>
          </w:tcPr>
          <w:p w14:paraId="373C62C2"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MX</w:t>
            </w:r>
          </w:p>
        </w:tc>
        <w:tc>
          <w:tcPr>
            <w:tcW w:w="3220" w:type="dxa"/>
            <w:hideMark/>
          </w:tcPr>
          <w:p w14:paraId="22A56F8A"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Thursday, May 6, 2021</w:t>
            </w:r>
          </w:p>
        </w:tc>
      </w:tr>
      <w:tr w:rsidR="00943D31" w:rsidRPr="00524435" w14:paraId="368FC734" w14:textId="77777777" w:rsidTr="000B469B">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15C610B6"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13.256</w:t>
            </w:r>
          </w:p>
        </w:tc>
        <w:tc>
          <w:tcPr>
            <w:tcW w:w="3340" w:type="dxa"/>
            <w:hideMark/>
          </w:tcPr>
          <w:p w14:paraId="6A7BE58A"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 xml:space="preserve">Humberto </w:t>
            </w:r>
            <w:proofErr w:type="spellStart"/>
            <w:r w:rsidRPr="00524435">
              <w:rPr>
                <w:rFonts w:ascii="Cambria" w:eastAsia="Times New Roman" w:hAnsi="Cambria" w:cs="Segoe UI"/>
                <w:color w:val="000000"/>
                <w:sz w:val="18"/>
                <w:szCs w:val="18"/>
              </w:rPr>
              <w:t>Cajahuanca</w:t>
            </w:r>
            <w:proofErr w:type="spellEnd"/>
            <w:r w:rsidRPr="00524435">
              <w:rPr>
                <w:rFonts w:ascii="Cambria" w:eastAsia="Times New Roman" w:hAnsi="Cambria" w:cs="Segoe UI"/>
                <w:color w:val="000000"/>
                <w:sz w:val="18"/>
                <w:szCs w:val="18"/>
              </w:rPr>
              <w:t xml:space="preserve"> Vásquez</w:t>
            </w:r>
          </w:p>
        </w:tc>
        <w:tc>
          <w:tcPr>
            <w:tcW w:w="940" w:type="dxa"/>
            <w:hideMark/>
          </w:tcPr>
          <w:p w14:paraId="2E21CDA7"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PER</w:t>
            </w:r>
          </w:p>
        </w:tc>
        <w:tc>
          <w:tcPr>
            <w:tcW w:w="3220" w:type="dxa"/>
            <w:hideMark/>
          </w:tcPr>
          <w:p w14:paraId="61DB566F"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Wednesday, May 12, 2021</w:t>
            </w:r>
          </w:p>
        </w:tc>
      </w:tr>
      <w:tr w:rsidR="00943D31" w:rsidRPr="00524435" w14:paraId="55355F59" w14:textId="77777777" w:rsidTr="000B469B">
        <w:trPr>
          <w:cnfStyle w:val="000000010000" w:firstRow="0" w:lastRow="0" w:firstColumn="0" w:lastColumn="0" w:oddVBand="0" w:evenVBand="0" w:oddHBand="0" w:evenHBand="1" w:firstRowFirstColumn="0" w:firstRowLastColumn="0" w:lastRowFirstColumn="0" w:lastRowLastColumn="0"/>
          <w:trHeight w:val="255"/>
        </w:trPr>
        <w:tc>
          <w:tcPr>
            <w:tcW w:w="2020" w:type="dxa"/>
            <w:hideMark/>
          </w:tcPr>
          <w:p w14:paraId="44D9D86D"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12.91</w:t>
            </w:r>
          </w:p>
        </w:tc>
        <w:tc>
          <w:tcPr>
            <w:tcW w:w="3340" w:type="dxa"/>
            <w:hideMark/>
          </w:tcPr>
          <w:p w14:paraId="7450B2D3"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 xml:space="preserve">Carlos Julio </w:t>
            </w:r>
            <w:proofErr w:type="spellStart"/>
            <w:r w:rsidRPr="00524435">
              <w:rPr>
                <w:rFonts w:ascii="Cambria" w:eastAsia="Times New Roman" w:hAnsi="Cambria" w:cs="Segoe UI"/>
                <w:color w:val="000000"/>
                <w:sz w:val="18"/>
                <w:szCs w:val="18"/>
              </w:rPr>
              <w:t>Aguinaga</w:t>
            </w:r>
            <w:proofErr w:type="spellEnd"/>
          </w:p>
        </w:tc>
        <w:tc>
          <w:tcPr>
            <w:tcW w:w="940" w:type="dxa"/>
            <w:hideMark/>
          </w:tcPr>
          <w:p w14:paraId="56E931B3"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ECU</w:t>
            </w:r>
          </w:p>
        </w:tc>
        <w:tc>
          <w:tcPr>
            <w:tcW w:w="3220" w:type="dxa"/>
            <w:hideMark/>
          </w:tcPr>
          <w:p w14:paraId="4B249357"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Thursday, May 20, 2021</w:t>
            </w:r>
          </w:p>
        </w:tc>
      </w:tr>
      <w:tr w:rsidR="00943D31" w:rsidRPr="00524435" w14:paraId="554C8397" w14:textId="77777777" w:rsidTr="000B469B">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7B97C500"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13.263</w:t>
            </w:r>
          </w:p>
        </w:tc>
        <w:tc>
          <w:tcPr>
            <w:tcW w:w="3340" w:type="dxa"/>
            <w:hideMark/>
          </w:tcPr>
          <w:p w14:paraId="086D91E1"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 xml:space="preserve">Gino Ernesto </w:t>
            </w:r>
            <w:proofErr w:type="spellStart"/>
            <w:r w:rsidRPr="00524435">
              <w:rPr>
                <w:rFonts w:ascii="Cambria" w:eastAsia="Times New Roman" w:hAnsi="Cambria" w:cs="Segoe UI"/>
                <w:color w:val="000000"/>
                <w:sz w:val="18"/>
                <w:szCs w:val="18"/>
              </w:rPr>
              <w:t>Yangali</w:t>
            </w:r>
            <w:proofErr w:type="spellEnd"/>
            <w:r w:rsidRPr="00524435">
              <w:rPr>
                <w:rFonts w:ascii="Cambria" w:eastAsia="Times New Roman" w:hAnsi="Cambria" w:cs="Segoe UI"/>
                <w:color w:val="000000"/>
                <w:sz w:val="18"/>
                <w:szCs w:val="18"/>
              </w:rPr>
              <w:t xml:space="preserve"> </w:t>
            </w:r>
            <w:proofErr w:type="spellStart"/>
            <w:r w:rsidRPr="00524435">
              <w:rPr>
                <w:rFonts w:ascii="Cambria" w:eastAsia="Times New Roman" w:hAnsi="Cambria" w:cs="Segoe UI"/>
                <w:color w:val="000000"/>
                <w:sz w:val="18"/>
                <w:szCs w:val="18"/>
              </w:rPr>
              <w:t>Iparraguirre</w:t>
            </w:r>
            <w:proofErr w:type="spellEnd"/>
          </w:p>
        </w:tc>
        <w:tc>
          <w:tcPr>
            <w:tcW w:w="940" w:type="dxa"/>
            <w:hideMark/>
          </w:tcPr>
          <w:p w14:paraId="6E822865"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PER</w:t>
            </w:r>
          </w:p>
        </w:tc>
        <w:tc>
          <w:tcPr>
            <w:tcW w:w="3220" w:type="dxa"/>
            <w:hideMark/>
          </w:tcPr>
          <w:p w14:paraId="1254ABB9"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Sunday, May 23, 2021</w:t>
            </w:r>
          </w:p>
        </w:tc>
      </w:tr>
      <w:tr w:rsidR="00943D31" w:rsidRPr="00524435" w14:paraId="4EE4D9E2" w14:textId="77777777" w:rsidTr="000B469B">
        <w:trPr>
          <w:cnfStyle w:val="000000010000" w:firstRow="0" w:lastRow="0" w:firstColumn="0" w:lastColumn="0" w:oddVBand="0" w:evenVBand="0" w:oddHBand="0" w:evenHBand="1" w:firstRowFirstColumn="0" w:firstRowLastColumn="0" w:lastRowFirstColumn="0" w:lastRowLastColumn="0"/>
          <w:trHeight w:val="255"/>
        </w:trPr>
        <w:tc>
          <w:tcPr>
            <w:tcW w:w="2020" w:type="dxa"/>
            <w:hideMark/>
          </w:tcPr>
          <w:p w14:paraId="73611836"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12.508</w:t>
            </w:r>
          </w:p>
        </w:tc>
        <w:tc>
          <w:tcPr>
            <w:tcW w:w="3340" w:type="dxa"/>
            <w:hideMark/>
          </w:tcPr>
          <w:p w14:paraId="6EEAC015"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 xml:space="preserve">Oscar Ivan </w:t>
            </w:r>
            <w:proofErr w:type="spellStart"/>
            <w:r w:rsidRPr="00524435">
              <w:rPr>
                <w:rFonts w:ascii="Cambria" w:eastAsia="Times New Roman" w:hAnsi="Cambria" w:cs="Segoe UI"/>
                <w:color w:val="000000"/>
                <w:sz w:val="18"/>
                <w:szCs w:val="18"/>
              </w:rPr>
              <w:t>Tabares</w:t>
            </w:r>
            <w:proofErr w:type="spellEnd"/>
            <w:r w:rsidRPr="00524435">
              <w:rPr>
                <w:rFonts w:ascii="Cambria" w:eastAsia="Times New Roman" w:hAnsi="Cambria" w:cs="Segoe UI"/>
                <w:color w:val="000000"/>
                <w:sz w:val="18"/>
                <w:szCs w:val="18"/>
              </w:rPr>
              <w:t xml:space="preserve"> Toro</w:t>
            </w:r>
          </w:p>
        </w:tc>
        <w:tc>
          <w:tcPr>
            <w:tcW w:w="940" w:type="dxa"/>
            <w:hideMark/>
          </w:tcPr>
          <w:p w14:paraId="3ED7D832"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COL</w:t>
            </w:r>
          </w:p>
        </w:tc>
        <w:tc>
          <w:tcPr>
            <w:tcW w:w="3220" w:type="dxa"/>
            <w:hideMark/>
          </w:tcPr>
          <w:p w14:paraId="798DC5A9"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Tuesday, May 25, 2021</w:t>
            </w:r>
          </w:p>
        </w:tc>
      </w:tr>
      <w:tr w:rsidR="00943D31" w:rsidRPr="00524435" w14:paraId="47029307" w14:textId="77777777" w:rsidTr="000B469B">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3C8785BF"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12.479</w:t>
            </w:r>
          </w:p>
        </w:tc>
        <w:tc>
          <w:tcPr>
            <w:tcW w:w="3340" w:type="dxa"/>
            <w:hideMark/>
          </w:tcPr>
          <w:p w14:paraId="3622D7A4"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Jose Airton Honorato (</w:t>
            </w:r>
            <w:proofErr w:type="spellStart"/>
            <w:r w:rsidRPr="00524435">
              <w:rPr>
                <w:rFonts w:ascii="Cambria" w:eastAsia="Times New Roman" w:hAnsi="Cambria" w:cs="Segoe UI"/>
                <w:color w:val="000000"/>
                <w:sz w:val="18"/>
                <w:szCs w:val="18"/>
              </w:rPr>
              <w:t>Castelinho</w:t>
            </w:r>
            <w:proofErr w:type="spellEnd"/>
            <w:r w:rsidRPr="00524435">
              <w:rPr>
                <w:rFonts w:ascii="Cambria" w:eastAsia="Times New Roman" w:hAnsi="Cambria" w:cs="Segoe UI"/>
                <w:color w:val="000000"/>
                <w:sz w:val="18"/>
                <w:szCs w:val="18"/>
              </w:rPr>
              <w:t>)</w:t>
            </w:r>
          </w:p>
        </w:tc>
        <w:tc>
          <w:tcPr>
            <w:tcW w:w="940" w:type="dxa"/>
            <w:hideMark/>
          </w:tcPr>
          <w:p w14:paraId="71B76D97"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BRA</w:t>
            </w:r>
          </w:p>
        </w:tc>
        <w:tc>
          <w:tcPr>
            <w:tcW w:w="3220" w:type="dxa"/>
            <w:hideMark/>
          </w:tcPr>
          <w:p w14:paraId="24F430D8"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Friday, May 28, 2021</w:t>
            </w:r>
          </w:p>
        </w:tc>
      </w:tr>
      <w:tr w:rsidR="00943D31" w:rsidRPr="00524435" w14:paraId="31AB90B7" w14:textId="77777777" w:rsidTr="000B469B">
        <w:trPr>
          <w:cnfStyle w:val="000000010000" w:firstRow="0" w:lastRow="0" w:firstColumn="0" w:lastColumn="0" w:oddVBand="0" w:evenVBand="0" w:oddHBand="0" w:evenHBand="1" w:firstRowFirstColumn="0" w:firstRowLastColumn="0" w:lastRowFirstColumn="0" w:lastRowLastColumn="0"/>
          <w:trHeight w:val="255"/>
        </w:trPr>
        <w:tc>
          <w:tcPr>
            <w:tcW w:w="2020" w:type="dxa"/>
            <w:hideMark/>
          </w:tcPr>
          <w:p w14:paraId="48CF5519"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12.454</w:t>
            </w:r>
          </w:p>
        </w:tc>
        <w:tc>
          <w:tcPr>
            <w:tcW w:w="3340" w:type="dxa"/>
            <w:hideMark/>
          </w:tcPr>
          <w:p w14:paraId="55008CF4" w14:textId="70865B5D"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 xml:space="preserve">Walter </w:t>
            </w:r>
            <w:proofErr w:type="spellStart"/>
            <w:r w:rsidRPr="00524435">
              <w:rPr>
                <w:rFonts w:ascii="Cambria" w:eastAsia="Times New Roman" w:hAnsi="Cambria" w:cs="Segoe UI"/>
                <w:color w:val="000000"/>
                <w:sz w:val="18"/>
                <w:szCs w:val="18"/>
              </w:rPr>
              <w:t>Huacon</w:t>
            </w:r>
            <w:proofErr w:type="spellEnd"/>
            <w:r w:rsidRPr="00524435">
              <w:rPr>
                <w:rFonts w:ascii="Cambria" w:eastAsia="Times New Roman" w:hAnsi="Cambria" w:cs="Segoe UI"/>
                <w:color w:val="000000"/>
                <w:sz w:val="18"/>
                <w:szCs w:val="18"/>
              </w:rPr>
              <w:t xml:space="preserve"> </w:t>
            </w:r>
            <w:proofErr w:type="spellStart"/>
            <w:r w:rsidRPr="00524435">
              <w:rPr>
                <w:rFonts w:ascii="Cambria" w:eastAsia="Times New Roman" w:hAnsi="Cambria" w:cs="Segoe UI"/>
                <w:color w:val="000000"/>
                <w:sz w:val="18"/>
                <w:szCs w:val="18"/>
              </w:rPr>
              <w:t>Baidal</w:t>
            </w:r>
            <w:proofErr w:type="spellEnd"/>
            <w:r w:rsidRPr="00524435">
              <w:rPr>
                <w:rFonts w:ascii="Cambria" w:eastAsia="Times New Roman" w:hAnsi="Cambria" w:cs="Segoe UI"/>
                <w:color w:val="000000"/>
                <w:sz w:val="18"/>
                <w:szCs w:val="18"/>
              </w:rPr>
              <w:t xml:space="preserve"> </w:t>
            </w:r>
            <w:r w:rsidR="001A680E">
              <w:rPr>
                <w:rFonts w:ascii="Cambria" w:eastAsia="Times New Roman" w:hAnsi="Cambria" w:cs="Segoe UI"/>
                <w:color w:val="000000"/>
                <w:sz w:val="18"/>
                <w:szCs w:val="18"/>
              </w:rPr>
              <w:t>and family</w:t>
            </w:r>
          </w:p>
        </w:tc>
        <w:tc>
          <w:tcPr>
            <w:tcW w:w="940" w:type="dxa"/>
            <w:hideMark/>
          </w:tcPr>
          <w:p w14:paraId="112C4390"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ECU</w:t>
            </w:r>
          </w:p>
        </w:tc>
        <w:tc>
          <w:tcPr>
            <w:tcW w:w="3220" w:type="dxa"/>
            <w:hideMark/>
          </w:tcPr>
          <w:p w14:paraId="6A289366"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Wednesday, June 2, 2021</w:t>
            </w:r>
          </w:p>
        </w:tc>
      </w:tr>
      <w:tr w:rsidR="00943D31" w:rsidRPr="00524435" w14:paraId="6D6E927E" w14:textId="77777777" w:rsidTr="000B469B">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1DDB7C19"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13.505</w:t>
            </w:r>
          </w:p>
        </w:tc>
        <w:tc>
          <w:tcPr>
            <w:tcW w:w="3340" w:type="dxa"/>
            <w:hideMark/>
          </w:tcPr>
          <w:p w14:paraId="083486BB" w14:textId="77777777" w:rsidR="00943D31" w:rsidRPr="00524435" w:rsidRDefault="00943D31" w:rsidP="000B469B">
            <w:pPr>
              <w:jc w:val="center"/>
              <w:rPr>
                <w:rFonts w:ascii="Cambria" w:eastAsia="Times New Roman" w:hAnsi="Cambria" w:cs="Segoe UI"/>
                <w:color w:val="000000"/>
                <w:sz w:val="18"/>
                <w:szCs w:val="18"/>
              </w:rPr>
            </w:pPr>
            <w:proofErr w:type="spellStart"/>
            <w:r w:rsidRPr="00524435">
              <w:rPr>
                <w:rFonts w:ascii="Cambria" w:eastAsia="Times New Roman" w:hAnsi="Cambria" w:cs="Segoe UI"/>
                <w:color w:val="000000"/>
                <w:sz w:val="18"/>
                <w:szCs w:val="18"/>
              </w:rPr>
              <w:t>Chrisstian</w:t>
            </w:r>
            <w:proofErr w:type="spellEnd"/>
            <w:r w:rsidRPr="00524435">
              <w:rPr>
                <w:rFonts w:ascii="Cambria" w:eastAsia="Times New Roman" w:hAnsi="Cambria" w:cs="Segoe UI"/>
                <w:color w:val="000000"/>
                <w:sz w:val="18"/>
                <w:szCs w:val="18"/>
              </w:rPr>
              <w:t xml:space="preserve"> Manuel Olivera Fuentes</w:t>
            </w:r>
          </w:p>
        </w:tc>
        <w:tc>
          <w:tcPr>
            <w:tcW w:w="940" w:type="dxa"/>
            <w:hideMark/>
          </w:tcPr>
          <w:p w14:paraId="62215786"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PER</w:t>
            </w:r>
          </w:p>
        </w:tc>
        <w:tc>
          <w:tcPr>
            <w:tcW w:w="3220" w:type="dxa"/>
            <w:hideMark/>
          </w:tcPr>
          <w:p w14:paraId="3427943C"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Friday, June 4, 2021</w:t>
            </w:r>
          </w:p>
        </w:tc>
      </w:tr>
      <w:tr w:rsidR="00943D31" w:rsidRPr="00524435" w14:paraId="121BDC53" w14:textId="77777777" w:rsidTr="000B469B">
        <w:trPr>
          <w:cnfStyle w:val="000000010000" w:firstRow="0" w:lastRow="0" w:firstColumn="0" w:lastColumn="0" w:oddVBand="0" w:evenVBand="0" w:oddHBand="0" w:evenHBand="1" w:firstRowFirstColumn="0" w:firstRowLastColumn="0" w:lastRowFirstColumn="0" w:lastRowLastColumn="0"/>
          <w:trHeight w:val="255"/>
        </w:trPr>
        <w:tc>
          <w:tcPr>
            <w:tcW w:w="2020" w:type="dxa"/>
            <w:hideMark/>
          </w:tcPr>
          <w:p w14:paraId="45F6DDAA"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13.727</w:t>
            </w:r>
          </w:p>
        </w:tc>
        <w:tc>
          <w:tcPr>
            <w:tcW w:w="3340" w:type="dxa"/>
            <w:hideMark/>
          </w:tcPr>
          <w:p w14:paraId="2AA2A032"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 xml:space="preserve">Fabio </w:t>
            </w:r>
            <w:proofErr w:type="spellStart"/>
            <w:r w:rsidRPr="00524435">
              <w:rPr>
                <w:rFonts w:ascii="Cambria" w:eastAsia="Times New Roman" w:hAnsi="Cambria" w:cs="Segoe UI"/>
                <w:color w:val="000000"/>
                <w:sz w:val="18"/>
                <w:szCs w:val="18"/>
              </w:rPr>
              <w:t>Gadea</w:t>
            </w:r>
            <w:proofErr w:type="spellEnd"/>
            <w:r w:rsidRPr="00524435">
              <w:rPr>
                <w:rFonts w:ascii="Cambria" w:eastAsia="Times New Roman" w:hAnsi="Cambria" w:cs="Segoe UI"/>
                <w:color w:val="000000"/>
                <w:sz w:val="18"/>
                <w:szCs w:val="18"/>
              </w:rPr>
              <w:t xml:space="preserve"> Mantilla</w:t>
            </w:r>
          </w:p>
        </w:tc>
        <w:tc>
          <w:tcPr>
            <w:tcW w:w="940" w:type="dxa"/>
            <w:hideMark/>
          </w:tcPr>
          <w:p w14:paraId="3BE8650C"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NIC</w:t>
            </w:r>
          </w:p>
        </w:tc>
        <w:tc>
          <w:tcPr>
            <w:tcW w:w="3220" w:type="dxa"/>
            <w:hideMark/>
          </w:tcPr>
          <w:p w14:paraId="5D7950C1"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Saturday, June 5, 2021</w:t>
            </w:r>
          </w:p>
        </w:tc>
      </w:tr>
      <w:tr w:rsidR="00943D31" w:rsidRPr="00524435" w14:paraId="7C0C6EF0" w14:textId="77777777" w:rsidTr="000B469B">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51E01852"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13.193</w:t>
            </w:r>
          </w:p>
        </w:tc>
        <w:tc>
          <w:tcPr>
            <w:tcW w:w="3340" w:type="dxa"/>
            <w:hideMark/>
          </w:tcPr>
          <w:p w14:paraId="1D11D629"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 xml:space="preserve">Thomas Scot </w:t>
            </w:r>
            <w:proofErr w:type="spellStart"/>
            <w:r w:rsidRPr="00524435">
              <w:rPr>
                <w:rFonts w:ascii="Cambria" w:eastAsia="Times New Roman" w:hAnsi="Cambria" w:cs="Segoe UI"/>
                <w:color w:val="000000"/>
                <w:sz w:val="18"/>
                <w:szCs w:val="18"/>
              </w:rPr>
              <w:t>Chocran</w:t>
            </w:r>
            <w:proofErr w:type="spellEnd"/>
          </w:p>
        </w:tc>
        <w:tc>
          <w:tcPr>
            <w:tcW w:w="940" w:type="dxa"/>
            <w:hideMark/>
          </w:tcPr>
          <w:p w14:paraId="5051AA9A"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CR</w:t>
            </w:r>
          </w:p>
        </w:tc>
        <w:tc>
          <w:tcPr>
            <w:tcW w:w="3220" w:type="dxa"/>
            <w:hideMark/>
          </w:tcPr>
          <w:p w14:paraId="680AA943"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Sunday, June 6, 2021</w:t>
            </w:r>
          </w:p>
        </w:tc>
      </w:tr>
      <w:tr w:rsidR="00943D31" w:rsidRPr="00524435" w14:paraId="35A9D5D8" w14:textId="77777777" w:rsidTr="000B469B">
        <w:trPr>
          <w:cnfStyle w:val="000000010000" w:firstRow="0" w:lastRow="0" w:firstColumn="0" w:lastColumn="0" w:oddVBand="0" w:evenVBand="0" w:oddHBand="0" w:evenHBand="1" w:firstRowFirstColumn="0" w:firstRowLastColumn="0" w:lastRowFirstColumn="0" w:lastRowLastColumn="0"/>
          <w:trHeight w:val="255"/>
        </w:trPr>
        <w:tc>
          <w:tcPr>
            <w:tcW w:w="2020" w:type="dxa"/>
            <w:hideMark/>
          </w:tcPr>
          <w:p w14:paraId="0408FA35"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13.31</w:t>
            </w:r>
          </w:p>
        </w:tc>
        <w:tc>
          <w:tcPr>
            <w:tcW w:w="3340" w:type="dxa"/>
            <w:hideMark/>
          </w:tcPr>
          <w:p w14:paraId="67737108" w14:textId="77777777" w:rsidR="00943D31" w:rsidRPr="00524435" w:rsidRDefault="00943D31" w:rsidP="000B469B">
            <w:pPr>
              <w:jc w:val="center"/>
              <w:rPr>
                <w:rFonts w:ascii="Cambria" w:eastAsia="Times New Roman" w:hAnsi="Cambria" w:cs="Segoe UI"/>
                <w:color w:val="000000"/>
                <w:sz w:val="18"/>
                <w:szCs w:val="18"/>
              </w:rPr>
            </w:pPr>
            <w:proofErr w:type="spellStart"/>
            <w:r w:rsidRPr="00524435">
              <w:rPr>
                <w:rFonts w:ascii="Cambria" w:eastAsia="Times New Roman" w:hAnsi="Cambria" w:cs="Segoe UI"/>
                <w:color w:val="000000"/>
                <w:sz w:val="18"/>
                <w:szCs w:val="18"/>
              </w:rPr>
              <w:t>Ovidio</w:t>
            </w:r>
            <w:proofErr w:type="spellEnd"/>
            <w:r w:rsidRPr="00524435">
              <w:rPr>
                <w:rFonts w:ascii="Cambria" w:eastAsia="Times New Roman" w:hAnsi="Cambria" w:cs="Segoe UI"/>
                <w:color w:val="000000"/>
                <w:sz w:val="18"/>
                <w:szCs w:val="18"/>
              </w:rPr>
              <w:t xml:space="preserve"> Jesús </w:t>
            </w:r>
            <w:proofErr w:type="spellStart"/>
            <w:r w:rsidRPr="00524435">
              <w:rPr>
                <w:rFonts w:ascii="Cambria" w:eastAsia="Times New Roman" w:hAnsi="Cambria" w:cs="Segoe UI"/>
                <w:color w:val="000000"/>
                <w:sz w:val="18"/>
                <w:szCs w:val="18"/>
              </w:rPr>
              <w:t>Poggioli</w:t>
            </w:r>
            <w:proofErr w:type="spellEnd"/>
            <w:r w:rsidRPr="00524435">
              <w:rPr>
                <w:rFonts w:ascii="Cambria" w:eastAsia="Times New Roman" w:hAnsi="Cambria" w:cs="Segoe UI"/>
                <w:color w:val="000000"/>
                <w:sz w:val="18"/>
                <w:szCs w:val="18"/>
              </w:rPr>
              <w:t xml:space="preserve"> Pérez</w:t>
            </w:r>
          </w:p>
        </w:tc>
        <w:tc>
          <w:tcPr>
            <w:tcW w:w="940" w:type="dxa"/>
            <w:hideMark/>
          </w:tcPr>
          <w:p w14:paraId="52C43F6F"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VEN</w:t>
            </w:r>
          </w:p>
        </w:tc>
        <w:tc>
          <w:tcPr>
            <w:tcW w:w="3220" w:type="dxa"/>
            <w:hideMark/>
          </w:tcPr>
          <w:p w14:paraId="4DC26502"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Friday, June 18, 2021</w:t>
            </w:r>
          </w:p>
        </w:tc>
      </w:tr>
      <w:tr w:rsidR="00943D31" w:rsidRPr="00524435" w14:paraId="1A44FF66" w14:textId="77777777" w:rsidTr="000B469B">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4F7D8A52"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12.145</w:t>
            </w:r>
          </w:p>
        </w:tc>
        <w:tc>
          <w:tcPr>
            <w:tcW w:w="3340" w:type="dxa"/>
            <w:hideMark/>
          </w:tcPr>
          <w:p w14:paraId="1E30573D"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 xml:space="preserve">Kevin Dial y Andrew </w:t>
            </w:r>
            <w:proofErr w:type="spellStart"/>
            <w:r w:rsidRPr="00524435">
              <w:rPr>
                <w:rFonts w:ascii="Cambria" w:eastAsia="Times New Roman" w:hAnsi="Cambria" w:cs="Segoe UI"/>
                <w:color w:val="000000"/>
                <w:sz w:val="18"/>
                <w:szCs w:val="18"/>
              </w:rPr>
              <w:t>Dottin</w:t>
            </w:r>
            <w:proofErr w:type="spellEnd"/>
          </w:p>
        </w:tc>
        <w:tc>
          <w:tcPr>
            <w:tcW w:w="940" w:type="dxa"/>
            <w:hideMark/>
          </w:tcPr>
          <w:p w14:paraId="3F8F84C5"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TT</w:t>
            </w:r>
          </w:p>
        </w:tc>
        <w:tc>
          <w:tcPr>
            <w:tcW w:w="3220" w:type="dxa"/>
            <w:hideMark/>
          </w:tcPr>
          <w:p w14:paraId="7FE54996"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Wednesday, June 23, 2021</w:t>
            </w:r>
          </w:p>
        </w:tc>
      </w:tr>
      <w:tr w:rsidR="00943D31" w:rsidRPr="00524435" w14:paraId="3D0A1068" w14:textId="77777777" w:rsidTr="000B469B">
        <w:trPr>
          <w:cnfStyle w:val="000000010000" w:firstRow="0" w:lastRow="0" w:firstColumn="0" w:lastColumn="0" w:oddVBand="0" w:evenVBand="0" w:oddHBand="0" w:evenHBand="1" w:firstRowFirstColumn="0" w:firstRowLastColumn="0" w:lastRowFirstColumn="0" w:lastRowLastColumn="0"/>
          <w:trHeight w:val="255"/>
        </w:trPr>
        <w:tc>
          <w:tcPr>
            <w:tcW w:w="2020" w:type="dxa"/>
            <w:hideMark/>
          </w:tcPr>
          <w:p w14:paraId="6406A1ED"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12.74</w:t>
            </w:r>
          </w:p>
        </w:tc>
        <w:tc>
          <w:tcPr>
            <w:tcW w:w="3340" w:type="dxa"/>
            <w:hideMark/>
          </w:tcPr>
          <w:p w14:paraId="6D7EF1F0" w14:textId="77777777" w:rsidR="00943D31" w:rsidRPr="00524435" w:rsidRDefault="00943D31" w:rsidP="000B469B">
            <w:pPr>
              <w:jc w:val="center"/>
              <w:rPr>
                <w:rFonts w:ascii="Cambria" w:eastAsia="Times New Roman" w:hAnsi="Cambria" w:cs="Segoe UI"/>
                <w:color w:val="000000"/>
                <w:sz w:val="18"/>
                <w:szCs w:val="18"/>
              </w:rPr>
            </w:pPr>
            <w:proofErr w:type="spellStart"/>
            <w:r w:rsidRPr="00524435">
              <w:rPr>
                <w:rFonts w:ascii="Cambria" w:eastAsia="Times New Roman" w:hAnsi="Cambria" w:cs="Segoe UI"/>
                <w:color w:val="000000"/>
                <w:sz w:val="18"/>
                <w:szCs w:val="18"/>
              </w:rPr>
              <w:t>Reshi</w:t>
            </w:r>
            <w:proofErr w:type="spellEnd"/>
            <w:r w:rsidRPr="00524435">
              <w:rPr>
                <w:rFonts w:ascii="Cambria" w:eastAsia="Times New Roman" w:hAnsi="Cambria" w:cs="Segoe UI"/>
                <w:color w:val="000000"/>
                <w:sz w:val="18"/>
                <w:szCs w:val="18"/>
              </w:rPr>
              <w:t xml:space="preserve"> </w:t>
            </w:r>
            <w:proofErr w:type="spellStart"/>
            <w:r w:rsidRPr="00524435">
              <w:rPr>
                <w:rFonts w:ascii="Cambria" w:eastAsia="Times New Roman" w:hAnsi="Cambria" w:cs="Segoe UI"/>
                <w:color w:val="000000"/>
                <w:sz w:val="18"/>
                <w:szCs w:val="18"/>
              </w:rPr>
              <w:t>Bissoon</w:t>
            </w:r>
            <w:proofErr w:type="spellEnd"/>
            <w:r w:rsidRPr="00524435">
              <w:rPr>
                <w:rFonts w:ascii="Cambria" w:eastAsia="Times New Roman" w:hAnsi="Cambria" w:cs="Segoe UI"/>
                <w:color w:val="000000"/>
                <w:sz w:val="18"/>
                <w:szCs w:val="18"/>
              </w:rPr>
              <w:t xml:space="preserve"> and Foster Serrette</w:t>
            </w:r>
          </w:p>
        </w:tc>
        <w:tc>
          <w:tcPr>
            <w:tcW w:w="940" w:type="dxa"/>
            <w:hideMark/>
          </w:tcPr>
          <w:p w14:paraId="3A147328"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TT</w:t>
            </w:r>
          </w:p>
        </w:tc>
        <w:tc>
          <w:tcPr>
            <w:tcW w:w="3220" w:type="dxa"/>
            <w:hideMark/>
          </w:tcPr>
          <w:p w14:paraId="3D929FD2"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Tuesday, June 29, 2021</w:t>
            </w:r>
          </w:p>
        </w:tc>
      </w:tr>
      <w:tr w:rsidR="00943D31" w:rsidRPr="00524435" w14:paraId="337C2952" w14:textId="77777777" w:rsidTr="000B469B">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46244CCF"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12.999</w:t>
            </w:r>
          </w:p>
        </w:tc>
        <w:tc>
          <w:tcPr>
            <w:tcW w:w="3340" w:type="dxa"/>
            <w:hideMark/>
          </w:tcPr>
          <w:p w14:paraId="79A371AB" w14:textId="4D73C615"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 xml:space="preserve">Julio </w:t>
            </w:r>
            <w:proofErr w:type="spellStart"/>
            <w:r w:rsidRPr="00524435">
              <w:rPr>
                <w:rFonts w:ascii="Cambria" w:eastAsia="Times New Roman" w:hAnsi="Cambria" w:cs="Segoe UI"/>
                <w:color w:val="000000"/>
                <w:sz w:val="18"/>
                <w:szCs w:val="18"/>
              </w:rPr>
              <w:t>Viteri</w:t>
            </w:r>
            <w:proofErr w:type="spellEnd"/>
            <w:r w:rsidRPr="00524435">
              <w:rPr>
                <w:rFonts w:ascii="Cambria" w:eastAsia="Times New Roman" w:hAnsi="Cambria" w:cs="Segoe UI"/>
                <w:color w:val="000000"/>
                <w:sz w:val="18"/>
                <w:szCs w:val="18"/>
              </w:rPr>
              <w:t xml:space="preserve"> </w:t>
            </w:r>
            <w:proofErr w:type="spellStart"/>
            <w:r w:rsidRPr="00524435">
              <w:rPr>
                <w:rFonts w:ascii="Cambria" w:eastAsia="Times New Roman" w:hAnsi="Cambria" w:cs="Segoe UI"/>
                <w:color w:val="000000"/>
                <w:sz w:val="18"/>
                <w:szCs w:val="18"/>
              </w:rPr>
              <w:t>Ungaretti</w:t>
            </w:r>
            <w:proofErr w:type="spellEnd"/>
            <w:r w:rsidRPr="00524435">
              <w:rPr>
                <w:rFonts w:ascii="Cambria" w:eastAsia="Times New Roman" w:hAnsi="Cambria" w:cs="Segoe UI"/>
                <w:color w:val="000000"/>
                <w:sz w:val="18"/>
                <w:szCs w:val="18"/>
              </w:rPr>
              <w:t xml:space="preserve"> </w:t>
            </w:r>
            <w:r w:rsidR="0030565E" w:rsidRPr="00524435">
              <w:rPr>
                <w:rFonts w:ascii="Cambria" w:eastAsia="Times New Roman" w:hAnsi="Cambria" w:cs="Segoe UI"/>
                <w:color w:val="000000"/>
                <w:sz w:val="18"/>
                <w:szCs w:val="18"/>
              </w:rPr>
              <w:t>and family</w:t>
            </w:r>
          </w:p>
        </w:tc>
        <w:tc>
          <w:tcPr>
            <w:tcW w:w="940" w:type="dxa"/>
            <w:hideMark/>
          </w:tcPr>
          <w:p w14:paraId="0E4CB079"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ECU</w:t>
            </w:r>
          </w:p>
        </w:tc>
        <w:tc>
          <w:tcPr>
            <w:tcW w:w="3220" w:type="dxa"/>
            <w:hideMark/>
          </w:tcPr>
          <w:p w14:paraId="2F1AD578"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Monday, July 5, 2021</w:t>
            </w:r>
          </w:p>
        </w:tc>
      </w:tr>
      <w:tr w:rsidR="00943D31" w:rsidRPr="00524435" w14:paraId="6FDE2123" w14:textId="77777777" w:rsidTr="000B469B">
        <w:trPr>
          <w:cnfStyle w:val="000000010000" w:firstRow="0" w:lastRow="0" w:firstColumn="0" w:lastColumn="0" w:oddVBand="0" w:evenVBand="0" w:oddHBand="0" w:evenHBand="1" w:firstRowFirstColumn="0" w:firstRowLastColumn="0" w:lastRowFirstColumn="0" w:lastRowLastColumn="0"/>
          <w:trHeight w:val="255"/>
        </w:trPr>
        <w:tc>
          <w:tcPr>
            <w:tcW w:w="2020" w:type="dxa"/>
            <w:hideMark/>
          </w:tcPr>
          <w:p w14:paraId="3D4A08A1"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12.744</w:t>
            </w:r>
          </w:p>
        </w:tc>
        <w:tc>
          <w:tcPr>
            <w:tcW w:w="3340" w:type="dxa"/>
            <w:hideMark/>
          </w:tcPr>
          <w:p w14:paraId="5C39DA29"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 xml:space="preserve">Fredy Marcelo </w:t>
            </w:r>
            <w:proofErr w:type="spellStart"/>
            <w:r w:rsidRPr="00524435">
              <w:rPr>
                <w:rFonts w:ascii="Cambria" w:eastAsia="Times New Roman" w:hAnsi="Cambria" w:cs="Segoe UI"/>
                <w:color w:val="000000"/>
                <w:sz w:val="18"/>
                <w:szCs w:val="18"/>
              </w:rPr>
              <w:t>Núñez</w:t>
            </w:r>
            <w:proofErr w:type="spellEnd"/>
          </w:p>
        </w:tc>
        <w:tc>
          <w:tcPr>
            <w:tcW w:w="940" w:type="dxa"/>
            <w:hideMark/>
          </w:tcPr>
          <w:p w14:paraId="32733049"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ECU</w:t>
            </w:r>
          </w:p>
        </w:tc>
        <w:tc>
          <w:tcPr>
            <w:tcW w:w="3220" w:type="dxa"/>
            <w:hideMark/>
          </w:tcPr>
          <w:p w14:paraId="08102EC0"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Saturday, July 10, 2021</w:t>
            </w:r>
          </w:p>
        </w:tc>
      </w:tr>
      <w:tr w:rsidR="00943D31" w:rsidRPr="00524435" w14:paraId="47A7C3B2" w14:textId="77777777" w:rsidTr="000B469B">
        <w:trPr>
          <w:cnfStyle w:val="000000100000" w:firstRow="0" w:lastRow="0" w:firstColumn="0" w:lastColumn="0" w:oddVBand="0" w:evenVBand="0" w:oddHBand="1" w:evenHBand="0" w:firstRowFirstColumn="0" w:firstRowLastColumn="0" w:lastRowFirstColumn="0" w:lastRowLastColumn="0"/>
          <w:trHeight w:val="435"/>
        </w:trPr>
        <w:tc>
          <w:tcPr>
            <w:tcW w:w="2020" w:type="dxa"/>
            <w:hideMark/>
          </w:tcPr>
          <w:p w14:paraId="37AA2E0E"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12.571</w:t>
            </w:r>
          </w:p>
        </w:tc>
        <w:tc>
          <w:tcPr>
            <w:tcW w:w="3340" w:type="dxa"/>
            <w:hideMark/>
          </w:tcPr>
          <w:p w14:paraId="16B5B01F" w14:textId="77777777" w:rsidR="00943D31" w:rsidRPr="007A5442" w:rsidRDefault="00943D31" w:rsidP="000B469B">
            <w:pPr>
              <w:jc w:val="center"/>
              <w:rPr>
                <w:rFonts w:ascii="Cambria" w:eastAsia="Times New Roman" w:hAnsi="Cambria" w:cs="Segoe UI"/>
                <w:color w:val="000000"/>
                <w:sz w:val="18"/>
                <w:szCs w:val="18"/>
                <w:lang w:val="pt-PT"/>
              </w:rPr>
            </w:pPr>
            <w:r w:rsidRPr="007A5442">
              <w:rPr>
                <w:rFonts w:ascii="Cambria" w:eastAsia="Times New Roman" w:hAnsi="Cambria" w:cs="Segoe UI"/>
                <w:color w:val="000000"/>
                <w:sz w:val="18"/>
                <w:szCs w:val="18"/>
                <w:lang w:val="pt-PT"/>
              </w:rPr>
              <w:t>Neusa dos Santos Nascimento e Gisele Ana Ferreira</w:t>
            </w:r>
          </w:p>
        </w:tc>
        <w:tc>
          <w:tcPr>
            <w:tcW w:w="940" w:type="dxa"/>
            <w:hideMark/>
          </w:tcPr>
          <w:p w14:paraId="5332515A"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BRA</w:t>
            </w:r>
          </w:p>
        </w:tc>
        <w:tc>
          <w:tcPr>
            <w:tcW w:w="3220" w:type="dxa"/>
            <w:hideMark/>
          </w:tcPr>
          <w:p w14:paraId="4C67DD76"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Thursday, July 29, 2021</w:t>
            </w:r>
          </w:p>
        </w:tc>
      </w:tr>
      <w:tr w:rsidR="00943D31" w:rsidRPr="00524435" w14:paraId="0D1005F1" w14:textId="77777777" w:rsidTr="000B469B">
        <w:trPr>
          <w:cnfStyle w:val="000000010000" w:firstRow="0" w:lastRow="0" w:firstColumn="0" w:lastColumn="0" w:oddVBand="0" w:evenVBand="0" w:oddHBand="0" w:evenHBand="1" w:firstRowFirstColumn="0" w:firstRowLastColumn="0" w:lastRowFirstColumn="0" w:lastRowLastColumn="0"/>
          <w:trHeight w:val="255"/>
        </w:trPr>
        <w:tc>
          <w:tcPr>
            <w:tcW w:w="2020" w:type="dxa"/>
            <w:hideMark/>
          </w:tcPr>
          <w:p w14:paraId="0A0B569D"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lastRenderedPageBreak/>
              <w:t>12.396</w:t>
            </w:r>
          </w:p>
        </w:tc>
        <w:tc>
          <w:tcPr>
            <w:tcW w:w="3340" w:type="dxa"/>
            <w:hideMark/>
          </w:tcPr>
          <w:p w14:paraId="70067B6E" w14:textId="77777777" w:rsidR="00943D31" w:rsidRPr="00524435" w:rsidRDefault="00943D31" w:rsidP="000B469B">
            <w:pPr>
              <w:jc w:val="center"/>
              <w:rPr>
                <w:rFonts w:ascii="Cambria" w:eastAsia="Times New Roman" w:hAnsi="Cambria" w:cs="Segoe UI"/>
                <w:color w:val="000000"/>
                <w:sz w:val="18"/>
                <w:szCs w:val="18"/>
              </w:rPr>
            </w:pPr>
            <w:proofErr w:type="spellStart"/>
            <w:r w:rsidRPr="00524435">
              <w:rPr>
                <w:rFonts w:ascii="Cambria" w:eastAsia="Times New Roman" w:hAnsi="Cambria" w:cs="Segoe UI"/>
                <w:color w:val="000000"/>
                <w:sz w:val="18"/>
                <w:szCs w:val="18"/>
              </w:rPr>
              <w:t>Leónidas</w:t>
            </w:r>
            <w:proofErr w:type="spellEnd"/>
            <w:r w:rsidRPr="00524435">
              <w:rPr>
                <w:rFonts w:ascii="Cambria" w:eastAsia="Times New Roman" w:hAnsi="Cambria" w:cs="Segoe UI"/>
                <w:color w:val="000000"/>
                <w:sz w:val="18"/>
                <w:szCs w:val="18"/>
              </w:rPr>
              <w:t xml:space="preserve"> </w:t>
            </w:r>
            <w:proofErr w:type="spellStart"/>
            <w:r w:rsidRPr="00524435">
              <w:rPr>
                <w:rFonts w:ascii="Cambria" w:eastAsia="Times New Roman" w:hAnsi="Cambria" w:cs="Segoe UI"/>
                <w:color w:val="000000"/>
                <w:sz w:val="18"/>
                <w:szCs w:val="18"/>
              </w:rPr>
              <w:t>Bendezú</w:t>
            </w:r>
            <w:proofErr w:type="spellEnd"/>
            <w:r w:rsidRPr="00524435">
              <w:rPr>
                <w:rFonts w:ascii="Cambria" w:eastAsia="Times New Roman" w:hAnsi="Cambria" w:cs="Segoe UI"/>
                <w:color w:val="000000"/>
                <w:sz w:val="18"/>
                <w:szCs w:val="18"/>
              </w:rPr>
              <w:t xml:space="preserve"> </w:t>
            </w:r>
            <w:proofErr w:type="spellStart"/>
            <w:r w:rsidRPr="00524435">
              <w:rPr>
                <w:rFonts w:ascii="Cambria" w:eastAsia="Times New Roman" w:hAnsi="Cambria" w:cs="Segoe UI"/>
                <w:color w:val="000000"/>
                <w:sz w:val="18"/>
                <w:szCs w:val="18"/>
              </w:rPr>
              <w:t>Tuncar</w:t>
            </w:r>
            <w:proofErr w:type="spellEnd"/>
          </w:p>
        </w:tc>
        <w:tc>
          <w:tcPr>
            <w:tcW w:w="940" w:type="dxa"/>
            <w:hideMark/>
          </w:tcPr>
          <w:p w14:paraId="43BA2638"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PER</w:t>
            </w:r>
          </w:p>
        </w:tc>
        <w:tc>
          <w:tcPr>
            <w:tcW w:w="3220" w:type="dxa"/>
            <w:hideMark/>
          </w:tcPr>
          <w:p w14:paraId="5759048A"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Friday, August 20, 2021</w:t>
            </w:r>
          </w:p>
        </w:tc>
      </w:tr>
      <w:tr w:rsidR="00943D31" w:rsidRPr="00524435" w14:paraId="4B91D915" w14:textId="77777777" w:rsidTr="000B469B">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3AC09FEE"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12.803</w:t>
            </w:r>
          </w:p>
        </w:tc>
        <w:tc>
          <w:tcPr>
            <w:tcW w:w="3340" w:type="dxa"/>
            <w:hideMark/>
          </w:tcPr>
          <w:p w14:paraId="0AC43BD7"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 xml:space="preserve">Arles </w:t>
            </w:r>
            <w:proofErr w:type="spellStart"/>
            <w:r w:rsidRPr="00524435">
              <w:rPr>
                <w:rFonts w:ascii="Cambria" w:eastAsia="Times New Roman" w:hAnsi="Cambria" w:cs="Segoe UI"/>
                <w:color w:val="000000"/>
                <w:sz w:val="18"/>
                <w:szCs w:val="18"/>
              </w:rPr>
              <w:t>Edisson</w:t>
            </w:r>
            <w:proofErr w:type="spellEnd"/>
            <w:r w:rsidRPr="00524435">
              <w:rPr>
                <w:rFonts w:ascii="Cambria" w:eastAsia="Times New Roman" w:hAnsi="Cambria" w:cs="Segoe UI"/>
                <w:color w:val="000000"/>
                <w:sz w:val="18"/>
                <w:szCs w:val="18"/>
              </w:rPr>
              <w:t xml:space="preserve"> Guzmán Medina</w:t>
            </w:r>
          </w:p>
        </w:tc>
        <w:tc>
          <w:tcPr>
            <w:tcW w:w="940" w:type="dxa"/>
            <w:hideMark/>
          </w:tcPr>
          <w:p w14:paraId="25385A6F"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COL</w:t>
            </w:r>
          </w:p>
        </w:tc>
        <w:tc>
          <w:tcPr>
            <w:tcW w:w="3220" w:type="dxa"/>
            <w:hideMark/>
          </w:tcPr>
          <w:p w14:paraId="7DF2180E"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Sunday, September 5, 2021</w:t>
            </w:r>
          </w:p>
        </w:tc>
      </w:tr>
      <w:tr w:rsidR="00943D31" w:rsidRPr="00524435" w14:paraId="63851426" w14:textId="77777777" w:rsidTr="000B469B">
        <w:trPr>
          <w:cnfStyle w:val="000000010000" w:firstRow="0" w:lastRow="0" w:firstColumn="0" w:lastColumn="0" w:oddVBand="0" w:evenVBand="0" w:oddHBand="0" w:evenHBand="1" w:firstRowFirstColumn="0" w:firstRowLastColumn="0" w:lastRowFirstColumn="0" w:lastRowLastColumn="0"/>
          <w:trHeight w:val="255"/>
        </w:trPr>
        <w:tc>
          <w:tcPr>
            <w:tcW w:w="2020" w:type="dxa"/>
            <w:hideMark/>
          </w:tcPr>
          <w:p w14:paraId="3541C82E"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12.363</w:t>
            </w:r>
          </w:p>
        </w:tc>
        <w:tc>
          <w:tcPr>
            <w:tcW w:w="3340" w:type="dxa"/>
            <w:hideMark/>
          </w:tcPr>
          <w:p w14:paraId="37A9667A"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Juan José Meza</w:t>
            </w:r>
          </w:p>
        </w:tc>
        <w:tc>
          <w:tcPr>
            <w:tcW w:w="940" w:type="dxa"/>
            <w:hideMark/>
          </w:tcPr>
          <w:p w14:paraId="78CD2105"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ECU</w:t>
            </w:r>
          </w:p>
        </w:tc>
        <w:tc>
          <w:tcPr>
            <w:tcW w:w="3220" w:type="dxa"/>
            <w:hideMark/>
          </w:tcPr>
          <w:p w14:paraId="7078C0B0"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Thursday, September 9, 2021</w:t>
            </w:r>
          </w:p>
        </w:tc>
      </w:tr>
      <w:tr w:rsidR="00943D31" w:rsidRPr="00524435" w14:paraId="06642CAD" w14:textId="77777777" w:rsidTr="000B469B">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0362EB85"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12.809</w:t>
            </w:r>
          </w:p>
        </w:tc>
        <w:tc>
          <w:tcPr>
            <w:tcW w:w="3340" w:type="dxa"/>
            <w:hideMark/>
          </w:tcPr>
          <w:p w14:paraId="04F20E82" w14:textId="5E6C1464" w:rsidR="00943D31" w:rsidRPr="00524435" w:rsidRDefault="00943D31" w:rsidP="000B469B">
            <w:pPr>
              <w:jc w:val="center"/>
              <w:rPr>
                <w:rFonts w:ascii="Cambria" w:eastAsia="Times New Roman" w:hAnsi="Cambria" w:cs="Segoe UI"/>
                <w:color w:val="000000"/>
                <w:sz w:val="18"/>
                <w:szCs w:val="18"/>
              </w:rPr>
            </w:pPr>
            <w:proofErr w:type="spellStart"/>
            <w:r w:rsidRPr="00524435">
              <w:rPr>
                <w:rFonts w:ascii="Cambria" w:eastAsia="Times New Roman" w:hAnsi="Cambria" w:cs="Segoe UI"/>
                <w:color w:val="000000"/>
                <w:sz w:val="18"/>
                <w:szCs w:val="18"/>
              </w:rPr>
              <w:t>Aníbal</w:t>
            </w:r>
            <w:proofErr w:type="spellEnd"/>
            <w:r w:rsidRPr="00524435">
              <w:rPr>
                <w:rFonts w:ascii="Cambria" w:eastAsia="Times New Roman" w:hAnsi="Cambria" w:cs="Segoe UI"/>
                <w:color w:val="000000"/>
                <w:sz w:val="18"/>
                <w:szCs w:val="18"/>
              </w:rPr>
              <w:t xml:space="preserve"> Alonso </w:t>
            </w:r>
            <w:proofErr w:type="spellStart"/>
            <w:r w:rsidRPr="00524435">
              <w:rPr>
                <w:rFonts w:ascii="Cambria" w:eastAsia="Times New Roman" w:hAnsi="Cambria" w:cs="Segoe UI"/>
                <w:color w:val="000000"/>
                <w:sz w:val="18"/>
                <w:szCs w:val="18"/>
              </w:rPr>
              <w:t>Aguas</w:t>
            </w:r>
            <w:proofErr w:type="spellEnd"/>
            <w:r w:rsidRPr="00524435">
              <w:rPr>
                <w:rFonts w:ascii="Cambria" w:eastAsia="Times New Roman" w:hAnsi="Cambria" w:cs="Segoe UI"/>
                <w:color w:val="000000"/>
                <w:sz w:val="18"/>
                <w:szCs w:val="18"/>
              </w:rPr>
              <w:t xml:space="preserve"> Acosta </w:t>
            </w:r>
            <w:r w:rsidR="0030565E" w:rsidRPr="00524435">
              <w:rPr>
                <w:rFonts w:ascii="Cambria" w:eastAsia="Times New Roman" w:hAnsi="Cambria" w:cs="Segoe UI"/>
                <w:color w:val="000000"/>
                <w:sz w:val="18"/>
                <w:szCs w:val="18"/>
              </w:rPr>
              <w:t>and family</w:t>
            </w:r>
          </w:p>
        </w:tc>
        <w:tc>
          <w:tcPr>
            <w:tcW w:w="940" w:type="dxa"/>
            <w:hideMark/>
          </w:tcPr>
          <w:p w14:paraId="552345C0"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ECU</w:t>
            </w:r>
          </w:p>
        </w:tc>
        <w:tc>
          <w:tcPr>
            <w:tcW w:w="3220" w:type="dxa"/>
            <w:hideMark/>
          </w:tcPr>
          <w:p w14:paraId="4537BD40"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Wednesday, September 15, 2021</w:t>
            </w:r>
          </w:p>
        </w:tc>
      </w:tr>
      <w:tr w:rsidR="00943D31" w:rsidRPr="00524435" w14:paraId="00E3DED0" w14:textId="77777777" w:rsidTr="000B469B">
        <w:trPr>
          <w:cnfStyle w:val="000000010000" w:firstRow="0" w:lastRow="0" w:firstColumn="0" w:lastColumn="0" w:oddVBand="0" w:evenVBand="0" w:oddHBand="0" w:evenHBand="1" w:firstRowFirstColumn="0" w:firstRowLastColumn="0" w:lastRowFirstColumn="0" w:lastRowLastColumn="0"/>
          <w:trHeight w:val="255"/>
        </w:trPr>
        <w:tc>
          <w:tcPr>
            <w:tcW w:w="2020" w:type="dxa"/>
            <w:hideMark/>
          </w:tcPr>
          <w:p w14:paraId="4C1295F4"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11.774</w:t>
            </w:r>
          </w:p>
        </w:tc>
        <w:tc>
          <w:tcPr>
            <w:tcW w:w="3340" w:type="dxa"/>
            <w:hideMark/>
          </w:tcPr>
          <w:p w14:paraId="000F98D2"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 xml:space="preserve">Héctor Hugo </w:t>
            </w:r>
            <w:proofErr w:type="spellStart"/>
            <w:r w:rsidRPr="00524435">
              <w:rPr>
                <w:rFonts w:ascii="Cambria" w:eastAsia="Times New Roman" w:hAnsi="Cambria" w:cs="Segoe UI"/>
                <w:color w:val="000000"/>
                <w:sz w:val="18"/>
                <w:szCs w:val="18"/>
              </w:rPr>
              <w:t>Boleso</w:t>
            </w:r>
            <w:proofErr w:type="spellEnd"/>
          </w:p>
        </w:tc>
        <w:tc>
          <w:tcPr>
            <w:tcW w:w="940" w:type="dxa"/>
            <w:hideMark/>
          </w:tcPr>
          <w:p w14:paraId="71666855"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ARG</w:t>
            </w:r>
          </w:p>
        </w:tc>
        <w:tc>
          <w:tcPr>
            <w:tcW w:w="3220" w:type="dxa"/>
            <w:hideMark/>
          </w:tcPr>
          <w:p w14:paraId="00BD7FFE"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Tuesday, September 21, 2021</w:t>
            </w:r>
          </w:p>
        </w:tc>
      </w:tr>
      <w:tr w:rsidR="00943D31" w:rsidRPr="00524435" w14:paraId="5CEA304F" w14:textId="77777777" w:rsidTr="000B469B">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40E77322"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12.718</w:t>
            </w:r>
          </w:p>
        </w:tc>
        <w:tc>
          <w:tcPr>
            <w:tcW w:w="3340" w:type="dxa"/>
            <w:hideMark/>
          </w:tcPr>
          <w:p w14:paraId="0A38ACB7" w14:textId="77777777" w:rsidR="00943D31" w:rsidRPr="00524435" w:rsidRDefault="00943D31" w:rsidP="000B469B">
            <w:pPr>
              <w:jc w:val="center"/>
              <w:rPr>
                <w:rFonts w:ascii="Cambria" w:eastAsia="Times New Roman" w:hAnsi="Cambria" w:cs="Segoe UI"/>
                <w:color w:val="000000"/>
                <w:sz w:val="18"/>
                <w:szCs w:val="18"/>
              </w:rPr>
            </w:pPr>
            <w:proofErr w:type="spellStart"/>
            <w:r w:rsidRPr="00524435">
              <w:rPr>
                <w:rFonts w:ascii="Cambria" w:eastAsia="Times New Roman" w:hAnsi="Cambria" w:cs="Segoe UI"/>
                <w:color w:val="000000"/>
                <w:sz w:val="18"/>
                <w:szCs w:val="18"/>
              </w:rPr>
              <w:t>Comunidad</w:t>
            </w:r>
            <w:proofErr w:type="spellEnd"/>
            <w:r w:rsidRPr="00524435">
              <w:rPr>
                <w:rFonts w:ascii="Cambria" w:eastAsia="Times New Roman" w:hAnsi="Cambria" w:cs="Segoe UI"/>
                <w:color w:val="000000"/>
                <w:sz w:val="18"/>
                <w:szCs w:val="18"/>
              </w:rPr>
              <w:t xml:space="preserve"> de La Oroya</w:t>
            </w:r>
          </w:p>
        </w:tc>
        <w:tc>
          <w:tcPr>
            <w:tcW w:w="940" w:type="dxa"/>
            <w:hideMark/>
          </w:tcPr>
          <w:p w14:paraId="3B46AD0A"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PER</w:t>
            </w:r>
          </w:p>
        </w:tc>
        <w:tc>
          <w:tcPr>
            <w:tcW w:w="3220" w:type="dxa"/>
            <w:hideMark/>
          </w:tcPr>
          <w:p w14:paraId="21693A31"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Thursday, September 30, 2021</w:t>
            </w:r>
          </w:p>
        </w:tc>
      </w:tr>
      <w:tr w:rsidR="00943D31" w:rsidRPr="00524435" w14:paraId="125195F9" w14:textId="77777777" w:rsidTr="000B469B">
        <w:trPr>
          <w:cnfStyle w:val="000000010000" w:firstRow="0" w:lastRow="0" w:firstColumn="0" w:lastColumn="0" w:oddVBand="0" w:evenVBand="0" w:oddHBand="0" w:evenHBand="1" w:firstRowFirstColumn="0" w:firstRowLastColumn="0" w:lastRowFirstColumn="0" w:lastRowLastColumn="0"/>
          <w:trHeight w:val="255"/>
        </w:trPr>
        <w:tc>
          <w:tcPr>
            <w:tcW w:w="2020" w:type="dxa"/>
            <w:hideMark/>
          </w:tcPr>
          <w:p w14:paraId="1F4C1D9E"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13.045</w:t>
            </w:r>
          </w:p>
        </w:tc>
        <w:tc>
          <w:tcPr>
            <w:tcW w:w="3340" w:type="dxa"/>
            <w:hideMark/>
          </w:tcPr>
          <w:p w14:paraId="461904D9" w14:textId="77777777" w:rsidR="00943D31" w:rsidRPr="00524435" w:rsidRDefault="00943D31" w:rsidP="000B469B">
            <w:pPr>
              <w:jc w:val="center"/>
              <w:rPr>
                <w:rFonts w:ascii="Cambria" w:eastAsia="Times New Roman" w:hAnsi="Cambria" w:cs="Segoe UI"/>
                <w:color w:val="000000"/>
                <w:sz w:val="18"/>
                <w:szCs w:val="18"/>
              </w:rPr>
            </w:pPr>
            <w:proofErr w:type="spellStart"/>
            <w:r w:rsidRPr="00524435">
              <w:rPr>
                <w:rFonts w:ascii="Cambria" w:eastAsia="Times New Roman" w:hAnsi="Cambria" w:cs="Segoe UI"/>
                <w:color w:val="000000"/>
                <w:sz w:val="18"/>
                <w:szCs w:val="18"/>
              </w:rPr>
              <w:t>Saulo</w:t>
            </w:r>
            <w:proofErr w:type="spellEnd"/>
            <w:r w:rsidRPr="00524435">
              <w:rPr>
                <w:rFonts w:ascii="Cambria" w:eastAsia="Times New Roman" w:hAnsi="Cambria" w:cs="Segoe UI"/>
                <w:color w:val="000000"/>
                <w:sz w:val="18"/>
                <w:szCs w:val="18"/>
              </w:rPr>
              <w:t xml:space="preserve"> </w:t>
            </w:r>
            <w:proofErr w:type="spellStart"/>
            <w:r w:rsidRPr="00524435">
              <w:rPr>
                <w:rFonts w:ascii="Cambria" w:eastAsia="Times New Roman" w:hAnsi="Cambria" w:cs="Segoe UI"/>
                <w:color w:val="000000"/>
                <w:sz w:val="18"/>
                <w:szCs w:val="18"/>
              </w:rPr>
              <w:t>Arboleda</w:t>
            </w:r>
            <w:proofErr w:type="spellEnd"/>
            <w:r w:rsidRPr="00524435">
              <w:rPr>
                <w:rFonts w:ascii="Cambria" w:eastAsia="Times New Roman" w:hAnsi="Cambria" w:cs="Segoe UI"/>
                <w:color w:val="000000"/>
                <w:sz w:val="18"/>
                <w:szCs w:val="18"/>
              </w:rPr>
              <w:t xml:space="preserve"> Gómez</w:t>
            </w:r>
          </w:p>
        </w:tc>
        <w:tc>
          <w:tcPr>
            <w:tcW w:w="940" w:type="dxa"/>
            <w:hideMark/>
          </w:tcPr>
          <w:p w14:paraId="48DBD97D"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COL</w:t>
            </w:r>
          </w:p>
        </w:tc>
        <w:tc>
          <w:tcPr>
            <w:tcW w:w="3220" w:type="dxa"/>
            <w:hideMark/>
          </w:tcPr>
          <w:p w14:paraId="35337663"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Thursday, September 30, 2021</w:t>
            </w:r>
          </w:p>
        </w:tc>
      </w:tr>
      <w:tr w:rsidR="00943D31" w:rsidRPr="00524435" w14:paraId="3A8E0185" w14:textId="77777777" w:rsidTr="000B469B">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5EF33B69"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13.054</w:t>
            </w:r>
          </w:p>
        </w:tc>
        <w:tc>
          <w:tcPr>
            <w:tcW w:w="3340" w:type="dxa"/>
            <w:hideMark/>
          </w:tcPr>
          <w:p w14:paraId="343B0FB3" w14:textId="2833B757" w:rsidR="00943D31" w:rsidRPr="007A5442" w:rsidRDefault="00943D31" w:rsidP="000B469B">
            <w:pPr>
              <w:jc w:val="center"/>
              <w:rPr>
                <w:rFonts w:ascii="Cambria" w:eastAsia="Times New Roman" w:hAnsi="Cambria" w:cs="Segoe UI"/>
                <w:color w:val="000000"/>
                <w:sz w:val="18"/>
                <w:szCs w:val="18"/>
                <w:lang w:val="es-ES"/>
              </w:rPr>
            </w:pPr>
            <w:r w:rsidRPr="007A5442">
              <w:rPr>
                <w:rFonts w:ascii="Cambria" w:eastAsia="Times New Roman" w:hAnsi="Cambria" w:cs="Segoe UI"/>
                <w:color w:val="000000"/>
                <w:sz w:val="18"/>
                <w:szCs w:val="18"/>
                <w:lang w:val="es-ES"/>
              </w:rPr>
              <w:t xml:space="preserve">Arturo Benito Vega González </w:t>
            </w:r>
            <w:r w:rsidR="00984FC2" w:rsidRPr="007A5442">
              <w:rPr>
                <w:rFonts w:ascii="Cambria" w:eastAsia="Times New Roman" w:hAnsi="Cambria" w:cs="Segoe UI"/>
                <w:color w:val="000000"/>
                <w:sz w:val="18"/>
                <w:szCs w:val="18"/>
                <w:lang w:val="es-ES"/>
              </w:rPr>
              <w:t>et al.</w:t>
            </w:r>
          </w:p>
        </w:tc>
        <w:tc>
          <w:tcPr>
            <w:tcW w:w="940" w:type="dxa"/>
            <w:hideMark/>
          </w:tcPr>
          <w:p w14:paraId="58D616B9"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CH</w:t>
            </w:r>
          </w:p>
        </w:tc>
        <w:tc>
          <w:tcPr>
            <w:tcW w:w="3220" w:type="dxa"/>
            <w:hideMark/>
          </w:tcPr>
          <w:p w14:paraId="2832A91A"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Friday, November 19, 2021</w:t>
            </w:r>
          </w:p>
        </w:tc>
      </w:tr>
      <w:tr w:rsidR="00943D31" w:rsidRPr="00524435" w14:paraId="5D244DE3" w14:textId="77777777" w:rsidTr="000B469B">
        <w:trPr>
          <w:cnfStyle w:val="000000010000" w:firstRow="0" w:lastRow="0" w:firstColumn="0" w:lastColumn="0" w:oddVBand="0" w:evenVBand="0" w:oddHBand="0" w:evenHBand="1" w:firstRowFirstColumn="0" w:firstRowLastColumn="0" w:lastRowFirstColumn="0" w:lastRowLastColumn="0"/>
          <w:trHeight w:val="255"/>
        </w:trPr>
        <w:tc>
          <w:tcPr>
            <w:tcW w:w="2020" w:type="dxa"/>
            <w:hideMark/>
          </w:tcPr>
          <w:p w14:paraId="74DD1232"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12.902</w:t>
            </w:r>
          </w:p>
        </w:tc>
        <w:tc>
          <w:tcPr>
            <w:tcW w:w="3340" w:type="dxa"/>
            <w:hideMark/>
          </w:tcPr>
          <w:p w14:paraId="601001EC"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Jorge Luis López Sosa</w:t>
            </w:r>
          </w:p>
        </w:tc>
        <w:tc>
          <w:tcPr>
            <w:tcW w:w="940" w:type="dxa"/>
            <w:hideMark/>
          </w:tcPr>
          <w:p w14:paraId="61269B04"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PY</w:t>
            </w:r>
          </w:p>
        </w:tc>
        <w:tc>
          <w:tcPr>
            <w:tcW w:w="3220" w:type="dxa"/>
            <w:hideMark/>
          </w:tcPr>
          <w:p w14:paraId="2115D1F4"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Saturday, November 20, 2021</w:t>
            </w:r>
          </w:p>
        </w:tc>
      </w:tr>
      <w:tr w:rsidR="00943D31" w:rsidRPr="00524435" w14:paraId="45B7D1DA" w14:textId="77777777" w:rsidTr="000B469B">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54CCEBE8"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13.638</w:t>
            </w:r>
          </w:p>
        </w:tc>
        <w:tc>
          <w:tcPr>
            <w:tcW w:w="3340" w:type="dxa"/>
            <w:hideMark/>
          </w:tcPr>
          <w:p w14:paraId="54831971" w14:textId="178FE54C" w:rsidR="00943D31" w:rsidRPr="007A5442" w:rsidRDefault="00943D31" w:rsidP="000B469B">
            <w:pPr>
              <w:jc w:val="center"/>
              <w:rPr>
                <w:rFonts w:ascii="Cambria" w:eastAsia="Times New Roman" w:hAnsi="Cambria" w:cs="Segoe UI"/>
                <w:color w:val="000000"/>
                <w:sz w:val="18"/>
                <w:szCs w:val="18"/>
                <w:lang w:val="es-ES"/>
              </w:rPr>
            </w:pPr>
            <w:r w:rsidRPr="007A5442">
              <w:rPr>
                <w:rFonts w:ascii="Cambria" w:eastAsia="Times New Roman" w:hAnsi="Cambria" w:cs="Segoe UI"/>
                <w:color w:val="000000"/>
                <w:sz w:val="18"/>
                <w:szCs w:val="18"/>
                <w:lang w:val="es-ES"/>
              </w:rPr>
              <w:t xml:space="preserve">José Antonio Gutiérrez Navas </w:t>
            </w:r>
            <w:r w:rsidR="00984FC2" w:rsidRPr="007A5442">
              <w:rPr>
                <w:rFonts w:ascii="Cambria" w:eastAsia="Times New Roman" w:hAnsi="Cambria" w:cs="Segoe UI"/>
                <w:color w:val="000000"/>
                <w:sz w:val="18"/>
                <w:szCs w:val="18"/>
                <w:lang w:val="es-ES"/>
              </w:rPr>
              <w:t>et al.</w:t>
            </w:r>
          </w:p>
        </w:tc>
        <w:tc>
          <w:tcPr>
            <w:tcW w:w="940" w:type="dxa"/>
            <w:hideMark/>
          </w:tcPr>
          <w:p w14:paraId="4473EF0C"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HON</w:t>
            </w:r>
          </w:p>
        </w:tc>
        <w:tc>
          <w:tcPr>
            <w:tcW w:w="3220" w:type="dxa"/>
            <w:hideMark/>
          </w:tcPr>
          <w:p w14:paraId="2EA687E3"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Thursday, November 25, 2021</w:t>
            </w:r>
          </w:p>
        </w:tc>
      </w:tr>
      <w:tr w:rsidR="00943D31" w:rsidRPr="00524435" w14:paraId="53F06C80" w14:textId="77777777" w:rsidTr="000B469B">
        <w:trPr>
          <w:cnfStyle w:val="000000010000" w:firstRow="0" w:lastRow="0" w:firstColumn="0" w:lastColumn="0" w:oddVBand="0" w:evenVBand="0" w:oddHBand="0" w:evenHBand="1" w:firstRowFirstColumn="0" w:firstRowLastColumn="0" w:lastRowFirstColumn="0" w:lastRowLastColumn="0"/>
          <w:trHeight w:val="255"/>
        </w:trPr>
        <w:tc>
          <w:tcPr>
            <w:tcW w:w="2020" w:type="dxa"/>
            <w:hideMark/>
          </w:tcPr>
          <w:p w14:paraId="37FA6F7D"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12.57</w:t>
            </w:r>
          </w:p>
        </w:tc>
        <w:tc>
          <w:tcPr>
            <w:tcW w:w="3340" w:type="dxa"/>
            <w:hideMark/>
          </w:tcPr>
          <w:p w14:paraId="1D93D957" w14:textId="77777777" w:rsidR="00943D31" w:rsidRPr="00524435" w:rsidRDefault="00943D31" w:rsidP="000B469B">
            <w:pPr>
              <w:jc w:val="center"/>
              <w:rPr>
                <w:rFonts w:ascii="Cambria" w:eastAsia="Times New Roman" w:hAnsi="Cambria" w:cs="Segoe UI"/>
                <w:color w:val="000000"/>
                <w:sz w:val="18"/>
                <w:szCs w:val="18"/>
              </w:rPr>
            </w:pPr>
            <w:proofErr w:type="spellStart"/>
            <w:r w:rsidRPr="00524435">
              <w:rPr>
                <w:rFonts w:ascii="Cambria" w:eastAsia="Times New Roman" w:hAnsi="Cambria" w:cs="Segoe UI"/>
                <w:color w:val="000000"/>
                <w:sz w:val="18"/>
                <w:szCs w:val="18"/>
              </w:rPr>
              <w:t>Manoel</w:t>
            </w:r>
            <w:proofErr w:type="spellEnd"/>
            <w:r w:rsidRPr="00524435">
              <w:rPr>
                <w:rFonts w:ascii="Cambria" w:eastAsia="Times New Roman" w:hAnsi="Cambria" w:cs="Segoe UI"/>
                <w:color w:val="000000"/>
                <w:sz w:val="18"/>
                <w:szCs w:val="18"/>
              </w:rPr>
              <w:t xml:space="preserve"> Luiz Da Silva  </w:t>
            </w:r>
          </w:p>
        </w:tc>
        <w:tc>
          <w:tcPr>
            <w:tcW w:w="940" w:type="dxa"/>
            <w:hideMark/>
          </w:tcPr>
          <w:p w14:paraId="4C05AAA8"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BRA</w:t>
            </w:r>
          </w:p>
        </w:tc>
        <w:tc>
          <w:tcPr>
            <w:tcW w:w="3220" w:type="dxa"/>
            <w:hideMark/>
          </w:tcPr>
          <w:p w14:paraId="1070D6E3"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Friday, November 26, 2021</w:t>
            </w:r>
          </w:p>
        </w:tc>
      </w:tr>
      <w:tr w:rsidR="00943D31" w:rsidRPr="00524435" w14:paraId="620F32E8" w14:textId="77777777" w:rsidTr="000B469B">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497F4084"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13.615</w:t>
            </w:r>
          </w:p>
        </w:tc>
        <w:tc>
          <w:tcPr>
            <w:tcW w:w="3340" w:type="dxa"/>
            <w:hideMark/>
          </w:tcPr>
          <w:p w14:paraId="31DAF5E0"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Pueblos Rama y Kriol</w:t>
            </w:r>
          </w:p>
        </w:tc>
        <w:tc>
          <w:tcPr>
            <w:tcW w:w="940" w:type="dxa"/>
            <w:hideMark/>
          </w:tcPr>
          <w:p w14:paraId="381757C2"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NIC</w:t>
            </w:r>
          </w:p>
        </w:tc>
        <w:tc>
          <w:tcPr>
            <w:tcW w:w="3220" w:type="dxa"/>
            <w:hideMark/>
          </w:tcPr>
          <w:p w14:paraId="728E8EF5"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Friday, November 26, 2021</w:t>
            </w:r>
          </w:p>
        </w:tc>
      </w:tr>
      <w:tr w:rsidR="00943D31" w:rsidRPr="00524435" w14:paraId="699672B1" w14:textId="77777777" w:rsidTr="000B469B">
        <w:trPr>
          <w:cnfStyle w:val="000000010000" w:firstRow="0" w:lastRow="0" w:firstColumn="0" w:lastColumn="0" w:oddVBand="0" w:evenVBand="0" w:oddHBand="0" w:evenHBand="1" w:firstRowFirstColumn="0" w:firstRowLastColumn="0" w:lastRowFirstColumn="0" w:lastRowLastColumn="0"/>
          <w:trHeight w:val="255"/>
        </w:trPr>
        <w:tc>
          <w:tcPr>
            <w:tcW w:w="2020" w:type="dxa"/>
            <w:hideMark/>
          </w:tcPr>
          <w:p w14:paraId="7C20C951"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13.398</w:t>
            </w:r>
          </w:p>
        </w:tc>
        <w:tc>
          <w:tcPr>
            <w:tcW w:w="3340" w:type="dxa"/>
            <w:hideMark/>
          </w:tcPr>
          <w:p w14:paraId="10D81CDE" w14:textId="77777777" w:rsidR="00943D31" w:rsidRPr="00524435" w:rsidRDefault="00943D31" w:rsidP="000B469B">
            <w:pPr>
              <w:jc w:val="center"/>
              <w:rPr>
                <w:rFonts w:ascii="Cambria" w:eastAsia="Times New Roman" w:hAnsi="Cambria" w:cs="Segoe UI"/>
                <w:color w:val="000000"/>
                <w:sz w:val="18"/>
                <w:szCs w:val="18"/>
              </w:rPr>
            </w:pPr>
            <w:proofErr w:type="spellStart"/>
            <w:r w:rsidRPr="00524435">
              <w:rPr>
                <w:rFonts w:ascii="Cambria" w:eastAsia="Times New Roman" w:hAnsi="Cambria" w:cs="Segoe UI"/>
                <w:color w:val="000000"/>
                <w:sz w:val="18"/>
                <w:szCs w:val="18"/>
              </w:rPr>
              <w:t>Adolescentes</w:t>
            </w:r>
            <w:proofErr w:type="spellEnd"/>
            <w:r w:rsidRPr="00524435">
              <w:rPr>
                <w:rFonts w:ascii="Cambria" w:eastAsia="Times New Roman" w:hAnsi="Cambria" w:cs="Segoe UI"/>
                <w:color w:val="000000"/>
                <w:sz w:val="18"/>
                <w:szCs w:val="18"/>
              </w:rPr>
              <w:t xml:space="preserve"> </w:t>
            </w:r>
            <w:proofErr w:type="spellStart"/>
            <w:r w:rsidRPr="00524435">
              <w:rPr>
                <w:rFonts w:ascii="Cambria" w:eastAsia="Times New Roman" w:hAnsi="Cambria" w:cs="Segoe UI"/>
                <w:color w:val="000000"/>
                <w:sz w:val="18"/>
                <w:szCs w:val="18"/>
              </w:rPr>
              <w:t>recluidos</w:t>
            </w:r>
            <w:proofErr w:type="spellEnd"/>
            <w:r w:rsidRPr="00524435">
              <w:rPr>
                <w:rFonts w:ascii="Cambria" w:eastAsia="Times New Roman" w:hAnsi="Cambria" w:cs="Segoe UI"/>
                <w:color w:val="000000"/>
                <w:sz w:val="18"/>
                <w:szCs w:val="18"/>
              </w:rPr>
              <w:t xml:space="preserve"> en SENAME</w:t>
            </w:r>
          </w:p>
        </w:tc>
        <w:tc>
          <w:tcPr>
            <w:tcW w:w="940" w:type="dxa"/>
            <w:hideMark/>
          </w:tcPr>
          <w:p w14:paraId="4DD82E9D" w14:textId="77777777" w:rsidR="00943D31" w:rsidRPr="00524435" w:rsidRDefault="00943D31" w:rsidP="000B469B">
            <w:pPr>
              <w:jc w:val="center"/>
              <w:rPr>
                <w:rFonts w:ascii="Cambria" w:eastAsia="Times New Roman" w:hAnsi="Cambria" w:cs="Segoe UI"/>
                <w:color w:val="000000"/>
                <w:sz w:val="18"/>
                <w:szCs w:val="18"/>
              </w:rPr>
            </w:pPr>
            <w:r w:rsidRPr="00524435">
              <w:rPr>
                <w:rFonts w:ascii="Cambria" w:eastAsia="Times New Roman" w:hAnsi="Cambria" w:cs="Segoe UI"/>
                <w:color w:val="000000"/>
                <w:sz w:val="18"/>
                <w:szCs w:val="18"/>
              </w:rPr>
              <w:t>CH</w:t>
            </w:r>
          </w:p>
        </w:tc>
        <w:tc>
          <w:tcPr>
            <w:tcW w:w="3220" w:type="dxa"/>
            <w:hideMark/>
          </w:tcPr>
          <w:p w14:paraId="79811F30" w14:textId="77777777" w:rsidR="00943D31" w:rsidRPr="00524435" w:rsidRDefault="00943D31" w:rsidP="000B469B">
            <w:pPr>
              <w:jc w:val="center"/>
              <w:rPr>
                <w:rFonts w:ascii="Cambria" w:eastAsia="Times New Roman" w:hAnsi="Cambria" w:cs="Segoe UI"/>
                <w:sz w:val="18"/>
                <w:szCs w:val="18"/>
              </w:rPr>
            </w:pPr>
            <w:r w:rsidRPr="00524435">
              <w:rPr>
                <w:rFonts w:ascii="Cambria" w:eastAsia="Times New Roman" w:hAnsi="Cambria" w:cs="Segoe UI"/>
                <w:sz w:val="18"/>
                <w:szCs w:val="18"/>
              </w:rPr>
              <w:t>Friday, December 17, 2021</w:t>
            </w:r>
          </w:p>
        </w:tc>
      </w:tr>
    </w:tbl>
    <w:p w14:paraId="3F8F48BA" w14:textId="77777777" w:rsidR="001D3A5D" w:rsidRPr="00524435" w:rsidRDefault="001D3A5D" w:rsidP="001D3A5D">
      <w:pPr>
        <w:spacing w:after="0" w:line="240" w:lineRule="auto"/>
        <w:jc w:val="both"/>
        <w:rPr>
          <w:rFonts w:ascii="Cambria" w:hAnsi="Cambria" w:cs="Calibri"/>
          <w:noProof/>
          <w:sz w:val="20"/>
          <w:szCs w:val="20"/>
        </w:rPr>
      </w:pPr>
    </w:p>
    <w:p w14:paraId="76E5D9C3" w14:textId="77777777" w:rsidR="001D3A5D" w:rsidRPr="00524435" w:rsidRDefault="001D3A5D" w:rsidP="001D3A5D">
      <w:pPr>
        <w:spacing w:after="0" w:line="240" w:lineRule="auto"/>
        <w:jc w:val="both"/>
        <w:rPr>
          <w:rFonts w:ascii="Cambria" w:hAnsi="Cambria" w:cs="Calibri"/>
          <w:noProof/>
          <w:sz w:val="20"/>
          <w:szCs w:val="20"/>
        </w:rPr>
      </w:pPr>
    </w:p>
    <w:p w14:paraId="44D0EAD3" w14:textId="77777777" w:rsidR="001D3A5D" w:rsidRPr="00524435" w:rsidRDefault="001D3A5D" w:rsidP="00984FC2">
      <w:pPr>
        <w:pStyle w:val="Style2"/>
        <w:rPr>
          <w:lang w:val="en-US"/>
        </w:rPr>
      </w:pPr>
      <w:proofErr w:type="spellStart"/>
      <w:r w:rsidRPr="00524435">
        <w:rPr>
          <w:lang w:val="en-US"/>
        </w:rPr>
        <w:t>Raghda</w:t>
      </w:r>
      <w:proofErr w:type="spellEnd"/>
      <w:r w:rsidRPr="00524435">
        <w:rPr>
          <w:lang w:val="en-US"/>
        </w:rPr>
        <w:t xml:space="preserve"> </w:t>
      </w:r>
      <w:proofErr w:type="spellStart"/>
      <w:r w:rsidRPr="00524435">
        <w:rPr>
          <w:lang w:val="en-US"/>
        </w:rPr>
        <w:t>Habbal</w:t>
      </w:r>
      <w:proofErr w:type="spellEnd"/>
      <w:r w:rsidRPr="00524435">
        <w:rPr>
          <w:lang w:val="en-US"/>
        </w:rPr>
        <w:t xml:space="preserve"> v. Argentina</w:t>
      </w:r>
    </w:p>
    <w:p w14:paraId="1DCD8CA0" w14:textId="77777777" w:rsidR="001D3A5D" w:rsidRPr="00524435" w:rsidRDefault="001D3A5D" w:rsidP="0003552D">
      <w:pPr>
        <w:pStyle w:val="ListParagraph"/>
      </w:pPr>
      <w:r w:rsidRPr="00524435">
        <w:t xml:space="preserve">This case concerns the arbitrary deprivation of </w:t>
      </w:r>
      <w:proofErr w:type="spellStart"/>
      <w:r w:rsidRPr="00524435">
        <w:t>Raghda</w:t>
      </w:r>
      <w:proofErr w:type="spellEnd"/>
      <w:r w:rsidRPr="00524435">
        <w:t xml:space="preserve"> </w:t>
      </w:r>
      <w:proofErr w:type="spellStart"/>
      <w:r w:rsidRPr="00524435">
        <w:t>Habbal's</w:t>
      </w:r>
      <w:proofErr w:type="spellEnd"/>
      <w:r w:rsidRPr="00524435">
        <w:t xml:space="preserve"> Argentine nationality acquired by naturalization and of the permanent residence of her three children, as well as the violations of judicial guarantees that occurred in connection with both proceedings.</w:t>
      </w:r>
    </w:p>
    <w:p w14:paraId="7198A625" w14:textId="77777777" w:rsidR="001D3A5D" w:rsidRPr="00524435" w:rsidRDefault="001D3A5D" w:rsidP="0003552D">
      <w:pPr>
        <w:pStyle w:val="ListParagraph"/>
      </w:pPr>
      <w:r w:rsidRPr="00524435">
        <w:t xml:space="preserve">Mrs. </w:t>
      </w:r>
      <w:proofErr w:type="spellStart"/>
      <w:r w:rsidRPr="00524435">
        <w:t>Raghda</w:t>
      </w:r>
      <w:proofErr w:type="spellEnd"/>
      <w:r w:rsidRPr="00524435">
        <w:t xml:space="preserve"> </w:t>
      </w:r>
      <w:proofErr w:type="spellStart"/>
      <w:r w:rsidRPr="00524435">
        <w:t>Habbal</w:t>
      </w:r>
      <w:proofErr w:type="spellEnd"/>
      <w:r w:rsidRPr="00524435">
        <w:t xml:space="preserve"> and her three minor children, all Syrian nationals, obtained permanent residence in Argentina on July 4, </w:t>
      </w:r>
      <w:proofErr w:type="gramStart"/>
      <w:r w:rsidRPr="00524435">
        <w:t>1990</w:t>
      </w:r>
      <w:proofErr w:type="gramEnd"/>
      <w:r w:rsidRPr="00524435">
        <w:t xml:space="preserve"> through Mrs. </w:t>
      </w:r>
      <w:proofErr w:type="spellStart"/>
      <w:r w:rsidRPr="00524435">
        <w:t>Habbal's</w:t>
      </w:r>
      <w:proofErr w:type="spellEnd"/>
      <w:r w:rsidRPr="00524435">
        <w:t xml:space="preserve"> husband, who had obtained a residence permit. </w:t>
      </w:r>
      <w:bookmarkStart w:id="58" w:name="_Ref494318620"/>
      <w:r w:rsidRPr="00524435">
        <w:t xml:space="preserve">On April 3, 1992, Mrs. </w:t>
      </w:r>
      <w:proofErr w:type="spellStart"/>
      <w:r w:rsidRPr="00524435">
        <w:t>Habbal</w:t>
      </w:r>
      <w:proofErr w:type="spellEnd"/>
      <w:r w:rsidRPr="00524435">
        <w:t xml:space="preserve"> obtained Argentine nationality by naturalization, after taking an oath and renouncing her nationality of origin</w:t>
      </w:r>
      <w:bookmarkEnd w:id="58"/>
      <w:r w:rsidRPr="00524435">
        <w:t xml:space="preserve">. However, the following month the National Director of Population and Migration issued Resolution No. 1088 declaring the residency of Mrs. </w:t>
      </w:r>
      <w:proofErr w:type="spellStart"/>
      <w:r w:rsidRPr="00524435">
        <w:t>Habbal</w:t>
      </w:r>
      <w:proofErr w:type="spellEnd"/>
      <w:r w:rsidRPr="00524435">
        <w:t xml:space="preserve"> and her three children null and void, because a previous resolution had annulled the residency of her husband. On October 27, 1994, the decision that granted Argentine citizenship to Mrs. </w:t>
      </w:r>
      <w:proofErr w:type="spellStart"/>
      <w:r w:rsidRPr="00524435">
        <w:t>Habbal</w:t>
      </w:r>
      <w:proofErr w:type="spellEnd"/>
      <w:r w:rsidRPr="00524435">
        <w:t xml:space="preserve"> was declared null and void by a court decision because of evidence of fraudulent actions to obtain it. Mrs. </w:t>
      </w:r>
      <w:proofErr w:type="spellStart"/>
      <w:r w:rsidRPr="00524435">
        <w:t>Habbal</w:t>
      </w:r>
      <w:proofErr w:type="spellEnd"/>
      <w:r w:rsidRPr="00524435">
        <w:t xml:space="preserve"> filed an appeal and nullity action alleging that she had not been notified of the process in accordance with the legal requirements, that there was no proof of the alleged misrepresentations in the documents or of her bad faith, and that the Federal Judge should have waited for the decision in the criminal proceeding to determine whether there had been fraud involved in the granting of citizenship. This appeal, as well as all subsequent appeals, were denied.</w:t>
      </w:r>
    </w:p>
    <w:p w14:paraId="082AD959" w14:textId="77777777" w:rsidR="001D3A5D" w:rsidRPr="00524435" w:rsidRDefault="001D3A5D" w:rsidP="0003552D">
      <w:pPr>
        <w:pStyle w:val="ListParagraph"/>
      </w:pPr>
      <w:r w:rsidRPr="00524435">
        <w:t xml:space="preserve">In its Report on the Merits, the Commission observed that the National Directorate of Migration did not take Mrs. </w:t>
      </w:r>
      <w:proofErr w:type="spellStart"/>
      <w:r w:rsidRPr="00524435">
        <w:t>Habbal's</w:t>
      </w:r>
      <w:proofErr w:type="spellEnd"/>
      <w:r w:rsidRPr="00524435">
        <w:t xml:space="preserve"> status as a national into account and completely omitted her status as a citizen. The Commission specified that, although there is no record of the expulsion and precautionary detention orders having been executed, it is necessary to analyze whether they were compatible with the Convention because, since they had not been annulled, they had an impact on the situation and rights of such persons. In this regard, the Commission concluded that the failure to verify national status, as well as the expulsion order, meant that a decision incompatible with the right to freedom of movement and residence had been issued. </w:t>
      </w:r>
    </w:p>
    <w:p w14:paraId="6EE0E134" w14:textId="5950362E" w:rsidR="001D3A5D" w:rsidRPr="00524435" w:rsidRDefault="001D3A5D" w:rsidP="0003552D">
      <w:pPr>
        <w:pStyle w:val="ListParagraph"/>
      </w:pPr>
      <w:r w:rsidRPr="00524435">
        <w:t xml:space="preserve">Additionally, the Commission observed that Resolution No. 1088 was issued ex officio, without the participation of the affected parties in the process before the Resolution affecting their rights was issued. The Commission concluded that there was no evidence that Mrs. </w:t>
      </w:r>
      <w:proofErr w:type="spellStart"/>
      <w:r w:rsidRPr="00524435">
        <w:t>Habbal</w:t>
      </w:r>
      <w:proofErr w:type="spellEnd"/>
      <w:r w:rsidRPr="00524435">
        <w:t xml:space="preserve"> had received a communication about the charges against her, that she had participated in order to be heard in the process, nor that she had been allowed her defense, including legal representation at a time when she could argue that she was a national and her expulsion was not allowed, nor that she had had a chance to challenge the decision before a higher authority. With respect to the children, the IACHR established that, since their Argentine nationality has not been proven, they should be considered migrants in Argentine territory. In this regard, it noted that Resolution </w:t>
      </w:r>
      <w:r w:rsidRPr="00524435">
        <w:lastRenderedPageBreak/>
        <w:t xml:space="preserve">No. 1088 was issued without complying with the minimum guarantees that must be provided in this type of process in accordance with the standards of inter-American jurisprudence. It concluded that there is no record that Mrs. </w:t>
      </w:r>
      <w:proofErr w:type="spellStart"/>
      <w:r w:rsidRPr="00524435">
        <w:t>Habbal</w:t>
      </w:r>
      <w:proofErr w:type="spellEnd"/>
      <w:r w:rsidRPr="00524435">
        <w:t xml:space="preserve"> or her husband, as mother and father of the children, received any communication about the proceeding, nor that they were heard in the process or allowed to have legal representation. </w:t>
      </w:r>
    </w:p>
    <w:p w14:paraId="442C78BC" w14:textId="77777777" w:rsidR="001D3A5D" w:rsidRPr="00524435" w:rsidRDefault="001D3A5D" w:rsidP="0003552D">
      <w:pPr>
        <w:pStyle w:val="ListParagraph"/>
      </w:pPr>
      <w:r w:rsidRPr="00524435">
        <w:t xml:space="preserve">Regarding the detention order against Mrs. </w:t>
      </w:r>
      <w:proofErr w:type="spellStart"/>
      <w:r w:rsidRPr="00524435">
        <w:t>Habbal</w:t>
      </w:r>
      <w:proofErr w:type="spellEnd"/>
      <w:r w:rsidRPr="00524435">
        <w:t xml:space="preserve"> and her children, the IACHR considered that it had not been properly substantiated, since it was based solely on the fact that the four persons involved </w:t>
      </w:r>
      <w:proofErr w:type="gramStart"/>
      <w:r w:rsidRPr="00524435">
        <w:t>were considered to be</w:t>
      </w:r>
      <w:proofErr w:type="gramEnd"/>
      <w:r w:rsidRPr="00524435">
        <w:t xml:space="preserve"> irregular migrants. It concluded that the precautionary detention measure did not identify what legitimate purpose it pursued, nor why it was necessary, suitable, and proportional. In the case of Mrs. </w:t>
      </w:r>
      <w:proofErr w:type="spellStart"/>
      <w:r w:rsidRPr="00524435">
        <w:t>Habbal</w:t>
      </w:r>
      <w:proofErr w:type="spellEnd"/>
      <w:r w:rsidRPr="00524435">
        <w:t xml:space="preserve">, the IACHR also observed that the order was not appropriate because she was an Argentine citizen, and in the case of the children it established that the principle of non-detention of migrant children was not respected because the State did not explain the existence of exceptional and legally foreseen circumstances that could justify preventive detention. In addition, the Commission noted that the authorities did not </w:t>
      </w:r>
      <w:proofErr w:type="gramStart"/>
      <w:r w:rsidRPr="00524435">
        <w:t>take into account</w:t>
      </w:r>
      <w:proofErr w:type="gramEnd"/>
      <w:r w:rsidRPr="00524435">
        <w:t xml:space="preserve"> that Mrs. </w:t>
      </w:r>
      <w:proofErr w:type="spellStart"/>
      <w:r w:rsidRPr="00524435">
        <w:t>Habbal</w:t>
      </w:r>
      <w:proofErr w:type="spellEnd"/>
      <w:r w:rsidRPr="00524435">
        <w:t xml:space="preserve"> had had a child in Argentina.</w:t>
      </w:r>
    </w:p>
    <w:p w14:paraId="70D013DF" w14:textId="3FFAD15C" w:rsidR="001D3A5D" w:rsidRPr="00524435" w:rsidRDefault="001D3A5D" w:rsidP="0003552D">
      <w:pPr>
        <w:pStyle w:val="ListParagraph"/>
      </w:pPr>
      <w:r w:rsidRPr="00524435">
        <w:t xml:space="preserve">Finally, the Commission considered that the Argentine authorities failed to </w:t>
      </w:r>
      <w:proofErr w:type="gramStart"/>
      <w:r w:rsidRPr="00524435">
        <w:t>take into account</w:t>
      </w:r>
      <w:proofErr w:type="gramEnd"/>
      <w:r w:rsidRPr="00524435">
        <w:t xml:space="preserve"> that Mrs. </w:t>
      </w:r>
      <w:proofErr w:type="spellStart"/>
      <w:r w:rsidRPr="00524435">
        <w:t>Habbal</w:t>
      </w:r>
      <w:proofErr w:type="spellEnd"/>
      <w:r w:rsidRPr="00524435">
        <w:t xml:space="preserve"> could have been in a situation of statelessness because they required her to renounce her original nationality in order to obtain Argentine nationality and subsequently deprived her of the latter. The Commission also concluded that the violations of judicial guarantees occurred both in the context of the administrative proceeding that annulled the residency and in the judicial proceeding that deprived Mrs. </w:t>
      </w:r>
      <w:proofErr w:type="spellStart"/>
      <w:r w:rsidRPr="00524435">
        <w:t>Habbal</w:t>
      </w:r>
      <w:proofErr w:type="spellEnd"/>
      <w:r w:rsidRPr="00524435">
        <w:t xml:space="preserve"> of her Argentine nationality. </w:t>
      </w:r>
    </w:p>
    <w:p w14:paraId="3A42FBDF" w14:textId="2151E26B" w:rsidR="001D3A5D" w:rsidRPr="00524435" w:rsidRDefault="001D3A5D" w:rsidP="00F275B0">
      <w:pPr>
        <w:pStyle w:val="Style2"/>
        <w:rPr>
          <w:bCs/>
          <w:lang w:val="en-US"/>
        </w:rPr>
      </w:pPr>
      <w:r w:rsidRPr="00524435">
        <w:rPr>
          <w:lang w:val="en-US"/>
        </w:rPr>
        <w:t xml:space="preserve">Cristina </w:t>
      </w:r>
      <w:proofErr w:type="spellStart"/>
      <w:r w:rsidRPr="00524435">
        <w:rPr>
          <w:lang w:val="en-US"/>
        </w:rPr>
        <w:t>Britez</w:t>
      </w:r>
      <w:proofErr w:type="spellEnd"/>
      <w:r w:rsidRPr="00524435">
        <w:rPr>
          <w:lang w:val="en-US"/>
        </w:rPr>
        <w:t xml:space="preserve"> Arce and family v. Argentina</w:t>
      </w:r>
    </w:p>
    <w:p w14:paraId="36C561DE" w14:textId="3825797D" w:rsidR="001D3A5D" w:rsidRPr="00524435" w:rsidRDefault="001D3A5D" w:rsidP="0003552D">
      <w:pPr>
        <w:pStyle w:val="ListParagraph"/>
      </w:pPr>
      <w:r w:rsidRPr="00524435">
        <w:rPr>
          <w:color w:val="000000" w:themeColor="text1"/>
        </w:rPr>
        <w:t xml:space="preserve">The instant case concerns the </w:t>
      </w:r>
      <w:r w:rsidRPr="00524435">
        <w:t xml:space="preserve">international responsibility of Argentina for the facts related to the death of Cristina </w:t>
      </w:r>
      <w:proofErr w:type="spellStart"/>
      <w:r w:rsidRPr="00524435">
        <w:t>Britez</w:t>
      </w:r>
      <w:proofErr w:type="spellEnd"/>
      <w:r w:rsidRPr="00524435">
        <w:t xml:space="preserve"> Arce and the lack of due diligence in the investigation and subsequent judicial proceedings.  </w:t>
      </w:r>
      <w:r w:rsidRPr="00524435">
        <w:rPr>
          <w:color w:val="000000" w:themeColor="text1"/>
        </w:rPr>
        <w:t xml:space="preserve">Cristina </w:t>
      </w:r>
      <w:proofErr w:type="spellStart"/>
      <w:r w:rsidRPr="00524435">
        <w:rPr>
          <w:color w:val="000000" w:themeColor="text1"/>
        </w:rPr>
        <w:t>Britez</w:t>
      </w:r>
      <w:proofErr w:type="spellEnd"/>
      <w:r w:rsidRPr="00524435">
        <w:rPr>
          <w:color w:val="000000" w:themeColor="text1"/>
        </w:rPr>
        <w:t xml:space="preserve"> Arce</w:t>
      </w:r>
      <w:r w:rsidRPr="00524435">
        <w:t xml:space="preserve">, who was nine months pregnant, presented herself at the </w:t>
      </w:r>
      <w:proofErr w:type="spellStart"/>
      <w:r w:rsidRPr="00524435">
        <w:t>Sardá</w:t>
      </w:r>
      <w:proofErr w:type="spellEnd"/>
      <w:r w:rsidRPr="00524435">
        <w:t xml:space="preserve"> Public Hospital in 1992, claiming lumbar discomfort, </w:t>
      </w:r>
      <w:proofErr w:type="gramStart"/>
      <w:r w:rsidRPr="00524435">
        <w:t>fever</w:t>
      </w:r>
      <w:proofErr w:type="gramEnd"/>
      <w:r w:rsidRPr="00524435">
        <w:t xml:space="preserve"> and slight fluid loss through the genitals. She underwent an ultrasound scan, which showed a dead fetus, and she was hospitalized to induce labor. According to the death certificate, the victim died that same day from "non-traumatic </w:t>
      </w:r>
      <w:r w:rsidR="006D5F49" w:rsidRPr="00524435">
        <w:t>cardiorespiratory</w:t>
      </w:r>
      <w:r w:rsidRPr="00524435">
        <w:t xml:space="preserve"> arrest". </w:t>
      </w:r>
    </w:p>
    <w:p w14:paraId="4D4862E8" w14:textId="77777777" w:rsidR="001D3A5D" w:rsidRPr="00524435" w:rsidRDefault="001D3A5D" w:rsidP="0003552D">
      <w:pPr>
        <w:pStyle w:val="ListParagraph"/>
      </w:pPr>
      <w:r w:rsidRPr="00524435">
        <w:t xml:space="preserve">In its Report on the Merits, the Commission indicated that it was not its responsibility to determine the cause of death of Mrs. </w:t>
      </w:r>
      <w:proofErr w:type="spellStart"/>
      <w:r w:rsidRPr="00524435">
        <w:t>Britez</w:t>
      </w:r>
      <w:proofErr w:type="spellEnd"/>
      <w:r w:rsidRPr="00524435">
        <w:t xml:space="preserve">. It also pointed out that it did not have to determine the value of the expert appraisals carried out within the country, but it did have to establish whether the State acted diligently and did what was reasonably expected to protect the rights of Mrs. </w:t>
      </w:r>
      <w:proofErr w:type="spellStart"/>
      <w:r w:rsidRPr="00524435">
        <w:t>Britez</w:t>
      </w:r>
      <w:proofErr w:type="spellEnd"/>
      <w:r w:rsidRPr="00524435">
        <w:t xml:space="preserve"> and prevent her death, in accordance with its international obligations. Accordingly, the Commission considered that any analysis of the case should </w:t>
      </w:r>
      <w:proofErr w:type="gramStart"/>
      <w:r w:rsidRPr="00524435">
        <w:t>take into account</w:t>
      </w:r>
      <w:proofErr w:type="gramEnd"/>
      <w:r w:rsidRPr="00524435">
        <w:t xml:space="preserve"> the condition of pregnancy, treatment and death in a public hospital, and the special duties of the State derived therefrom, with a view to the State proving that it had provided adequate and comprehensive health care to Mrs. Cristina </w:t>
      </w:r>
      <w:proofErr w:type="spellStart"/>
      <w:r w:rsidRPr="00524435">
        <w:t>Britez</w:t>
      </w:r>
      <w:proofErr w:type="spellEnd"/>
      <w:r w:rsidRPr="00524435">
        <w:t xml:space="preserve"> Arce.</w:t>
      </w:r>
    </w:p>
    <w:p w14:paraId="6D072F47" w14:textId="77777777" w:rsidR="001D3A5D" w:rsidRPr="00524435" w:rsidRDefault="001D3A5D" w:rsidP="0003552D">
      <w:pPr>
        <w:pStyle w:val="ListParagraph"/>
      </w:pPr>
      <w:r w:rsidRPr="00524435">
        <w:t xml:space="preserve"> The Commission concluded that the doctors did not act diligently to safeguard the victim's rights to health, life, and personal integrity. First, the Commission observed that the State did not present information demonstrating that Mrs. </w:t>
      </w:r>
      <w:proofErr w:type="spellStart"/>
      <w:r w:rsidRPr="00524435">
        <w:t>Britez</w:t>
      </w:r>
      <w:proofErr w:type="spellEnd"/>
      <w:r w:rsidRPr="00524435">
        <w:t xml:space="preserve"> had been provided with information or specific care recommendations to prevent hypertension, despite being aware of her history of preeclampsia in a previous pregnancy. </w:t>
      </w:r>
    </w:p>
    <w:p w14:paraId="47AD9E32" w14:textId="77777777" w:rsidR="001D3A5D" w:rsidRPr="00524435" w:rsidRDefault="001D3A5D" w:rsidP="0003552D">
      <w:pPr>
        <w:pStyle w:val="ListParagraph"/>
      </w:pPr>
      <w:r w:rsidRPr="00524435">
        <w:t xml:space="preserve">Secondly, the Commission noted the existence of at least two important risk factors that were not ruled out, and that the doctors who attended the victim during her check-ups should have </w:t>
      </w:r>
      <w:proofErr w:type="gramStart"/>
      <w:r w:rsidRPr="00524435">
        <w:t>taken into account</w:t>
      </w:r>
      <w:proofErr w:type="gramEnd"/>
      <w:r w:rsidRPr="00524435">
        <w:t xml:space="preserve">. These are significant weight gain and a history of preeclampsia in a previous pregnancy. In addition, during one of her check-ups, Mrs. </w:t>
      </w:r>
      <w:proofErr w:type="spellStart"/>
      <w:r w:rsidRPr="00524435">
        <w:t>Britez</w:t>
      </w:r>
      <w:proofErr w:type="spellEnd"/>
      <w:r w:rsidRPr="00524435">
        <w:t xml:space="preserve"> presented a blood pressure of 130/90, which according to World Health Organization parameters may be an indication of preeclampsia. Thirdly, the Commission noted that the cause of death could have been undiagnosed or untreated preeclampsia, and that there was no exhaustive check-up based on the requisite -- and non-complex -- techniques. This was </w:t>
      </w:r>
      <w:proofErr w:type="gramStart"/>
      <w:r w:rsidRPr="00524435">
        <w:t>despite the fact that</w:t>
      </w:r>
      <w:proofErr w:type="gramEnd"/>
      <w:r w:rsidRPr="00524435">
        <w:t xml:space="preserve"> it was a high-risk pregnancy. </w:t>
      </w:r>
    </w:p>
    <w:p w14:paraId="6A9AB11D" w14:textId="77777777" w:rsidR="001D3A5D" w:rsidRPr="00524435" w:rsidRDefault="001D3A5D" w:rsidP="0003552D">
      <w:pPr>
        <w:pStyle w:val="ListParagraph"/>
      </w:pPr>
      <w:r w:rsidRPr="00524435">
        <w:lastRenderedPageBreak/>
        <w:t xml:space="preserve">The Commission also noted that the care provided to the victim was deemed to be "abysmal” by some experts, who pointed out that "there was poor handling of the woman that resulted in the death of the fetus." The Commission also took note of information indicating that Mrs. </w:t>
      </w:r>
      <w:proofErr w:type="spellStart"/>
      <w:r w:rsidRPr="00524435">
        <w:t>Britez</w:t>
      </w:r>
      <w:proofErr w:type="spellEnd"/>
      <w:r w:rsidRPr="00524435">
        <w:t xml:space="preserve">, in the moments prior to her death, had been subjected to a situation of anguish and stress. </w:t>
      </w:r>
    </w:p>
    <w:p w14:paraId="4B899447" w14:textId="77777777" w:rsidR="001D3A5D" w:rsidRPr="00524435" w:rsidRDefault="001D3A5D" w:rsidP="0003552D">
      <w:pPr>
        <w:pStyle w:val="ListParagraph"/>
      </w:pPr>
      <w:r w:rsidRPr="00524435">
        <w:t>Finally, as a fourth point, the Commission established that the investigation also failed to establish that the doctors had acted appropriately, in accordance with the specific circumstances that the condition and course of the pregnancy warranted. Accordingly, the expert appraisals conducted in the instant case and that contain explicit references to the inadequacy of the care provided were not refuted.</w:t>
      </w:r>
    </w:p>
    <w:p w14:paraId="780A5376" w14:textId="77777777" w:rsidR="001D3A5D" w:rsidRPr="00524435" w:rsidRDefault="001D3A5D" w:rsidP="0003552D">
      <w:pPr>
        <w:pStyle w:val="ListParagraph"/>
      </w:pPr>
      <w:r w:rsidRPr="00524435">
        <w:t xml:space="preserve">In view of the foregoing, the Commission concluded that the Argentine State did not prove that it had acted diligently and adopted the measures that were reasonably required to safeguard Mrs. </w:t>
      </w:r>
      <w:proofErr w:type="spellStart"/>
      <w:r w:rsidRPr="00524435">
        <w:t>Britez’s</w:t>
      </w:r>
      <w:proofErr w:type="spellEnd"/>
      <w:r w:rsidRPr="00524435">
        <w:t xml:space="preserve"> rights. Such omissions occurred despite the special duty of the State to protect the rights of Mrs. </w:t>
      </w:r>
      <w:proofErr w:type="spellStart"/>
      <w:r w:rsidRPr="00524435">
        <w:t>Britez</w:t>
      </w:r>
      <w:proofErr w:type="spellEnd"/>
      <w:r w:rsidRPr="00524435">
        <w:t xml:space="preserve"> as a pregnant woman, a condition which, as indicated above, requires the adoption of specific measures for her as a woman and due to her situation during pregnancy.</w:t>
      </w:r>
    </w:p>
    <w:p w14:paraId="3F30D6BF" w14:textId="2D12638D" w:rsidR="001D3A5D" w:rsidRPr="00524435" w:rsidRDefault="001D3A5D" w:rsidP="0003552D">
      <w:pPr>
        <w:pStyle w:val="ListParagraph"/>
      </w:pPr>
      <w:r w:rsidRPr="00524435">
        <w:rPr>
          <w:color w:val="000000"/>
          <w:bdr w:val="nil"/>
        </w:rPr>
        <w:t xml:space="preserve">In addition, the Commission stressed that, in the hearings before various judicial bodies, as well as in the expert appraisals carried out, witnesses emphasized the impossibility of knowing with certainty the cause of death because the autopsy was not performed immediately after the death. In addition, internal </w:t>
      </w:r>
      <w:r w:rsidR="006D5F49" w:rsidRPr="00524435">
        <w:rPr>
          <w:color w:val="000000"/>
          <w:bdr w:val="nil"/>
        </w:rPr>
        <w:t>decisions, in</w:t>
      </w:r>
      <w:r w:rsidRPr="00524435">
        <w:rPr>
          <w:color w:val="000000"/>
          <w:bdr w:val="nil"/>
        </w:rPr>
        <w:t xml:space="preserve"> both the criminal and civil areas, relied mainly on the results of expert opinions based on the information contained in the medical records. The Commission noted in this regard that, on several occasions, Mrs. </w:t>
      </w:r>
      <w:proofErr w:type="spellStart"/>
      <w:r w:rsidRPr="00524435">
        <w:rPr>
          <w:color w:val="000000"/>
          <w:bdr w:val="nil"/>
        </w:rPr>
        <w:t>Britez's</w:t>
      </w:r>
      <w:proofErr w:type="spellEnd"/>
      <w:r w:rsidRPr="00524435">
        <w:rPr>
          <w:color w:val="000000"/>
          <w:bdr w:val="nil"/>
        </w:rPr>
        <w:t xml:space="preserve"> relatives questioned the validity of that medical history, stating in detail that it showed evidence of having been adulterated. Nevertheless, the Commission was not aware of the existence of any inquiry specifically aimed at effectively clarifying </w:t>
      </w:r>
      <w:proofErr w:type="gramStart"/>
      <w:r w:rsidRPr="00524435">
        <w:rPr>
          <w:color w:val="000000"/>
          <w:bdr w:val="nil"/>
        </w:rPr>
        <w:t>whether or not</w:t>
      </w:r>
      <w:proofErr w:type="gramEnd"/>
      <w:r w:rsidRPr="00524435">
        <w:rPr>
          <w:color w:val="000000"/>
          <w:bdr w:val="nil"/>
        </w:rPr>
        <w:t xml:space="preserve"> the medical history had been adulterated, even though that constituted relevant evidence given that it was the basis of the expert opinions and, subsequently, of the judicial decisions in which it was considered that there were insufficient elements to determine responsibility for the death of Mrs. Cristina </w:t>
      </w:r>
      <w:proofErr w:type="spellStart"/>
      <w:r w:rsidRPr="00524435">
        <w:rPr>
          <w:color w:val="000000"/>
          <w:bdr w:val="nil"/>
        </w:rPr>
        <w:t>Britez</w:t>
      </w:r>
      <w:proofErr w:type="spellEnd"/>
      <w:r w:rsidRPr="00524435">
        <w:rPr>
          <w:color w:val="000000"/>
          <w:bdr w:val="nil"/>
        </w:rPr>
        <w:t xml:space="preserve"> Arce. The Commission also noted that the criminal and civil proceedings were not carried out within a reasonable </w:t>
      </w:r>
      <w:proofErr w:type="gramStart"/>
      <w:r w:rsidRPr="00524435">
        <w:rPr>
          <w:color w:val="000000"/>
          <w:bdr w:val="nil"/>
        </w:rPr>
        <w:t>period of time</w:t>
      </w:r>
      <w:proofErr w:type="gramEnd"/>
      <w:r w:rsidRPr="00524435">
        <w:rPr>
          <w:color w:val="000000"/>
          <w:bdr w:val="nil"/>
        </w:rPr>
        <w:t xml:space="preserve">.  </w:t>
      </w:r>
    </w:p>
    <w:p w14:paraId="4FAB210C" w14:textId="77777777" w:rsidR="001D3A5D" w:rsidRPr="00524435" w:rsidRDefault="001D3A5D" w:rsidP="0003552D">
      <w:pPr>
        <w:pStyle w:val="ListParagraph"/>
      </w:pPr>
      <w:r w:rsidRPr="00524435">
        <w:rPr>
          <w:color w:val="000000"/>
          <w:bdr w:val="nil"/>
        </w:rPr>
        <w:t xml:space="preserve">Finally, due to the suffering and lack of certainty as to the cause of her death, as well as the delay in the investigations, the Commission considered that the State violated the right to humane treatment of Mrs. </w:t>
      </w:r>
      <w:proofErr w:type="spellStart"/>
      <w:r w:rsidRPr="00524435">
        <w:rPr>
          <w:color w:val="000000"/>
          <w:bdr w:val="nil"/>
        </w:rPr>
        <w:t>Britez</w:t>
      </w:r>
      <w:proofErr w:type="spellEnd"/>
      <w:r w:rsidRPr="00524435">
        <w:rPr>
          <w:color w:val="000000"/>
          <w:bdr w:val="nil"/>
        </w:rPr>
        <w:t xml:space="preserve"> Arce's next of kin.</w:t>
      </w:r>
    </w:p>
    <w:p w14:paraId="731FA405" w14:textId="77777777" w:rsidR="001D3A5D" w:rsidRPr="00524435" w:rsidRDefault="001D3A5D" w:rsidP="0003552D">
      <w:pPr>
        <w:pStyle w:val="ListParagraph"/>
      </w:pPr>
      <w:r w:rsidRPr="00524435">
        <w:rPr>
          <w:color w:val="000000"/>
          <w:bdr w:val="nil"/>
        </w:rPr>
        <w:t xml:space="preserve">Based on the foregoing, the Commission concluded that the State is responsible for the violation of the rights enshrined in Articles 4.1 (life), 5.1 (personal integrity), 8.1 (judicial guarantees), 25.1 (judicial protection), and 26 (health) of the American Convention, in conjunction with the obligations established in Article 1.1 of the same instrument, as well as for the violation of Article 7 (duties of States) of the </w:t>
      </w:r>
      <w:proofErr w:type="spellStart"/>
      <w:r w:rsidRPr="00524435">
        <w:rPr>
          <w:color w:val="000000"/>
          <w:bdr w:val="nil"/>
        </w:rPr>
        <w:t>Belém</w:t>
      </w:r>
      <w:proofErr w:type="spellEnd"/>
      <w:r w:rsidRPr="00524435">
        <w:rPr>
          <w:color w:val="000000"/>
          <w:bdr w:val="nil"/>
        </w:rPr>
        <w:t xml:space="preserve"> Do Pará Convention. In addition, the IACHR concluded that the State of Argentina is responsible for violation of the right to humane treatment of the son and daughter of Cristina </w:t>
      </w:r>
      <w:proofErr w:type="spellStart"/>
      <w:r w:rsidRPr="00524435">
        <w:rPr>
          <w:color w:val="000000"/>
          <w:bdr w:val="nil"/>
        </w:rPr>
        <w:t>Britez</w:t>
      </w:r>
      <w:proofErr w:type="spellEnd"/>
      <w:r w:rsidRPr="00524435">
        <w:rPr>
          <w:color w:val="000000"/>
          <w:bdr w:val="nil"/>
        </w:rPr>
        <w:t xml:space="preserve"> Arce.</w:t>
      </w:r>
    </w:p>
    <w:p w14:paraId="1FE44BC7" w14:textId="77777777" w:rsidR="001D3A5D" w:rsidRPr="00524435" w:rsidRDefault="001D3A5D" w:rsidP="002333BB">
      <w:pPr>
        <w:pStyle w:val="Style2"/>
        <w:rPr>
          <w:lang w:val="en-US"/>
        </w:rPr>
      </w:pPr>
      <w:proofErr w:type="spellStart"/>
      <w:r w:rsidRPr="00524435">
        <w:rPr>
          <w:lang w:val="en-US"/>
        </w:rPr>
        <w:t>Asociación</w:t>
      </w:r>
      <w:proofErr w:type="spellEnd"/>
      <w:r w:rsidRPr="00524435">
        <w:rPr>
          <w:lang w:val="en-US"/>
        </w:rPr>
        <w:t xml:space="preserve"> Civil Memoria </w:t>
      </w:r>
      <w:proofErr w:type="spellStart"/>
      <w:r w:rsidRPr="00524435">
        <w:rPr>
          <w:lang w:val="en-US"/>
        </w:rPr>
        <w:t>Activa</w:t>
      </w:r>
      <w:proofErr w:type="spellEnd"/>
      <w:r w:rsidRPr="00524435">
        <w:rPr>
          <w:lang w:val="en-US"/>
        </w:rPr>
        <w:t xml:space="preserve"> (Victims and relatives of the victims of the July 18, </w:t>
      </w:r>
      <w:proofErr w:type="gramStart"/>
      <w:r w:rsidRPr="00524435">
        <w:rPr>
          <w:lang w:val="en-US"/>
        </w:rPr>
        <w:t>1994</w:t>
      </w:r>
      <w:proofErr w:type="gramEnd"/>
      <w:r w:rsidRPr="00524435">
        <w:rPr>
          <w:lang w:val="en-US"/>
        </w:rPr>
        <w:t xml:space="preserve"> terrorist attack on the headquarters of the </w:t>
      </w:r>
      <w:proofErr w:type="spellStart"/>
      <w:r w:rsidRPr="00524435">
        <w:rPr>
          <w:lang w:val="en-US"/>
        </w:rPr>
        <w:t>Asociación</w:t>
      </w:r>
      <w:proofErr w:type="spellEnd"/>
      <w:r w:rsidRPr="00524435">
        <w:rPr>
          <w:lang w:val="en-US"/>
        </w:rPr>
        <w:t xml:space="preserve"> Mutual </w:t>
      </w:r>
      <w:proofErr w:type="spellStart"/>
      <w:r w:rsidRPr="00524435">
        <w:rPr>
          <w:lang w:val="en-US"/>
        </w:rPr>
        <w:t>Israelita</w:t>
      </w:r>
      <w:proofErr w:type="spellEnd"/>
      <w:r w:rsidRPr="00524435">
        <w:rPr>
          <w:lang w:val="en-US"/>
        </w:rPr>
        <w:t xml:space="preserve"> Argentina) v. Argentina</w:t>
      </w:r>
    </w:p>
    <w:p w14:paraId="589E95B2" w14:textId="77777777" w:rsidR="001D3A5D" w:rsidRPr="00524435" w:rsidRDefault="001D3A5D" w:rsidP="0003552D">
      <w:pPr>
        <w:pStyle w:val="ListParagraph"/>
      </w:pPr>
      <w:r w:rsidRPr="00524435">
        <w:rPr>
          <w:color w:val="000000" w:themeColor="text1"/>
        </w:rPr>
        <w:t xml:space="preserve">This case concerns the international responsibility of the Argentine State in relation to the </w:t>
      </w:r>
      <w:r w:rsidRPr="00524435">
        <w:t xml:space="preserve">terrorist attack perpetrated against the headquarters of the </w:t>
      </w:r>
      <w:proofErr w:type="spellStart"/>
      <w:r w:rsidRPr="00524435">
        <w:t>Asociación</w:t>
      </w:r>
      <w:proofErr w:type="spellEnd"/>
      <w:r w:rsidRPr="00524435">
        <w:t xml:space="preserve"> Mutual </w:t>
      </w:r>
      <w:proofErr w:type="spellStart"/>
      <w:r w:rsidRPr="00524435">
        <w:t>Israelita</w:t>
      </w:r>
      <w:proofErr w:type="spellEnd"/>
      <w:r w:rsidRPr="00524435">
        <w:t xml:space="preserve"> Argentina ("AMIA") on July 18, </w:t>
      </w:r>
      <w:proofErr w:type="gramStart"/>
      <w:r w:rsidRPr="00524435">
        <w:t>1994</w:t>
      </w:r>
      <w:proofErr w:type="gramEnd"/>
      <w:r w:rsidRPr="00524435">
        <w:t xml:space="preserve"> in Buenos Aires, which resulted in the death of 85 people and serious injuries to at least 151 others, as well as the situation of impunity still surrounding the facts. </w:t>
      </w:r>
    </w:p>
    <w:p w14:paraId="56E1BB48" w14:textId="77777777" w:rsidR="001D3A5D" w:rsidRPr="00524435" w:rsidRDefault="001D3A5D" w:rsidP="0003552D">
      <w:pPr>
        <w:pStyle w:val="ListParagraph"/>
      </w:pPr>
      <w:r w:rsidRPr="00524435">
        <w:rPr>
          <w:color w:val="000000" w:themeColor="text1"/>
        </w:rPr>
        <w:t xml:space="preserve">In its report on the merits, the IACHR appreciated the fact that in 2005 the Argentine State </w:t>
      </w:r>
      <w:r w:rsidRPr="00524435">
        <w:t xml:space="preserve">accepted its responsibility for failing to comply with its duty of prevention and for not having adequately and effectively investigated the attack. The State did not explicitly acknowledge the facts after 2005. Bearing this in mind, as well as its role as guarantor of inter-American public order and the need to determine the scope of the </w:t>
      </w:r>
      <w:r w:rsidRPr="00524435">
        <w:lastRenderedPageBreak/>
        <w:t>State's responsibility and the characteristics of the measures of reparation, in its Report on the Merits the Commission analyzed in a comprehensive manner all the facts and core elements of the instant case.</w:t>
      </w:r>
    </w:p>
    <w:p w14:paraId="2CDAAF65" w14:textId="77777777" w:rsidR="001D3A5D" w:rsidRPr="00524435" w:rsidRDefault="001D3A5D" w:rsidP="0003552D">
      <w:pPr>
        <w:pStyle w:val="ListParagraph"/>
      </w:pPr>
      <w:r w:rsidRPr="00524435">
        <w:rPr>
          <w:color w:val="000000" w:themeColor="text1"/>
        </w:rPr>
        <w:t>With respect to the duty of prevention, the Commission considered, based on the tools developed by inter-American jurisprudence to analyze this type of responsibility, that the State was aware of the existence of a situation of risk to sites identified with the Argentine Jewish community, particularly after the attack on the Israeli Embassy in 1992. Second, such risk was real and immediate, as evidenced by the existence of security measures in place, and the fact that there were events prior to the attack that drew attention to custody of the AMIA. Third, the Commission established that the State did not adopt reasonable measures to avoid this risk, since it never promoted a general plan to combat terrorism, nor did it take other adequate measures to protect the building.</w:t>
      </w:r>
    </w:p>
    <w:p w14:paraId="5C87814B" w14:textId="062A7EAD" w:rsidR="001D3A5D" w:rsidRPr="00524435" w:rsidRDefault="001D3A5D" w:rsidP="0003552D">
      <w:pPr>
        <w:pStyle w:val="ListParagraph"/>
      </w:pPr>
      <w:r w:rsidRPr="00524435">
        <w:rPr>
          <w:color w:val="000000" w:themeColor="text1"/>
        </w:rPr>
        <w:t xml:space="preserve">Although it was not proven that </w:t>
      </w:r>
      <w:r w:rsidRPr="00524435">
        <w:t xml:space="preserve">the State's omissions </w:t>
      </w:r>
      <w:proofErr w:type="gramStart"/>
      <w:r w:rsidRPr="00524435">
        <w:t>in the area of</w:t>
      </w:r>
      <w:proofErr w:type="gramEnd"/>
      <w:r w:rsidRPr="00524435">
        <w:t xml:space="preserve"> prevention were deliberately directed against the Argentine Jewish community, the Commission considered that they demonstrate that the State failed to take reasonable measures to protect a group susceptible to a discriminatory attack. The risk to life, for which the State accepted responsibility, also implied a risk of the constitution of an act of discrimination that finally materialized. Therefore, the State's omissions in protecting the rights to life and personal integrity also implied a violation of the right to equality and non-discrimination given the absence of prevention of an attack with a discriminatory motive. </w:t>
      </w:r>
    </w:p>
    <w:p w14:paraId="5577FEA6" w14:textId="77777777" w:rsidR="001D3A5D" w:rsidRPr="00524435" w:rsidRDefault="001D3A5D" w:rsidP="0003552D">
      <w:pPr>
        <w:pStyle w:val="ListParagraph"/>
      </w:pPr>
      <w:r w:rsidRPr="00524435">
        <w:t>In relation to the rights to judicial guarantees and judicial protection, the commission divided its analysis into three parts: a(</w:t>
      </w:r>
      <w:proofErr w:type="spellStart"/>
      <w:r w:rsidRPr="00524435">
        <w:t>i</w:t>
      </w:r>
      <w:proofErr w:type="spellEnd"/>
      <w:r w:rsidRPr="00524435">
        <w:t>) the investigation conducted by the Federal Court for Criminal and Correctional Matters No. a9 ("</w:t>
      </w:r>
      <w:proofErr w:type="spellStart"/>
      <w:r w:rsidRPr="00524435">
        <w:t>Juzgado</w:t>
      </w:r>
      <w:proofErr w:type="spellEnd"/>
      <w:r w:rsidRPr="00524435">
        <w:t xml:space="preserve"> Federal </w:t>
      </w:r>
      <w:proofErr w:type="spellStart"/>
      <w:r w:rsidRPr="00524435">
        <w:t>Nro</w:t>
      </w:r>
      <w:proofErr w:type="spellEnd"/>
      <w:r w:rsidRPr="00524435">
        <w:t>. 9") from 1994 to 2005; (ii) the investigation led by the AMIA Attack Investigation Unit (UFI AMIA) from 2005 to the present; and (iii) the judicial proceedings for the cover-up of the attack.</w:t>
      </w:r>
    </w:p>
    <w:p w14:paraId="77710F6D" w14:textId="77777777" w:rsidR="001D3A5D" w:rsidRPr="00524435" w:rsidRDefault="001D3A5D" w:rsidP="0003552D">
      <w:pPr>
        <w:pStyle w:val="ListParagraph"/>
      </w:pPr>
      <w:r w:rsidRPr="00524435">
        <w:t xml:space="preserve">Regarding the proceeding carried out by Federal Court No. 9, based on the available evidence the Commission concluded that the State bodies in charge of the investigation committed serious irregularities. In this regard, the IACHR noted the deficient preservation of the crime scene and the irrational interruption of certain logical lines of inquiry. Likewise, the disbursement by the judicial and intelligence authorities of a significant amount of money from the reserve funds of the Intelligence Secretariat to the then sole defendant in the case </w:t>
      </w:r>
      <w:proofErr w:type="gramStart"/>
      <w:r w:rsidRPr="00524435">
        <w:t>in order to</w:t>
      </w:r>
      <w:proofErr w:type="gramEnd"/>
      <w:r w:rsidRPr="00524435">
        <w:t xml:space="preserve"> incorporate information to the case and thus build an unsubstantiated accusatory hypothesis.  The Commission considered that the conduct of the authorities in charge of the investigation - especially in the initial proceedings and those conducted by Federal Criminal and Correctional Court No. 9 - instead of seriously promoting the investigation and the punishment of those responsible, ended up being responsible for serious shortcomings, irregularities, and deliberate deviation of the investigation for more than 8 years. The pursuit of an accusatory hypothesis fabricated by State officials was only possible due to a lack of impartiality on the part of the judge in charge of the investigation and became a factor that prevented the true causes of the attack and all the liabilities involved from being investigated. The Commission concluded that such conduct and omissions were deliberate cover-up tactics and are the main reason why the attack remains unpunished to date. </w:t>
      </w:r>
    </w:p>
    <w:p w14:paraId="4769C2BB" w14:textId="77777777" w:rsidR="001D3A5D" w:rsidRPr="00524435" w:rsidRDefault="001D3A5D" w:rsidP="0003552D">
      <w:pPr>
        <w:pStyle w:val="ListParagraph"/>
      </w:pPr>
      <w:proofErr w:type="gramStart"/>
      <w:r w:rsidRPr="00524435">
        <w:t>With regard to</w:t>
      </w:r>
      <w:proofErr w:type="gramEnd"/>
      <w:r w:rsidRPr="00524435">
        <w:t xml:space="preserve"> the investigation headed by the UFI AMIA, the Commission noted that the State has adopted some relevant measures to channel the investigation and remedy the multiple damage done during the time that the investigation was headed by Federal Criminal Court No. 9.  Thus, since 2015, the UFI AMIA has unearthed evidence that made it possible to reveal even greater shortcomings that occurred during the collection and identification of essential evidentiary material in the initial proceedings. However, these proceedings were preceded by long periods of delay, without any justification being offered. Furthermore, the State did not demonstrate that, in accordance with the principle of due diligence, all the required investigations and procedures had been exhaustively carried out. Deficiencies identified include: the absence of proper conservation and adequate management of organic material of utmost relevance for the investigation; the delay in the performance of expert appraisals of such material; the failure, in the performance of crucial expert appraisals, to confirm or disprove crucial elements of the accusatory hypothesis sustained by the Public Prosecutors' Office; and the issuance of two indictments based mainly on information provided by alleged </w:t>
      </w:r>
      <w:r w:rsidRPr="00524435">
        <w:lastRenderedPageBreak/>
        <w:t>sources of human intelligence, which was not incorporated into the judicial proceedings in accordance with the rules governing testimony, and whose identity could not be corroborated by the judges in charge or by the plaintiffs, the victims, or their relatives.</w:t>
      </w:r>
    </w:p>
    <w:p w14:paraId="3F605CC5" w14:textId="77777777" w:rsidR="001D3A5D" w:rsidRPr="00524435" w:rsidRDefault="001D3A5D" w:rsidP="0003552D">
      <w:pPr>
        <w:pStyle w:val="ListParagraph"/>
      </w:pPr>
      <w:r w:rsidRPr="00524435">
        <w:t xml:space="preserve">With respect to the judicial proceedings regarding the cover-up of the bombing, the Commission noted that more than 20 years after the initiation of the judicial proceedings for the irregularities committed during the investigation conducted by Federal Court No. 9, a final judgment has not yet been rendered. </w:t>
      </w:r>
    </w:p>
    <w:p w14:paraId="6ED3CD6D" w14:textId="77777777" w:rsidR="001D3A5D" w:rsidRPr="00524435" w:rsidRDefault="001D3A5D" w:rsidP="0003552D">
      <w:pPr>
        <w:pStyle w:val="ListParagraph"/>
      </w:pPr>
      <w:r w:rsidRPr="00524435">
        <w:t xml:space="preserve">The Commission concluded that there is an unreasonable delay in the investigation of the facts related to the AMIA bombing, as well as in the proceedings regarding the cover-up, all of which has affected the right to the truth about what happened and has had a special impact on the victims' families.  </w:t>
      </w:r>
    </w:p>
    <w:p w14:paraId="4E7CC2F6" w14:textId="77777777" w:rsidR="001D3A5D" w:rsidRPr="00524435" w:rsidRDefault="001D3A5D" w:rsidP="0003552D">
      <w:pPr>
        <w:pStyle w:val="ListParagraph"/>
      </w:pPr>
      <w:r w:rsidRPr="00524435">
        <w:t xml:space="preserve">In addition, in relation to the classified information held by the State Intelligence Secretariat (SIDE), its successor agencies and the UFI-AMIA, the Commission concluded that, from July 18, 1994 and until March 2015, the Argentine State violated the petitioning party’s right to access information related to the attack, since, based on the regulations in force, it kept out of its reach the documentation classified as secret by the intelligence agencies that participated in the investigations. </w:t>
      </w:r>
    </w:p>
    <w:p w14:paraId="235034A8" w14:textId="5469CA68" w:rsidR="001D3A5D" w:rsidRPr="00524435" w:rsidRDefault="001D3A5D" w:rsidP="0003552D">
      <w:pPr>
        <w:pStyle w:val="ListParagraph"/>
      </w:pPr>
      <w:r w:rsidRPr="00524435">
        <w:t xml:space="preserve">Regarding the conditions of preservation of documentation and accessibility of the declassified information, the Commission observed that the deficient or non-existent preservation of said collections of documents for long periods of time has serious consequences for the international responsibility of the State, since it constitutes a de facto impediment to the efficient access by the victims and their relatives to the information related to the attack that is in the possession of the State. Consequently, the Commission concluded that the Argentine State has not complied to date with its obligation to guarantee the </w:t>
      </w:r>
      <w:r w:rsidR="006D5F49" w:rsidRPr="00524435">
        <w:t>petitioning party</w:t>
      </w:r>
      <w:r w:rsidRPr="00524435">
        <w:t xml:space="preserve"> access to the State archives where this information is stored. </w:t>
      </w:r>
    </w:p>
    <w:p w14:paraId="5700C9FA" w14:textId="77777777" w:rsidR="001D3A5D" w:rsidRPr="00524435" w:rsidRDefault="001D3A5D" w:rsidP="0003552D">
      <w:pPr>
        <w:pStyle w:val="ListParagraph"/>
      </w:pPr>
      <w:r w:rsidRPr="00524435">
        <w:t xml:space="preserve">Finally, the Commission concluded that the State violated the right to psychological and moral integrity to the detriment of the victims' next of kin. The IACHR emphasized that the circumstance of being a family member of a victim of a terrorist act of the magnitude of the AMIA bombing </w:t>
      </w:r>
      <w:proofErr w:type="gramStart"/>
      <w:r w:rsidRPr="00524435">
        <w:t>in itself generates</w:t>
      </w:r>
      <w:proofErr w:type="gramEnd"/>
      <w:r w:rsidRPr="00524435">
        <w:t xml:space="preserve"> severe suffering and anguish. Likewise, this suffering was increased by the situation of impunity in which the case is mired, which is directly attributable to the State due to the actions of its agents, who in some periods even deliberately diverted the investigation, to conceal the truth and hamper the possibility of identifying and punishing those responsible. </w:t>
      </w:r>
    </w:p>
    <w:p w14:paraId="54515775" w14:textId="77777777" w:rsidR="001D3A5D" w:rsidRPr="00524435" w:rsidRDefault="001D3A5D" w:rsidP="00F275B0">
      <w:pPr>
        <w:pStyle w:val="Style2"/>
        <w:rPr>
          <w:lang w:val="en-US"/>
        </w:rPr>
      </w:pPr>
      <w:r w:rsidRPr="00524435">
        <w:rPr>
          <w:lang w:val="en-US"/>
        </w:rPr>
        <w:t>Guillermo Antonio Alvarez v. Argentina</w:t>
      </w:r>
    </w:p>
    <w:p w14:paraId="4F9502F6" w14:textId="77777777" w:rsidR="001D3A5D" w:rsidRPr="00524435" w:rsidRDefault="001D3A5D" w:rsidP="0003552D">
      <w:pPr>
        <w:pStyle w:val="ListParagraph"/>
      </w:pPr>
      <w:r w:rsidRPr="00524435">
        <w:rPr>
          <w:color w:val="000000" w:themeColor="text1"/>
        </w:rPr>
        <w:t xml:space="preserve">This case </w:t>
      </w:r>
      <w:r w:rsidRPr="00524435">
        <w:t xml:space="preserve">concerns the international responsibility of Argentina for events related to the human rights violations to which </w:t>
      </w:r>
      <w:r w:rsidRPr="00524435">
        <w:rPr>
          <w:color w:val="000000" w:themeColor="text1"/>
        </w:rPr>
        <w:t xml:space="preserve">Guillermo Antonio Álvarez </w:t>
      </w:r>
      <w:r w:rsidRPr="00524435">
        <w:t xml:space="preserve">was subjected in the context of a criminal proceeding against him. </w:t>
      </w:r>
    </w:p>
    <w:p w14:paraId="229F80F1" w14:textId="71C5AEF8" w:rsidR="001D3A5D" w:rsidRPr="00524435" w:rsidRDefault="001D3A5D" w:rsidP="0003552D">
      <w:pPr>
        <w:pStyle w:val="ListParagraph"/>
      </w:pPr>
      <w:r w:rsidRPr="00524435">
        <w:rPr>
          <w:color w:val="000000" w:themeColor="text1"/>
        </w:rPr>
        <w:t xml:space="preserve">Mr. Alvarez was subject to criminal proceedings for the crimes of robbery and homicide that occurred between July 27 and 28, 1996. On October 28, 1999, the Oral Court for Minors, before which the proceedings were held, found him criminally responsible and sentenced him to the "single penalty of life imprisonment, plus the accessory penalty of effectively enforced imprisonment for an indeterminate period of </w:t>
      </w:r>
      <w:r w:rsidR="00860B47" w:rsidRPr="00524435">
        <w:rPr>
          <w:color w:val="000000" w:themeColor="text1"/>
        </w:rPr>
        <w:t>time, legal</w:t>
      </w:r>
      <w:r w:rsidRPr="00524435">
        <w:rPr>
          <w:color w:val="000000" w:themeColor="text1"/>
        </w:rPr>
        <w:t xml:space="preserve"> consequences, and costs." An appeal for annulment and a series of extraordinary appeals were filed against this decision. However, the sentence imposed became final. </w:t>
      </w:r>
    </w:p>
    <w:p w14:paraId="5C2274C4" w14:textId="77777777" w:rsidR="001D3A5D" w:rsidRPr="00524435" w:rsidRDefault="001D3A5D" w:rsidP="0003552D">
      <w:pPr>
        <w:pStyle w:val="ListParagraph"/>
      </w:pPr>
      <w:r w:rsidRPr="00524435">
        <w:rPr>
          <w:color w:val="000000" w:themeColor="text1"/>
        </w:rPr>
        <w:t xml:space="preserve">In its Report on the Merits, the Commission identified a series of violations committed during the criminal proceedings. </w:t>
      </w:r>
      <w:r w:rsidRPr="00524435">
        <w:t xml:space="preserve">First, </w:t>
      </w:r>
      <w:r w:rsidRPr="00524435">
        <w:rPr>
          <w:color w:val="000000" w:themeColor="text1"/>
        </w:rPr>
        <w:t xml:space="preserve">it determined that there were </w:t>
      </w:r>
      <w:r w:rsidRPr="00524435">
        <w:t xml:space="preserve">several aspects that led to the victim not having </w:t>
      </w:r>
      <w:r w:rsidRPr="00524435">
        <w:rPr>
          <w:color w:val="000000" w:themeColor="text1"/>
        </w:rPr>
        <w:t>the time and means to prepare an adequate defense, and to its not being effective</w:t>
      </w:r>
      <w:r w:rsidRPr="00524435">
        <w:t>.</w:t>
      </w:r>
      <w:r w:rsidRPr="00524435">
        <w:rPr>
          <w:color w:val="000000" w:themeColor="text1"/>
        </w:rPr>
        <w:t xml:space="preserve"> </w:t>
      </w:r>
      <w:r w:rsidRPr="00524435">
        <w:t xml:space="preserve"> The Commission established that, following the revocation of the sponsorship of the victim's trusted representatives, the court decided not to grant him time to appoint a new defense counsel, but instead appointed the Official Public Defender ex officio </w:t>
      </w:r>
      <w:r w:rsidRPr="00524435">
        <w:lastRenderedPageBreak/>
        <w:t xml:space="preserve">on the same day that the hearing for the commencement of the trial began. The victim was able to meet with the defense attorney only one hour before the hearing and during the hearing decided not to testify. Although the court considered that the assigned defense counsel would have knowledge of the case </w:t>
      </w:r>
      <w:proofErr w:type="gramStart"/>
      <w:r w:rsidRPr="00524435">
        <w:t>since</w:t>
      </w:r>
      <w:proofErr w:type="gramEnd"/>
      <w:r w:rsidRPr="00524435">
        <w:t xml:space="preserve"> she had previously defended a co-accused, the Commission noted that she herself indicated that it was not possible for her to study the victim's situation in less than 24 hours. In addition, the Commission noted that the court did not analyze the possible incompatibility of having a single defense counsel represent both defendants in the case.</w:t>
      </w:r>
    </w:p>
    <w:p w14:paraId="30E66D87" w14:textId="77777777" w:rsidR="001D3A5D" w:rsidRPr="00524435" w:rsidRDefault="001D3A5D" w:rsidP="0003552D">
      <w:pPr>
        <w:pStyle w:val="ListParagraph"/>
      </w:pPr>
      <w:r w:rsidRPr="00524435">
        <w:t xml:space="preserve">In addition, the Commission considered that the lack of arguments in favor of the interests of the accused, as well as the inadequate substantiation of the appeals filed, had an impact on the right to an effective defense. The Commission also noted that the victim did not have a defense attorney to file an extraordinary federal appeal against the sentence of the Criminal Cassation Chamber. The Commission determined that, </w:t>
      </w:r>
      <w:proofErr w:type="gramStart"/>
      <w:r w:rsidRPr="00524435">
        <w:t>despite the fact that</w:t>
      </w:r>
      <w:proofErr w:type="gramEnd"/>
      <w:r w:rsidRPr="00524435">
        <w:t xml:space="preserve"> the multiple deficiencies in Mr. Alvarez's defense were brought to the attention of the judicial authorities through various appeals, those appeals were not effective in remedying the aforementioned violations of judicial guarantees.</w:t>
      </w:r>
    </w:p>
    <w:p w14:paraId="1304A438" w14:textId="77777777" w:rsidR="001D3A5D" w:rsidRPr="00524435" w:rsidRDefault="001D3A5D" w:rsidP="0003552D">
      <w:pPr>
        <w:pStyle w:val="ListParagraph"/>
      </w:pPr>
      <w:r w:rsidRPr="00524435">
        <w:t>Secondly, the Commission observed that Mr. Alvarez was presented at the hearing handcuffed, without the State having shown that such measures are appropriate and proportional to reduce the risk of flight or violence. The Commission considered that this affected his right to presumption of innocence.</w:t>
      </w:r>
    </w:p>
    <w:p w14:paraId="341CB975" w14:textId="5443B4FE" w:rsidR="001D3A5D" w:rsidRPr="00524435" w:rsidRDefault="001D3A5D" w:rsidP="0003552D">
      <w:pPr>
        <w:pStyle w:val="ListParagraph"/>
      </w:pPr>
      <w:r w:rsidRPr="00524435">
        <w:t xml:space="preserve">Third, as it has done in other cases, the Commission determined that the limitations that the victim experienced in relation to the grounds for the cassation appeal meant that Mr. Álvarez did not have a remedy before a higher authority to carry out a comprehensive review of his conviction, including the issues of fact, law, assessment of evidence, and due process alleged by the defense in the cassation appeal. It also concluded that, </w:t>
      </w:r>
      <w:proofErr w:type="gramStart"/>
      <w:r w:rsidRPr="00524435">
        <w:t>as a result of</w:t>
      </w:r>
      <w:proofErr w:type="gramEnd"/>
      <w:r w:rsidRPr="00524435">
        <w:t xml:space="preserve"> the limited nature of the cassation appeal and the even more limited nature of the extraordinary appeal, the victim did not have simple and effective judicial remedies in the criminal proceedings that culminated in his conviction.</w:t>
      </w:r>
    </w:p>
    <w:p w14:paraId="4D03916C" w14:textId="735E8F9F" w:rsidR="001D3A5D" w:rsidRPr="00524435" w:rsidRDefault="001D3A5D" w:rsidP="0003552D">
      <w:pPr>
        <w:pStyle w:val="ListParagraph"/>
      </w:pPr>
      <w:r w:rsidRPr="00524435">
        <w:t xml:space="preserve">Fourth, with respect to the imposition of a sentence of life imprisonment in accordance with the provisions of Article 80, paragraphs 2 and 7 of the National Criminal Code, plus the accessory sentence of indefinite imprisonment to be effectively enforced under Article 52 of the National Criminal Code, the Commission observed that that sentence would mean that, in the best of cases, the victim could obtain his definitive release in 30 years. This is because </w:t>
      </w:r>
      <w:r w:rsidR="003D7F60" w:rsidRPr="00524435">
        <w:t>sentences in</w:t>
      </w:r>
      <w:r w:rsidRPr="00524435">
        <w:t xml:space="preserve"> cases of life imprisonment are not subject to periodic review, and Mr. Alvarez would only be able to have his sentence reviewed 20 years after his conviction, without a judge being able to evaluate various factors </w:t>
      </w:r>
      <w:proofErr w:type="gramStart"/>
      <w:r w:rsidRPr="00524435">
        <w:t>in order to</w:t>
      </w:r>
      <w:proofErr w:type="gramEnd"/>
      <w:r w:rsidRPr="00524435">
        <w:t xml:space="preserve"> determine whether he should continue to be deprived of his liberty. </w:t>
      </w:r>
    </w:p>
    <w:p w14:paraId="1CEEC6DC" w14:textId="77777777" w:rsidR="001D3A5D" w:rsidRPr="00524435" w:rsidRDefault="001D3A5D" w:rsidP="0003552D">
      <w:pPr>
        <w:pStyle w:val="ListParagraph"/>
      </w:pPr>
      <w:r w:rsidRPr="00524435">
        <w:t xml:space="preserve">The Commission concluded that this penalty was disproportionate and contrary to the purpose of re-socialization. In addition, the Commission established that the accessory penalty, imposed </w:t>
      </w:r>
      <w:proofErr w:type="gramStart"/>
      <w:r w:rsidRPr="00524435">
        <w:t>as a result of</w:t>
      </w:r>
      <w:proofErr w:type="gramEnd"/>
      <w:r w:rsidRPr="00524435">
        <w:t xml:space="preserve"> the victim’s convictions in other proceedings, had been borrowed from copyright infringement law an in practice entailed unjustified differentiated treatment in comparison with other persons who might commit the same crime. Although this last accessory penalty was declared unconstitutional in the </w:t>
      </w:r>
      <w:proofErr w:type="spellStart"/>
      <w:r w:rsidRPr="00524435">
        <w:rPr>
          <w:i/>
        </w:rPr>
        <w:t>Gramajo</w:t>
      </w:r>
      <w:proofErr w:type="spellEnd"/>
      <w:r w:rsidRPr="00524435">
        <w:t xml:space="preserve"> ruling, the Commission did not have information indicating that this ruling had a general scope, and it remains in force to date.</w:t>
      </w:r>
    </w:p>
    <w:p w14:paraId="0F4FAB9C" w14:textId="77777777" w:rsidR="001D3A5D" w:rsidRPr="00524435" w:rsidRDefault="001D3A5D" w:rsidP="0003552D">
      <w:pPr>
        <w:pStyle w:val="ListParagraph"/>
      </w:pPr>
      <w:r w:rsidRPr="00524435">
        <w:rPr>
          <w:color w:val="000000"/>
          <w:bdr w:val="nil"/>
        </w:rPr>
        <w:t>Based on those findings, the Commission concluded that the Argentine State is responsible for violation of the rights to  personal integrity, personal liberty, judicial guarantees, equality before the law, and judicial protection established in Articles 5.6, 7.3, 8(1), 8(2)(c), 8(2)(d), 8(2)(e), 8(2)(h), 8(2)(f), 24 and 25 of the American Convention, taken in conjunction with the obligations established in Articles 1(1) and 2 of that instrument, to the detriment of Guillermo Antonio Álvarez.</w:t>
      </w:r>
    </w:p>
    <w:p w14:paraId="478B098A" w14:textId="77777777" w:rsidR="002333BB" w:rsidRPr="00524435" w:rsidRDefault="002333BB">
      <w:pPr>
        <w:rPr>
          <w:rFonts w:ascii="Cambria" w:eastAsia="Calibri" w:hAnsi="Cambria" w:cs="Calibri"/>
          <w:b/>
          <w:sz w:val="20"/>
          <w:szCs w:val="20"/>
        </w:rPr>
      </w:pPr>
      <w:r w:rsidRPr="00524435">
        <w:br w:type="page"/>
      </w:r>
    </w:p>
    <w:p w14:paraId="7E77304C" w14:textId="55BCD02C" w:rsidR="001D3A5D" w:rsidRPr="00524435" w:rsidRDefault="001D3A5D" w:rsidP="00F275B0">
      <w:pPr>
        <w:pStyle w:val="Style2"/>
        <w:rPr>
          <w:bCs/>
          <w:lang w:val="en-US"/>
        </w:rPr>
      </w:pPr>
      <w:r w:rsidRPr="00524435">
        <w:rPr>
          <w:lang w:val="en-US"/>
        </w:rPr>
        <w:lastRenderedPageBreak/>
        <w:t xml:space="preserve">Héctor Hugo </w:t>
      </w:r>
      <w:proofErr w:type="spellStart"/>
      <w:r w:rsidRPr="00524435">
        <w:rPr>
          <w:lang w:val="en-US"/>
        </w:rPr>
        <w:t>Boleso</w:t>
      </w:r>
      <w:proofErr w:type="spellEnd"/>
      <w:r w:rsidRPr="00524435">
        <w:rPr>
          <w:lang w:val="en-US"/>
        </w:rPr>
        <w:t xml:space="preserve"> v. Argentina</w:t>
      </w:r>
    </w:p>
    <w:p w14:paraId="3D84CF64" w14:textId="77777777" w:rsidR="001D3A5D" w:rsidRPr="00524435" w:rsidRDefault="001D3A5D" w:rsidP="001D3A5D">
      <w:pPr>
        <w:numPr>
          <w:ilvl w:val="0"/>
          <w:numId w:val="1"/>
        </w:numPr>
        <w:autoSpaceDE w:val="0"/>
        <w:autoSpaceDN w:val="0"/>
        <w:adjustRightInd w:val="0"/>
        <w:spacing w:after="240" w:line="240" w:lineRule="auto"/>
        <w:ind w:left="0" w:firstLine="720"/>
        <w:jc w:val="both"/>
        <w:rPr>
          <w:rFonts w:ascii="Cambria" w:hAnsi="Cambria" w:cs="Calibri"/>
          <w:sz w:val="20"/>
          <w:szCs w:val="20"/>
        </w:rPr>
      </w:pPr>
      <w:r w:rsidRPr="00524435">
        <w:rPr>
          <w:rFonts w:ascii="Cambria" w:hAnsi="Cambria"/>
          <w:color w:val="000000" w:themeColor="text1"/>
          <w:sz w:val="20"/>
        </w:rPr>
        <w:t xml:space="preserve">The instant case concerns </w:t>
      </w:r>
      <w:r w:rsidRPr="00524435">
        <w:rPr>
          <w:rFonts w:ascii="Cambria" w:hAnsi="Cambria"/>
          <w:sz w:val="20"/>
        </w:rPr>
        <w:t xml:space="preserve">the international responsibility of the State for a delayed ruling in an amparo action concerning the remuneration of a judge. On February 21, 1990, Mr. Héctor Hugo </w:t>
      </w:r>
      <w:proofErr w:type="spellStart"/>
      <w:r w:rsidRPr="00524435">
        <w:rPr>
          <w:rFonts w:ascii="Cambria" w:hAnsi="Cambria"/>
          <w:sz w:val="20"/>
        </w:rPr>
        <w:t>Boleso</w:t>
      </w:r>
      <w:proofErr w:type="spellEnd"/>
      <w:r w:rsidRPr="00524435">
        <w:rPr>
          <w:rFonts w:ascii="Cambria" w:hAnsi="Cambria"/>
          <w:sz w:val="20"/>
        </w:rPr>
        <w:t xml:space="preserve">, who at the time was a labor court judge of the Province of Corrientes, filed an amparo action alleging that his right to the intangibility of his remuneration, a constitutionally recognized right, had been violated. The first instance judgment of June 18, </w:t>
      </w:r>
      <w:proofErr w:type="gramStart"/>
      <w:r w:rsidRPr="00524435">
        <w:rPr>
          <w:rFonts w:ascii="Cambria" w:hAnsi="Cambria"/>
          <w:sz w:val="20"/>
        </w:rPr>
        <w:t>1991</w:t>
      </w:r>
      <w:proofErr w:type="gramEnd"/>
      <w:r w:rsidRPr="00524435">
        <w:rPr>
          <w:rFonts w:ascii="Cambria" w:hAnsi="Cambria"/>
          <w:sz w:val="20"/>
        </w:rPr>
        <w:t xml:space="preserve"> rejected the action. However, on August 7, 1992, the Superior Court of Justice of the Province of Corrientes revoked said decision in its entirety. On August 28, 1992, the Province of Corrientes filed an extraordinary federal appeal, which was rejected on August 4, 1997.</w:t>
      </w:r>
    </w:p>
    <w:p w14:paraId="2B150BDE" w14:textId="77777777" w:rsidR="001D3A5D" w:rsidRPr="00524435" w:rsidRDefault="001D3A5D" w:rsidP="0003552D">
      <w:pPr>
        <w:pStyle w:val="ListParagraph"/>
      </w:pPr>
      <w:r w:rsidRPr="00524435">
        <w:t xml:space="preserve">Subsequently, Mr. </w:t>
      </w:r>
      <w:proofErr w:type="spellStart"/>
      <w:r w:rsidRPr="00524435">
        <w:t>Boleso</w:t>
      </w:r>
      <w:proofErr w:type="spellEnd"/>
      <w:r w:rsidRPr="00524435">
        <w:t xml:space="preserve"> attempted to enforce the judgment, by filling in the corresponding payroll sheet, which was challenged by the State on the grounds that the judgment was only declaratory and did not order the payment of a sum. On September 28, 1999, the Superior Court of Justice of Corrientes revoked the judgment of August 7, 1992, establishing that it was merely declaratory. Mr. </w:t>
      </w:r>
      <w:proofErr w:type="spellStart"/>
      <w:r w:rsidRPr="00524435">
        <w:t>Boleso</w:t>
      </w:r>
      <w:proofErr w:type="spellEnd"/>
      <w:r w:rsidRPr="00524435">
        <w:t xml:space="preserve"> filed an extraordinary federal appeal, which was dismissed. Subsequently, he filed a complaint for denial of an extraordinary federal appeal. On June 4, 2004, the Supreme Court of Justice of the Nation partially granted the appeal and ordered the refilling in of the payroll sheet. Following an appeal filed by the victim on November 1, 2007, the case was sent back to the first instance. On December 12, 2008, Mr. </w:t>
      </w:r>
      <w:proofErr w:type="spellStart"/>
      <w:r w:rsidRPr="00524435">
        <w:t>Boleso</w:t>
      </w:r>
      <w:proofErr w:type="spellEnd"/>
      <w:r w:rsidRPr="00524435">
        <w:t xml:space="preserve"> filed the administrative sheet with the Public Prosecutor's Office for the collection of the judicially acknowledged amount. On March 2, </w:t>
      </w:r>
      <w:proofErr w:type="gramStart"/>
      <w:r w:rsidRPr="00524435">
        <w:t>2011</w:t>
      </w:r>
      <w:proofErr w:type="gramEnd"/>
      <w:r w:rsidRPr="00524435">
        <w:t xml:space="preserve"> the provincial State made the payment, which was collected by the petitioner on June 1, 2011 in the amount of $92,016.30.</w:t>
      </w:r>
    </w:p>
    <w:p w14:paraId="617503A3" w14:textId="18F84587" w:rsidR="001D3A5D" w:rsidRPr="00524435" w:rsidRDefault="001D3A5D" w:rsidP="0003552D">
      <w:pPr>
        <w:pStyle w:val="ListParagraph"/>
      </w:pPr>
      <w:r w:rsidRPr="00524435">
        <w:t xml:space="preserve">In its Report on the Merits, the Commission emphasized the importance of the reasonable time guarantee in proceedings related to the remuneration of judges, </w:t>
      </w:r>
      <w:proofErr w:type="gramStart"/>
      <w:r w:rsidRPr="00524435">
        <w:t>taking into account</w:t>
      </w:r>
      <w:proofErr w:type="gramEnd"/>
      <w:r w:rsidRPr="00524435">
        <w:t xml:space="preserve"> the relationship between adequate remuneration, the conditions of service, and the independence that judges require for their actions. </w:t>
      </w:r>
      <w:proofErr w:type="gramStart"/>
      <w:r w:rsidRPr="00524435">
        <w:t>In order to</w:t>
      </w:r>
      <w:proofErr w:type="gramEnd"/>
      <w:r w:rsidRPr="00524435">
        <w:t xml:space="preserve"> evaluate compliance with the reasonable time guarantee in the instant case, the Commission analyzed the four factors established by inter-American jurisprudence: a) complexity of the case; b) procedural activity of the interested party; c) conduct of the judicial authorities; and d) impact on the legal situation of the person involved in the proceeding.</w:t>
      </w:r>
    </w:p>
    <w:p w14:paraId="611962B3" w14:textId="77777777" w:rsidR="001D3A5D" w:rsidRPr="00524435" w:rsidRDefault="001D3A5D" w:rsidP="0003552D">
      <w:pPr>
        <w:pStyle w:val="ListParagraph"/>
      </w:pPr>
      <w:r w:rsidRPr="00524435">
        <w:t xml:space="preserve">In relation to the complexity of the procedure, the Commission noted that Article 43 of the Argentine National Constitution characterizes amparo as an expeditious and rapid action. The Commission also established that, </w:t>
      </w:r>
      <w:proofErr w:type="gramStart"/>
      <w:r w:rsidRPr="00524435">
        <w:t>taking into account</w:t>
      </w:r>
      <w:proofErr w:type="gramEnd"/>
      <w:r w:rsidRPr="00524435">
        <w:t xml:space="preserve"> that the amparo action filed by the victim resulted in a declaration of Mr. </w:t>
      </w:r>
      <w:proofErr w:type="spellStart"/>
      <w:r w:rsidRPr="00524435">
        <w:t>Boleso's</w:t>
      </w:r>
      <w:proofErr w:type="spellEnd"/>
      <w:r w:rsidRPr="00524435">
        <w:t xml:space="preserve"> right to the intangibility of his remuneration, the procedure was not particularly complex. </w:t>
      </w:r>
    </w:p>
    <w:p w14:paraId="25EC48BE" w14:textId="77777777" w:rsidR="001D3A5D" w:rsidRPr="00524435" w:rsidRDefault="001D3A5D" w:rsidP="0003552D">
      <w:pPr>
        <w:pStyle w:val="ListParagraph"/>
      </w:pPr>
      <w:r w:rsidRPr="00524435">
        <w:t xml:space="preserve">Regarding the conduct of the authorities involved and the activity of the interested party, the Commission noted that the first instance ruling was not issued until one year and four months after Mr. </w:t>
      </w:r>
      <w:proofErr w:type="spellStart"/>
      <w:r w:rsidRPr="00524435">
        <w:t>Boleso</w:t>
      </w:r>
      <w:proofErr w:type="spellEnd"/>
      <w:r w:rsidRPr="00524435">
        <w:t xml:space="preserve"> filed the amparo. Likewise, the Superior Court of Justice took five years to resolve the extraordinary appeal filed by the Province of Corrientes. The Commission noted that the State has not provided any explanation to justify this period of inactivity and, on the contrary, it is on record that, during this period, Mr. </w:t>
      </w:r>
      <w:proofErr w:type="spellStart"/>
      <w:r w:rsidRPr="00524435">
        <w:t>Boleso</w:t>
      </w:r>
      <w:proofErr w:type="spellEnd"/>
      <w:r w:rsidRPr="00524435">
        <w:t xml:space="preserve"> filed several briefs requesting the jurisdictional authority to issue a ruling. </w:t>
      </w:r>
    </w:p>
    <w:p w14:paraId="74AF6116" w14:textId="77777777" w:rsidR="001D3A5D" w:rsidRPr="00524435" w:rsidRDefault="001D3A5D" w:rsidP="0003552D">
      <w:pPr>
        <w:pStyle w:val="ListParagraph"/>
      </w:pPr>
      <w:r w:rsidRPr="00524435">
        <w:t xml:space="preserve">At the same time, the Commission noted that it was not until September 1999 that the declaratory nature of the judgment of August 7, </w:t>
      </w:r>
      <w:proofErr w:type="gramStart"/>
      <w:r w:rsidRPr="00524435">
        <w:t>1997</w:t>
      </w:r>
      <w:proofErr w:type="gramEnd"/>
      <w:r w:rsidRPr="00524435">
        <w:t xml:space="preserve"> was established, which was reiterated in the resolution of the extraordinary appeal of August 8, 2000. This is to say, ten years after Mr. </w:t>
      </w:r>
      <w:proofErr w:type="spellStart"/>
      <w:r w:rsidRPr="00524435">
        <w:t>Boleso</w:t>
      </w:r>
      <w:proofErr w:type="spellEnd"/>
      <w:r w:rsidRPr="00524435">
        <w:t xml:space="preserve"> filed the amparo action. Subsequently, new appeals were filed, until in 2007 the case was returned to the first instance and, after initiating an administrative process, Mr. </w:t>
      </w:r>
      <w:proofErr w:type="spellStart"/>
      <w:r w:rsidRPr="00524435">
        <w:t>Boleso</w:t>
      </w:r>
      <w:proofErr w:type="spellEnd"/>
      <w:r w:rsidRPr="00524435">
        <w:t xml:space="preserve"> received the payment of the salaries owed, 21 years after the beginning of the claim. </w:t>
      </w:r>
    </w:p>
    <w:p w14:paraId="072C6E73" w14:textId="77777777" w:rsidR="001D3A5D" w:rsidRPr="00524435" w:rsidRDefault="001D3A5D" w:rsidP="0003552D">
      <w:pPr>
        <w:pStyle w:val="ListParagraph"/>
      </w:pPr>
      <w:r w:rsidRPr="00524435">
        <w:t xml:space="preserve">The Commission considered that the State's explanation with respect to the various self-disqualifications of judges and the need to appoint co-judges is not sufficient to justify a delay of such magnitude, within a process that by its nature should be expeditious, especially </w:t>
      </w:r>
      <w:proofErr w:type="gramStart"/>
      <w:r w:rsidRPr="00524435">
        <w:t>in light of</w:t>
      </w:r>
      <w:proofErr w:type="gramEnd"/>
      <w:r w:rsidRPr="00524435">
        <w:t xml:space="preserve"> the importance of guaranteeing adequate remuneration for judges. </w:t>
      </w:r>
    </w:p>
    <w:p w14:paraId="4E95E328" w14:textId="04BE632B" w:rsidR="001D3A5D" w:rsidRPr="00524435" w:rsidRDefault="001D3A5D" w:rsidP="0003552D">
      <w:pPr>
        <w:pStyle w:val="ListParagraph"/>
      </w:pPr>
      <w:r w:rsidRPr="00524435">
        <w:lastRenderedPageBreak/>
        <w:t xml:space="preserve">Based on these findings, the Commission concluded that the Argentine State violated the guarantee of reasonable time to effectively enforce Mr. </w:t>
      </w:r>
      <w:proofErr w:type="spellStart"/>
      <w:r w:rsidRPr="00524435">
        <w:t>Boleso's</w:t>
      </w:r>
      <w:proofErr w:type="spellEnd"/>
      <w:r w:rsidRPr="00524435">
        <w:t xml:space="preserve"> </w:t>
      </w:r>
      <w:r w:rsidR="003D7F60" w:rsidRPr="00524435">
        <w:t>rights and</w:t>
      </w:r>
      <w:r w:rsidRPr="00524435">
        <w:t xml:space="preserve"> is therefore responsible for the violation of the rights to judicial protection and judicial guarantees recognized in Articles 8(1) and 25(1) of the American Convention, in conjunction with its obligations established in Article 1(1), to the detriment of Mr. Héctor Hugo </w:t>
      </w:r>
      <w:proofErr w:type="spellStart"/>
      <w:r w:rsidRPr="00524435">
        <w:t>Boleso</w:t>
      </w:r>
      <w:proofErr w:type="spellEnd"/>
      <w:r w:rsidRPr="00524435">
        <w:t>.</w:t>
      </w:r>
    </w:p>
    <w:p w14:paraId="673843E7" w14:textId="753B5E32" w:rsidR="001D3A5D" w:rsidRPr="00524435" w:rsidRDefault="001D3A5D" w:rsidP="00F275B0">
      <w:pPr>
        <w:pStyle w:val="Style2"/>
        <w:rPr>
          <w:bCs/>
          <w:lang w:val="en-US"/>
        </w:rPr>
      </w:pPr>
      <w:r w:rsidRPr="00524435">
        <w:rPr>
          <w:lang w:val="en-US"/>
        </w:rPr>
        <w:t>Blas Valencia Campos v. Bolivia</w:t>
      </w:r>
    </w:p>
    <w:p w14:paraId="7491F4F8" w14:textId="77777777" w:rsidR="001D3A5D" w:rsidRPr="00524435" w:rsidRDefault="001D3A5D" w:rsidP="0003552D">
      <w:pPr>
        <w:pStyle w:val="ListParagraph"/>
      </w:pPr>
      <w:r w:rsidRPr="00524435">
        <w:t xml:space="preserve">The instant case is related to the illegal search of the victims' homes and acts of excessive violence by State agents -including torture, sexual </w:t>
      </w:r>
      <w:proofErr w:type="gramStart"/>
      <w:r w:rsidRPr="00524435">
        <w:t>violence</w:t>
      </w:r>
      <w:proofErr w:type="gramEnd"/>
      <w:r w:rsidRPr="00524435">
        <w:t xml:space="preserve"> and solitary confinement- during their arrest and subsequent detention.  </w:t>
      </w:r>
      <w:r w:rsidRPr="00524435">
        <w:rPr>
          <w:bdr w:val="nil"/>
        </w:rPr>
        <w:t xml:space="preserve">In the early morning of December 18, 2001, numerous heavily armed State agents violently raided four properties </w:t>
      </w:r>
      <w:proofErr w:type="gramStart"/>
      <w:r w:rsidRPr="00524435">
        <w:rPr>
          <w:bdr w:val="nil"/>
        </w:rPr>
        <w:t>in order to</w:t>
      </w:r>
      <w:proofErr w:type="gramEnd"/>
      <w:r w:rsidRPr="00524435">
        <w:rPr>
          <w:bdr w:val="nil"/>
        </w:rPr>
        <w:t xml:space="preserve"> arrest people suspected of involvement in the robbery of a </w:t>
      </w:r>
      <w:proofErr w:type="spellStart"/>
      <w:r w:rsidRPr="00524435">
        <w:rPr>
          <w:bdr w:val="nil"/>
        </w:rPr>
        <w:t>Prosegur</w:t>
      </w:r>
      <w:proofErr w:type="spellEnd"/>
      <w:r w:rsidRPr="00524435">
        <w:rPr>
          <w:bdr w:val="nil"/>
        </w:rPr>
        <w:t xml:space="preserve"> van in which two policemen were murdered. During the raid, a group of 22 men and women were severely beaten, 17 were taken to the Judicial Technical Police facilities, where they suffered similar humiliations while being interrogated and were presented to the press as responsible for the </w:t>
      </w:r>
      <w:proofErr w:type="spellStart"/>
      <w:r w:rsidRPr="00524435">
        <w:rPr>
          <w:bdr w:val="nil"/>
        </w:rPr>
        <w:t>Prosegur</w:t>
      </w:r>
      <w:proofErr w:type="spellEnd"/>
      <w:r w:rsidRPr="00524435">
        <w:rPr>
          <w:bdr w:val="nil"/>
        </w:rPr>
        <w:t xml:space="preserve"> robbery, before being prosecuted or convicted. </w:t>
      </w:r>
    </w:p>
    <w:p w14:paraId="1E6FB832" w14:textId="6E40DAD0" w:rsidR="001D3A5D" w:rsidRPr="00524435" w:rsidRDefault="001D3A5D" w:rsidP="0003552D">
      <w:pPr>
        <w:pStyle w:val="ListParagraph"/>
      </w:pPr>
      <w:r w:rsidRPr="00524435">
        <w:t xml:space="preserve">In its Report on the Merits, the Commission concluded that both the arrests and the searches were illegal, given that the constitutional and legal regulations in force at the </w:t>
      </w:r>
      <w:r w:rsidR="003D7F60" w:rsidRPr="00524435">
        <w:t>time prohibited</w:t>
      </w:r>
      <w:r w:rsidRPr="00524435">
        <w:t xml:space="preserve"> searches during nighttime hours, except with the consent of the person involved or in flagrante delicto. In this case, the searches took place four days after the facts and after a series of investigative actions had been carried out, so the Commission considered that it was not a case of flagrante delicto. Likewise, since the violence used in both the searches and the arrests was proven, the Commission established that they were also arbitrary. </w:t>
      </w:r>
    </w:p>
    <w:p w14:paraId="3EFA116F" w14:textId="77777777" w:rsidR="001D3A5D" w:rsidRPr="00524435" w:rsidRDefault="001D3A5D" w:rsidP="0003552D">
      <w:pPr>
        <w:pStyle w:val="ListParagraph"/>
      </w:pPr>
      <w:r w:rsidRPr="00524435">
        <w:t xml:space="preserve">The Commission considered it sufficiently proven that during the raids, heavily armed State agents exercised a high degree of physical and psychological violence against the people who were in the buildings, including children. The IACHR also found that the State did not argue or demonstrate that the force used at the time of the search was rational or necessary, beyond the generic reference to the alleged dangerousness of the detainees. </w:t>
      </w:r>
    </w:p>
    <w:p w14:paraId="1A7B9CCD" w14:textId="58E4ECA4" w:rsidR="001D3A5D" w:rsidRPr="00524435" w:rsidRDefault="001D3A5D" w:rsidP="0003552D">
      <w:pPr>
        <w:pStyle w:val="ListParagraph"/>
      </w:pPr>
      <w:r w:rsidRPr="00524435">
        <w:t xml:space="preserve">The Commission also considered it proven that 16 persons were transferred to the PTJ premises where they were interrogated in a context of severe violence and aggression, without effective legal assistance and detained in </w:t>
      </w:r>
      <w:r w:rsidR="003D7F60" w:rsidRPr="00524435">
        <w:t>small, overcrowded</w:t>
      </w:r>
      <w:r w:rsidRPr="00524435">
        <w:t xml:space="preserve"> cells, without beds, without access to bathrooms, food, </w:t>
      </w:r>
      <w:proofErr w:type="gramStart"/>
      <w:r w:rsidRPr="00524435">
        <w:t>medicine</w:t>
      </w:r>
      <w:proofErr w:type="gramEnd"/>
      <w:r w:rsidRPr="00524435">
        <w:t xml:space="preserve"> or medical care, where they could not be visited by family members or lawyers and continued to be assaulted and beaten. After being so transferred to the various penitentiaries, eight people were held in solitary confinement and incommunicado, without access to daylight for more than 60 days. The Commission found that those individuals were victims of torture and cruel, inhuman, and degrading treatment. </w:t>
      </w:r>
    </w:p>
    <w:p w14:paraId="133B3745" w14:textId="6B355900" w:rsidR="001D3A5D" w:rsidRPr="00524435" w:rsidRDefault="001D3A5D" w:rsidP="0003552D">
      <w:pPr>
        <w:pStyle w:val="ListParagraph"/>
      </w:pPr>
      <w:r w:rsidRPr="00524435">
        <w:t xml:space="preserve">The Report the Merits also considered it proven that the women were victims of </w:t>
      </w:r>
      <w:proofErr w:type="gramStart"/>
      <w:r w:rsidRPr="00524435">
        <w:t>particular insults</w:t>
      </w:r>
      <w:proofErr w:type="gramEnd"/>
      <w:r w:rsidRPr="00524435">
        <w:t xml:space="preserve"> and touching of their genitals, both in their homes at the time of arrest and during detention. One pregnant woman also lost her child and did not receive timely medical attention. The Commission established that such acts were carried out when the women were subject to the complete control </w:t>
      </w:r>
      <w:r w:rsidR="003D7F60" w:rsidRPr="00524435">
        <w:t>of State</w:t>
      </w:r>
      <w:r w:rsidRPr="00524435">
        <w:t xml:space="preserve"> agents and totally defenseless and therefore constituted sexual violence and rape, affecting them disproportionately and causing them serious psychological and moral suffering, in addition to the physical suffering they endured. Those acts directly violated the dignity of these women and constitute serious acts of torture and violence against women.</w:t>
      </w:r>
    </w:p>
    <w:p w14:paraId="61C420E4" w14:textId="77777777" w:rsidR="001D3A5D" w:rsidRPr="00524435" w:rsidRDefault="001D3A5D" w:rsidP="0003552D">
      <w:pPr>
        <w:pStyle w:val="ListParagraph"/>
      </w:pPr>
      <w:r w:rsidRPr="00524435">
        <w:t xml:space="preserve">In addition, the Commission established that one of the detainees died while being held in the </w:t>
      </w:r>
      <w:proofErr w:type="spellStart"/>
      <w:r w:rsidRPr="00524435">
        <w:t>Chonchocoro</w:t>
      </w:r>
      <w:proofErr w:type="spellEnd"/>
      <w:r w:rsidRPr="00524435">
        <w:t xml:space="preserve"> prison, after having been severely beaten and abused by State agents during his arrest. The Commission observed that there is no evidence that the State provided medical attention or a satisfactory or convincing explanation of what had happened, and therefore concluded that the State is also responsible for violation of the right to life. </w:t>
      </w:r>
    </w:p>
    <w:p w14:paraId="3C2EA7F7" w14:textId="77777777" w:rsidR="001D3A5D" w:rsidRPr="00524435" w:rsidRDefault="001D3A5D" w:rsidP="0003552D">
      <w:pPr>
        <w:pStyle w:val="ListParagraph"/>
      </w:pPr>
      <w:r w:rsidRPr="00524435">
        <w:lastRenderedPageBreak/>
        <w:t xml:space="preserve">Finally, the Commission established that the State violated the rights to judicial guarantees and judicial protection of the victims since the facts do not appear to have been investigated </w:t>
      </w:r>
      <w:proofErr w:type="gramStart"/>
      <w:r w:rsidRPr="00524435">
        <w:t>despite the fact that</w:t>
      </w:r>
      <w:proofErr w:type="gramEnd"/>
      <w:r w:rsidRPr="00524435">
        <w:t xml:space="preserve"> the victims denounced on several occasions the torture and cruel, inhuman, and degrading treatment they suffered and the fact that the statements were obtained under duress.</w:t>
      </w:r>
    </w:p>
    <w:p w14:paraId="64EE801A" w14:textId="7D046A2C" w:rsidR="001D3A5D" w:rsidRPr="00524435" w:rsidRDefault="001D3A5D" w:rsidP="00F275B0">
      <w:pPr>
        <w:pStyle w:val="Style2"/>
        <w:rPr>
          <w:bCs/>
          <w:lang w:val="en-US"/>
        </w:rPr>
      </w:pPr>
      <w:r w:rsidRPr="00524435">
        <w:rPr>
          <w:lang w:val="en-US"/>
        </w:rPr>
        <w:t>Antonio Pereira Tavares v. Brazil</w:t>
      </w:r>
    </w:p>
    <w:p w14:paraId="2CB54954" w14:textId="77777777" w:rsidR="001D3A5D" w:rsidRPr="00524435" w:rsidRDefault="001D3A5D" w:rsidP="0003552D">
      <w:pPr>
        <w:pStyle w:val="ListParagraph"/>
      </w:pPr>
      <w:r w:rsidRPr="00524435">
        <w:rPr>
          <w:color w:val="000000" w:themeColor="text1"/>
        </w:rPr>
        <w:t xml:space="preserve">This case concerns the responsibility of the Brazilian State </w:t>
      </w:r>
      <w:r w:rsidRPr="00524435">
        <w:t xml:space="preserve">for the murder of rural worker Antonio Tavares Pereira and the injuries suffered by 185 other workers pertaining to the Landless Rural Workers' Movement (MST) by military police officers during the repression of a march for agrarian reform held on May 2, </w:t>
      </w:r>
      <w:proofErr w:type="gramStart"/>
      <w:r w:rsidRPr="00524435">
        <w:t>2000</w:t>
      </w:r>
      <w:proofErr w:type="gramEnd"/>
      <w:r w:rsidRPr="00524435">
        <w:t xml:space="preserve"> in the State of Paraná. The case also refers to the impunity still surrounding these facts, which occurred in a context of violence linked to demands for land and agrarian reform in Brazil.</w:t>
      </w:r>
    </w:p>
    <w:p w14:paraId="41CAD3DD" w14:textId="77777777" w:rsidR="001D3A5D" w:rsidRPr="00524435" w:rsidRDefault="001D3A5D" w:rsidP="0003552D">
      <w:pPr>
        <w:pStyle w:val="ListParagraph"/>
      </w:pPr>
      <w:r w:rsidRPr="00524435">
        <w:t xml:space="preserve">In its Report on the Merits, the Commission concluded that the Brazilian State did not provide an explanation that would allow it to consider that the death of Mr. Antonio Tavares Pereira was the result of the legitimate use of force. On the contrary, the Commission emphasized that there </w:t>
      </w:r>
      <w:proofErr w:type="gramStart"/>
      <w:r w:rsidRPr="00524435">
        <w:t>is</w:t>
      </w:r>
      <w:proofErr w:type="gramEnd"/>
      <w:r w:rsidRPr="00524435">
        <w:t xml:space="preserve"> no disputing three fundamental aspects: </w:t>
      </w:r>
      <w:proofErr w:type="spellStart"/>
      <w:r w:rsidRPr="00524435">
        <w:t>i</w:t>
      </w:r>
      <w:proofErr w:type="spellEnd"/>
      <w:r w:rsidRPr="00524435">
        <w:t xml:space="preserve">) that the shot that caused the death came from a military police officer; ii) that the officer did not act in self-defense, but to frighten the demonstrators; and iii) that the shot was fired when the victim was unarmed. The Commission considered that those factors, taken together, were sufficient to demonstrate that the shooting by the military police officer did not have a legitimate purpose and was not appropriate, </w:t>
      </w:r>
      <w:proofErr w:type="gramStart"/>
      <w:r w:rsidRPr="00524435">
        <w:t>necessary</w:t>
      </w:r>
      <w:proofErr w:type="gramEnd"/>
      <w:r w:rsidRPr="00524435">
        <w:t xml:space="preserve"> and proportional.</w:t>
      </w:r>
    </w:p>
    <w:p w14:paraId="1D2E8F8B" w14:textId="77777777" w:rsidR="001D3A5D" w:rsidRPr="00524435" w:rsidRDefault="001D3A5D" w:rsidP="0003552D">
      <w:pPr>
        <w:pStyle w:val="ListParagraph"/>
      </w:pPr>
      <w:r w:rsidRPr="00524435">
        <w:t xml:space="preserve">In view of the fact that the injuries caused to the other 185 victims were the result of shots fired by the same military police officers who stopped the buses on their way to the city of Curitiba, the Commission considers that the foregoing analysis on the impropriety of the shooting that caused the death of Mr. Tavares </w:t>
      </w:r>
      <w:proofErr w:type="gramStart"/>
      <w:r w:rsidRPr="00524435">
        <w:t>Pereira</w:t>
      </w:r>
      <w:proofErr w:type="gramEnd"/>
      <w:r w:rsidRPr="00524435">
        <w:t xml:space="preserve"> and the excessive use of force is also applicable to the international responsibility of the State for such injuries.</w:t>
      </w:r>
    </w:p>
    <w:p w14:paraId="1E457B33" w14:textId="22780300" w:rsidR="001D3A5D" w:rsidRPr="00524435" w:rsidRDefault="001D3A5D" w:rsidP="0003552D">
      <w:pPr>
        <w:pStyle w:val="ListParagraph"/>
      </w:pPr>
      <w:r w:rsidRPr="00524435">
        <w:t xml:space="preserve">In addition, the IACHR established that the authorities were </w:t>
      </w:r>
      <w:proofErr w:type="spellStart"/>
      <w:r w:rsidR="002B0ECE" w:rsidRPr="00524435">
        <w:t>Report</w:t>
      </w:r>
      <w:r w:rsidRPr="00524435">
        <w:t>d</w:t>
      </w:r>
      <w:proofErr w:type="spellEnd"/>
      <w:r w:rsidRPr="00524435">
        <w:t xml:space="preserve">, through several channels, of the acts that would be carried out by the rural workers of the MST. Specifically, the authorities knew of the imminence of a march and demonstration on the day of the events and, instead of taking measures to protect the demonstrators, they alerted the military police to prevent the exercise of their rights of assembly, freedom of expression, and movement. </w:t>
      </w:r>
    </w:p>
    <w:p w14:paraId="6A9413BD" w14:textId="66BC8A9C" w:rsidR="001D3A5D" w:rsidRPr="00524435" w:rsidRDefault="001D3A5D" w:rsidP="0003552D">
      <w:pPr>
        <w:pStyle w:val="ListParagraph"/>
      </w:pPr>
      <w:bookmarkStart w:id="59" w:name="_Hlk99546519"/>
      <w:r w:rsidRPr="00524435">
        <w:t xml:space="preserve">In relation to the investigation of the facts, the Commission concluded that the intervention of the military criminal justice system in the case of Mr. Tavares Pereira constituted a factor of impunity depriving the victims of an effective remedy. The Commission also considered that this impairment of their rights was not remedied in the ordinary courts, given that the criminal action for the crime of homicide was dismissed based on the decision of the military justice system. With respect to the 185 injured victims, the Commission concluded that the State did not prove that it had acted with due diligence to investigate the injuries and identify the injured persons. </w:t>
      </w:r>
    </w:p>
    <w:bookmarkEnd w:id="59"/>
    <w:p w14:paraId="4DC62D0D" w14:textId="5342FF30" w:rsidR="001D3A5D" w:rsidRPr="00524435" w:rsidRDefault="001D3A5D" w:rsidP="0003552D">
      <w:pPr>
        <w:pStyle w:val="ListParagraph"/>
      </w:pPr>
      <w:r w:rsidRPr="00524435">
        <w:t xml:space="preserve">As regards a civil action filed by Mr. Tavares Pereira's next of kin in 2002 and declared admissible in 2010, the Commission indicated that, at the time of the adoption of the Report on the Merits, it had no information as to whether compensation had </w:t>
      </w:r>
      <w:proofErr w:type="gramStart"/>
      <w:r w:rsidRPr="00524435">
        <w:t>actually been</w:t>
      </w:r>
      <w:proofErr w:type="gramEnd"/>
      <w:r w:rsidRPr="00524435">
        <w:t xml:space="preserve"> paid despite the exhaustion of various remedies to achieve enforcement. Based on this, the Commission concluded that the remedy was not effective and, furthermore, did not comply with </w:t>
      </w:r>
      <w:r w:rsidR="003D7F60" w:rsidRPr="00524435">
        <w:t>the reasonable</w:t>
      </w:r>
      <w:r w:rsidRPr="00524435">
        <w:t xml:space="preserve"> time guarantee. Finally, the Commission established that the death of Mr. Tavares Pereira caused suffering and anguish to the next of kin, in violation of their right to psychological and moral integrity.</w:t>
      </w:r>
    </w:p>
    <w:p w14:paraId="0DEE619C" w14:textId="77777777" w:rsidR="002333BB" w:rsidRPr="00524435" w:rsidRDefault="002333BB">
      <w:pPr>
        <w:rPr>
          <w:rFonts w:ascii="Cambria" w:eastAsia="Calibri" w:hAnsi="Cambria" w:cs="Calibri"/>
          <w:b/>
          <w:sz w:val="20"/>
          <w:szCs w:val="20"/>
        </w:rPr>
      </w:pPr>
      <w:r w:rsidRPr="00524435">
        <w:br w:type="page"/>
      </w:r>
    </w:p>
    <w:p w14:paraId="46BB1B12" w14:textId="7C135D47" w:rsidR="001D3A5D" w:rsidRPr="003F238D" w:rsidRDefault="001D3A5D" w:rsidP="00F275B0">
      <w:pPr>
        <w:pStyle w:val="Style2"/>
        <w:rPr>
          <w:bCs/>
          <w:lang w:val="es-US"/>
        </w:rPr>
      </w:pPr>
      <w:r w:rsidRPr="003F238D">
        <w:rPr>
          <w:lang w:val="es-US"/>
        </w:rPr>
        <w:lastRenderedPageBreak/>
        <w:t xml:space="preserve">José </w:t>
      </w:r>
      <w:proofErr w:type="spellStart"/>
      <w:r w:rsidRPr="003F238D">
        <w:rPr>
          <w:lang w:val="es-US"/>
        </w:rPr>
        <w:t>Airton</w:t>
      </w:r>
      <w:proofErr w:type="spellEnd"/>
      <w:r w:rsidRPr="003F238D">
        <w:rPr>
          <w:lang w:val="es-US"/>
        </w:rPr>
        <w:t xml:space="preserve"> Honorato et al (</w:t>
      </w:r>
      <w:proofErr w:type="spellStart"/>
      <w:r w:rsidRPr="003F238D">
        <w:rPr>
          <w:lang w:val="es-US"/>
        </w:rPr>
        <w:t>Castelinho</w:t>
      </w:r>
      <w:proofErr w:type="spellEnd"/>
      <w:r w:rsidRPr="003F238D">
        <w:rPr>
          <w:lang w:val="es-US"/>
        </w:rPr>
        <w:t xml:space="preserve">) v. </w:t>
      </w:r>
      <w:proofErr w:type="spellStart"/>
      <w:r w:rsidRPr="003F238D">
        <w:rPr>
          <w:lang w:val="es-US"/>
        </w:rPr>
        <w:t>Brazil</w:t>
      </w:r>
      <w:proofErr w:type="spellEnd"/>
    </w:p>
    <w:p w14:paraId="130A6918" w14:textId="77777777" w:rsidR="001D3A5D" w:rsidRPr="003F238D" w:rsidRDefault="001D3A5D" w:rsidP="0003552D">
      <w:pPr>
        <w:pStyle w:val="ListParagraph"/>
        <w:rPr>
          <w:lang w:val="es-US"/>
        </w:rPr>
      </w:pPr>
      <w:proofErr w:type="spellStart"/>
      <w:r w:rsidRPr="003F238D">
        <w:rPr>
          <w:color w:val="000000" w:themeColor="text1"/>
          <w:lang w:val="es-US"/>
        </w:rPr>
        <w:t>This</w:t>
      </w:r>
      <w:proofErr w:type="spellEnd"/>
      <w:r w:rsidRPr="003F238D">
        <w:rPr>
          <w:color w:val="000000" w:themeColor="text1"/>
          <w:lang w:val="es-US"/>
        </w:rPr>
        <w:t xml:space="preserve"> case </w:t>
      </w:r>
      <w:proofErr w:type="spellStart"/>
      <w:r w:rsidRPr="003F238D">
        <w:rPr>
          <w:lang w:val="es-US"/>
        </w:rPr>
        <w:t>concerns</w:t>
      </w:r>
      <w:proofErr w:type="spellEnd"/>
      <w:r w:rsidRPr="003F238D">
        <w:rPr>
          <w:lang w:val="es-US"/>
        </w:rPr>
        <w:t xml:space="preserve"> </w:t>
      </w:r>
      <w:proofErr w:type="spellStart"/>
      <w:r w:rsidRPr="003F238D">
        <w:rPr>
          <w:color w:val="000000" w:themeColor="text1"/>
          <w:lang w:val="es-US"/>
        </w:rPr>
        <w:t>Brazil'</w:t>
      </w:r>
      <w:r w:rsidRPr="003F238D">
        <w:rPr>
          <w:lang w:val="es-US"/>
        </w:rPr>
        <w:t>s</w:t>
      </w:r>
      <w:proofErr w:type="spellEnd"/>
      <w:r w:rsidRPr="003F238D">
        <w:rPr>
          <w:lang w:val="es-US"/>
        </w:rPr>
        <w:t xml:space="preserve"> </w:t>
      </w:r>
      <w:proofErr w:type="spellStart"/>
      <w:r w:rsidRPr="003F238D">
        <w:rPr>
          <w:lang w:val="es-US"/>
        </w:rPr>
        <w:t>international</w:t>
      </w:r>
      <w:proofErr w:type="spellEnd"/>
      <w:r w:rsidRPr="003F238D">
        <w:rPr>
          <w:lang w:val="es-US"/>
        </w:rPr>
        <w:t xml:space="preserve"> </w:t>
      </w:r>
      <w:proofErr w:type="spellStart"/>
      <w:r w:rsidRPr="003F238D">
        <w:rPr>
          <w:lang w:val="es-US"/>
        </w:rPr>
        <w:t>responsibility</w:t>
      </w:r>
      <w:proofErr w:type="spellEnd"/>
      <w:r w:rsidRPr="003F238D">
        <w:rPr>
          <w:lang w:val="es-US"/>
        </w:rPr>
        <w:t xml:space="preserve"> </w:t>
      </w:r>
      <w:proofErr w:type="spellStart"/>
      <w:r w:rsidRPr="003F238D">
        <w:rPr>
          <w:color w:val="000000" w:themeColor="text1"/>
          <w:lang w:val="es-US"/>
        </w:rPr>
        <w:t>for</w:t>
      </w:r>
      <w:proofErr w:type="spellEnd"/>
      <w:r w:rsidRPr="003F238D">
        <w:rPr>
          <w:color w:val="000000" w:themeColor="text1"/>
          <w:lang w:val="es-US"/>
        </w:rPr>
        <w:t xml:space="preserve"> a series of </w:t>
      </w:r>
      <w:proofErr w:type="spellStart"/>
      <w:r w:rsidRPr="003F238D">
        <w:rPr>
          <w:color w:val="000000" w:themeColor="text1"/>
          <w:lang w:val="es-US"/>
        </w:rPr>
        <w:t>acts</w:t>
      </w:r>
      <w:proofErr w:type="spellEnd"/>
      <w:r w:rsidRPr="003F238D">
        <w:rPr>
          <w:color w:val="000000" w:themeColor="text1"/>
          <w:lang w:val="es-US"/>
        </w:rPr>
        <w:t xml:space="preserve"> </w:t>
      </w:r>
      <w:proofErr w:type="spellStart"/>
      <w:r w:rsidRPr="003F238D">
        <w:rPr>
          <w:color w:val="000000" w:themeColor="text1"/>
          <w:lang w:val="es-US"/>
        </w:rPr>
        <w:t>that</w:t>
      </w:r>
      <w:proofErr w:type="spellEnd"/>
      <w:r w:rsidRPr="003F238D">
        <w:rPr>
          <w:color w:val="000000" w:themeColor="text1"/>
          <w:lang w:val="es-US"/>
        </w:rPr>
        <w:t xml:space="preserve"> </w:t>
      </w:r>
      <w:proofErr w:type="spellStart"/>
      <w:r w:rsidRPr="003F238D">
        <w:rPr>
          <w:color w:val="000000" w:themeColor="text1"/>
          <w:lang w:val="es-US"/>
        </w:rPr>
        <w:t>culminated</w:t>
      </w:r>
      <w:proofErr w:type="spellEnd"/>
      <w:r w:rsidRPr="003F238D">
        <w:rPr>
          <w:color w:val="000000" w:themeColor="text1"/>
          <w:lang w:val="es-US"/>
        </w:rPr>
        <w:t xml:space="preserve"> in </w:t>
      </w:r>
      <w:proofErr w:type="spellStart"/>
      <w:r w:rsidRPr="003F238D">
        <w:rPr>
          <w:color w:val="000000" w:themeColor="text1"/>
          <w:lang w:val="es-US"/>
        </w:rPr>
        <w:t>the</w:t>
      </w:r>
      <w:proofErr w:type="spellEnd"/>
      <w:r w:rsidRPr="003F238D">
        <w:rPr>
          <w:color w:val="000000" w:themeColor="text1"/>
          <w:lang w:val="es-US"/>
        </w:rPr>
        <w:t xml:space="preserve"> </w:t>
      </w:r>
      <w:proofErr w:type="spellStart"/>
      <w:r w:rsidRPr="003F238D">
        <w:rPr>
          <w:color w:val="000000" w:themeColor="text1"/>
          <w:lang w:val="es-US"/>
        </w:rPr>
        <w:t>murder</w:t>
      </w:r>
      <w:proofErr w:type="spellEnd"/>
      <w:r w:rsidRPr="003F238D">
        <w:rPr>
          <w:color w:val="000000" w:themeColor="text1"/>
          <w:lang w:val="es-US"/>
        </w:rPr>
        <w:t xml:space="preserve"> of José </w:t>
      </w:r>
      <w:proofErr w:type="spellStart"/>
      <w:r w:rsidRPr="003F238D">
        <w:rPr>
          <w:color w:val="000000" w:themeColor="text1"/>
          <w:lang w:val="es-US"/>
        </w:rPr>
        <w:t>Airton</w:t>
      </w:r>
      <w:proofErr w:type="spellEnd"/>
      <w:r w:rsidRPr="003F238D">
        <w:rPr>
          <w:color w:val="000000" w:themeColor="text1"/>
          <w:lang w:val="es-US"/>
        </w:rPr>
        <w:t xml:space="preserve"> Honorato, José Maia </w:t>
      </w:r>
      <w:proofErr w:type="spellStart"/>
      <w:r w:rsidRPr="003F238D">
        <w:rPr>
          <w:color w:val="000000" w:themeColor="text1"/>
          <w:lang w:val="es-US"/>
        </w:rPr>
        <w:t>Menezes</w:t>
      </w:r>
      <w:proofErr w:type="spellEnd"/>
      <w:r w:rsidRPr="003F238D">
        <w:rPr>
          <w:color w:val="000000" w:themeColor="text1"/>
          <w:lang w:val="es-US"/>
        </w:rPr>
        <w:t xml:space="preserve">, </w:t>
      </w:r>
      <w:proofErr w:type="spellStart"/>
      <w:r w:rsidRPr="003F238D">
        <w:rPr>
          <w:color w:val="000000" w:themeColor="text1"/>
          <w:lang w:val="es-US"/>
        </w:rPr>
        <w:t>Aleksandro</w:t>
      </w:r>
      <w:proofErr w:type="spellEnd"/>
      <w:r w:rsidRPr="003F238D">
        <w:rPr>
          <w:color w:val="000000" w:themeColor="text1"/>
          <w:lang w:val="es-US"/>
        </w:rPr>
        <w:t xml:space="preserve"> de Oliveira Araujo, </w:t>
      </w:r>
      <w:proofErr w:type="spellStart"/>
      <w:r w:rsidRPr="003F238D">
        <w:rPr>
          <w:color w:val="000000" w:themeColor="text1"/>
          <w:lang w:val="es-US"/>
        </w:rPr>
        <w:t>Djalma</w:t>
      </w:r>
      <w:proofErr w:type="spellEnd"/>
      <w:r w:rsidRPr="003F238D">
        <w:rPr>
          <w:color w:val="000000" w:themeColor="text1"/>
          <w:lang w:val="es-US"/>
        </w:rPr>
        <w:t xml:space="preserve"> </w:t>
      </w:r>
      <w:proofErr w:type="spellStart"/>
      <w:r w:rsidRPr="003F238D">
        <w:rPr>
          <w:color w:val="000000" w:themeColor="text1"/>
          <w:lang w:val="es-US"/>
        </w:rPr>
        <w:t>Fernandes</w:t>
      </w:r>
      <w:proofErr w:type="spellEnd"/>
      <w:r w:rsidRPr="003F238D">
        <w:rPr>
          <w:color w:val="000000" w:themeColor="text1"/>
          <w:lang w:val="es-US"/>
        </w:rPr>
        <w:t xml:space="preserve"> Andrade de Souza, Fabio </w:t>
      </w:r>
      <w:proofErr w:type="spellStart"/>
      <w:r w:rsidRPr="003F238D">
        <w:rPr>
          <w:color w:val="000000" w:themeColor="text1"/>
          <w:lang w:val="es-US"/>
        </w:rPr>
        <w:t>Fernandes</w:t>
      </w:r>
      <w:proofErr w:type="spellEnd"/>
      <w:r w:rsidRPr="003F238D">
        <w:rPr>
          <w:color w:val="000000" w:themeColor="text1"/>
          <w:lang w:val="es-US"/>
        </w:rPr>
        <w:t xml:space="preserve"> Andrade de Souza</w:t>
      </w:r>
      <w:r w:rsidRPr="003F238D">
        <w:rPr>
          <w:lang w:val="es-US"/>
        </w:rPr>
        <w:t xml:space="preserve">, Gerson Machado da Silva, </w:t>
      </w:r>
      <w:proofErr w:type="spellStart"/>
      <w:r w:rsidRPr="003F238D">
        <w:rPr>
          <w:lang w:val="es-US"/>
        </w:rPr>
        <w:t>Jeferson</w:t>
      </w:r>
      <w:proofErr w:type="spellEnd"/>
      <w:r w:rsidRPr="003F238D">
        <w:rPr>
          <w:lang w:val="es-US"/>
        </w:rPr>
        <w:t xml:space="preserve"> Leandro Andrade, José Cicero Pereira dos Santos, Laercio Antonio Luis, Luciano da Silva Barbosa, Sandro Rogerio da Silva, </w:t>
      </w:r>
      <w:r w:rsidRPr="003F238D">
        <w:rPr>
          <w:color w:val="000000" w:themeColor="text1"/>
          <w:lang w:val="es-US"/>
        </w:rPr>
        <w:t xml:space="preserve">and Silvio Bernardino do Carmo </w:t>
      </w:r>
      <w:proofErr w:type="spellStart"/>
      <w:r w:rsidRPr="003F238D">
        <w:rPr>
          <w:color w:val="000000" w:themeColor="text1"/>
          <w:lang w:val="es-US"/>
        </w:rPr>
        <w:t>by</w:t>
      </w:r>
      <w:proofErr w:type="spellEnd"/>
      <w:r w:rsidRPr="003F238D">
        <w:rPr>
          <w:color w:val="000000" w:themeColor="text1"/>
          <w:lang w:val="es-US"/>
        </w:rPr>
        <w:t xml:space="preserve"> </w:t>
      </w:r>
      <w:proofErr w:type="spellStart"/>
      <w:r w:rsidRPr="003F238D">
        <w:rPr>
          <w:color w:val="000000" w:themeColor="text1"/>
          <w:lang w:val="es-US"/>
        </w:rPr>
        <w:t>police</w:t>
      </w:r>
      <w:proofErr w:type="spellEnd"/>
      <w:r w:rsidRPr="003F238D">
        <w:rPr>
          <w:color w:val="000000" w:themeColor="text1"/>
          <w:lang w:val="es-US"/>
        </w:rPr>
        <w:t xml:space="preserve"> </w:t>
      </w:r>
      <w:proofErr w:type="spellStart"/>
      <w:r w:rsidRPr="003F238D">
        <w:rPr>
          <w:color w:val="000000" w:themeColor="text1"/>
          <w:lang w:val="es-US"/>
        </w:rPr>
        <w:t>officers</w:t>
      </w:r>
      <w:proofErr w:type="spellEnd"/>
      <w:r w:rsidRPr="003F238D">
        <w:rPr>
          <w:color w:val="000000" w:themeColor="text1"/>
          <w:lang w:val="es-US"/>
        </w:rPr>
        <w:t xml:space="preserve"> in 2002, as </w:t>
      </w:r>
      <w:proofErr w:type="spellStart"/>
      <w:r w:rsidRPr="003F238D">
        <w:rPr>
          <w:color w:val="000000" w:themeColor="text1"/>
          <w:lang w:val="es-US"/>
        </w:rPr>
        <w:t>well</w:t>
      </w:r>
      <w:proofErr w:type="spellEnd"/>
      <w:r w:rsidRPr="003F238D">
        <w:rPr>
          <w:color w:val="000000" w:themeColor="text1"/>
          <w:lang w:val="es-US"/>
        </w:rPr>
        <w:t xml:space="preserve"> as </w:t>
      </w:r>
      <w:proofErr w:type="spellStart"/>
      <w:r w:rsidRPr="003F238D">
        <w:rPr>
          <w:color w:val="000000" w:themeColor="text1"/>
          <w:lang w:val="es-US"/>
        </w:rPr>
        <w:t>for</w:t>
      </w:r>
      <w:proofErr w:type="spellEnd"/>
      <w:r w:rsidRPr="003F238D">
        <w:rPr>
          <w:color w:val="000000" w:themeColor="text1"/>
          <w:lang w:val="es-US"/>
        </w:rPr>
        <w:t xml:space="preserve"> </w:t>
      </w:r>
      <w:proofErr w:type="spellStart"/>
      <w:r w:rsidRPr="003F238D">
        <w:rPr>
          <w:color w:val="000000" w:themeColor="text1"/>
          <w:lang w:val="es-US"/>
        </w:rPr>
        <w:t>the</w:t>
      </w:r>
      <w:proofErr w:type="spellEnd"/>
      <w:r w:rsidRPr="003F238D">
        <w:rPr>
          <w:color w:val="000000" w:themeColor="text1"/>
          <w:lang w:val="es-US"/>
        </w:rPr>
        <w:t xml:space="preserve"> </w:t>
      </w:r>
      <w:proofErr w:type="spellStart"/>
      <w:r w:rsidRPr="003F238D">
        <w:rPr>
          <w:color w:val="000000" w:themeColor="text1"/>
          <w:lang w:val="es-US"/>
        </w:rPr>
        <w:t>impunity</w:t>
      </w:r>
      <w:proofErr w:type="spellEnd"/>
      <w:r w:rsidRPr="003F238D">
        <w:rPr>
          <w:color w:val="000000" w:themeColor="text1"/>
          <w:lang w:val="es-US"/>
        </w:rPr>
        <w:t xml:space="preserve"> </w:t>
      </w:r>
      <w:proofErr w:type="spellStart"/>
      <w:r w:rsidRPr="003F238D">
        <w:rPr>
          <w:color w:val="000000" w:themeColor="text1"/>
          <w:lang w:val="es-US"/>
        </w:rPr>
        <w:t>surrounding</w:t>
      </w:r>
      <w:proofErr w:type="spellEnd"/>
      <w:r w:rsidRPr="003F238D">
        <w:rPr>
          <w:color w:val="000000" w:themeColor="text1"/>
          <w:lang w:val="es-US"/>
        </w:rPr>
        <w:t xml:space="preserve"> </w:t>
      </w:r>
      <w:proofErr w:type="spellStart"/>
      <w:r w:rsidRPr="003F238D">
        <w:rPr>
          <w:color w:val="000000" w:themeColor="text1"/>
          <w:lang w:val="es-US"/>
        </w:rPr>
        <w:t>the</w:t>
      </w:r>
      <w:proofErr w:type="spellEnd"/>
      <w:r w:rsidRPr="003F238D">
        <w:rPr>
          <w:color w:val="000000" w:themeColor="text1"/>
          <w:lang w:val="es-US"/>
        </w:rPr>
        <w:t xml:space="preserve"> case.</w:t>
      </w:r>
    </w:p>
    <w:p w14:paraId="116E723F" w14:textId="77777777" w:rsidR="001D3A5D" w:rsidRPr="00524435" w:rsidRDefault="001D3A5D" w:rsidP="0003552D">
      <w:pPr>
        <w:pStyle w:val="ListParagraph"/>
      </w:pPr>
      <w:r w:rsidRPr="00524435">
        <w:t xml:space="preserve">In this context, on September 9, 2001, the Public Security Secretariat of the State of Sao Paulo created, as part of the fight against organized crime, the Group for the Repression and Analysis of Intolerance Crimes (GRADI), which began to operate with the intelligence service of the military police. </w:t>
      </w:r>
      <w:r w:rsidRPr="00524435">
        <w:rPr>
          <w:color w:val="000000" w:themeColor="text1"/>
        </w:rPr>
        <w:t xml:space="preserve">Under that Secretariat, several illegal practices were allegedly initiated, including the recruitment of convicted prisoners, through promises of protection for their families and even early release, who were released by judicial decisions to act as informants in criminal organizations, using resources provided by the police itself. </w:t>
      </w:r>
    </w:p>
    <w:p w14:paraId="55219B06" w14:textId="77777777" w:rsidR="001D3A5D" w:rsidRPr="00524435" w:rsidRDefault="001D3A5D" w:rsidP="0003552D">
      <w:pPr>
        <w:pStyle w:val="ListParagraph"/>
      </w:pPr>
      <w:r w:rsidRPr="00524435">
        <w:rPr>
          <w:color w:val="000000" w:themeColor="text1"/>
        </w:rPr>
        <w:t>On March 5, 2002, in the vicinity of the city of Sorocaba, Sao Paulo, the Military Police carried out an operation against the "</w:t>
      </w:r>
      <w:proofErr w:type="spellStart"/>
      <w:r w:rsidRPr="00524435">
        <w:rPr>
          <w:color w:val="000000" w:themeColor="text1"/>
        </w:rPr>
        <w:t>Primeiro</w:t>
      </w:r>
      <w:proofErr w:type="spellEnd"/>
      <w:r w:rsidRPr="00524435">
        <w:rPr>
          <w:color w:val="000000" w:themeColor="text1"/>
        </w:rPr>
        <w:t xml:space="preserve"> </w:t>
      </w:r>
      <w:proofErr w:type="spellStart"/>
      <w:r w:rsidRPr="00524435">
        <w:rPr>
          <w:color w:val="000000" w:themeColor="text1"/>
        </w:rPr>
        <w:t>Comando</w:t>
      </w:r>
      <w:proofErr w:type="spellEnd"/>
      <w:r w:rsidRPr="00524435">
        <w:rPr>
          <w:color w:val="000000" w:themeColor="text1"/>
        </w:rPr>
        <w:t xml:space="preserve"> da Capital" (PCC), the main criminal organization in the city. This operation, known as "</w:t>
      </w:r>
      <w:proofErr w:type="spellStart"/>
      <w:r w:rsidRPr="00524435">
        <w:rPr>
          <w:color w:val="000000" w:themeColor="text1"/>
        </w:rPr>
        <w:t>Castelinho</w:t>
      </w:r>
      <w:proofErr w:type="spellEnd"/>
      <w:r w:rsidRPr="00524435">
        <w:rPr>
          <w:color w:val="000000" w:themeColor="text1"/>
        </w:rPr>
        <w:t xml:space="preserve">", the name of the locality where it was carried out, was </w:t>
      </w:r>
      <w:proofErr w:type="gramStart"/>
      <w:r w:rsidRPr="00524435">
        <w:rPr>
          <w:color w:val="000000" w:themeColor="text1"/>
        </w:rPr>
        <w:t>planned</w:t>
      </w:r>
      <w:proofErr w:type="gramEnd"/>
      <w:r w:rsidRPr="00524435">
        <w:rPr>
          <w:color w:val="000000" w:themeColor="text1"/>
        </w:rPr>
        <w:t xml:space="preserve"> and executed by GRADI, which instructed former prisoner informants to deceive the PCC about the existence of a plane containing money that would arrive at the Sorocaba airport. The Military Police surrounded the place with approximately one hundred policemen and, without the presence of witnesses who could question the official version, a shooting took place which was justified as an act of resistance against a group traveling in a bus. The operation, in which more than 700 shots were fired, resulted in only one police officer with minor injuries and the death of the twelve victims in this case. </w:t>
      </w:r>
    </w:p>
    <w:p w14:paraId="0545219B" w14:textId="77777777" w:rsidR="001D3A5D" w:rsidRPr="00524435" w:rsidRDefault="001D3A5D" w:rsidP="0003552D">
      <w:pPr>
        <w:pStyle w:val="ListParagraph"/>
      </w:pPr>
      <w:r w:rsidRPr="00524435">
        <w:rPr>
          <w:color w:val="000000" w:themeColor="text1"/>
        </w:rPr>
        <w:t xml:space="preserve">In its Report on the Merits, the Commission analyzed whether the State complied with its obligations under Article 4 of the American Convention in relation to the use of force. </w:t>
      </w:r>
      <w:proofErr w:type="gramStart"/>
      <w:r w:rsidRPr="00524435">
        <w:rPr>
          <w:color w:val="000000" w:themeColor="text1"/>
        </w:rPr>
        <w:t>Taking into account</w:t>
      </w:r>
      <w:proofErr w:type="gramEnd"/>
      <w:r w:rsidRPr="00524435">
        <w:rPr>
          <w:color w:val="000000" w:themeColor="text1"/>
        </w:rPr>
        <w:t xml:space="preserve"> the burden of proof rules applicable to the use of force, the Commission concluded that the State has not demonstrated that the </w:t>
      </w:r>
      <w:proofErr w:type="spellStart"/>
      <w:r w:rsidRPr="00524435">
        <w:rPr>
          <w:color w:val="000000" w:themeColor="text1"/>
        </w:rPr>
        <w:t>Castelinho</w:t>
      </w:r>
      <w:proofErr w:type="spellEnd"/>
      <w:r w:rsidRPr="00524435">
        <w:rPr>
          <w:color w:val="000000" w:themeColor="text1"/>
        </w:rPr>
        <w:t xml:space="preserve"> operation was properly planned and in accordance with a legal framework compatible with the use of force. Nor was it proven that the intervening personnel had been qualified and trained in accordance with the parameters required by international law. In addition, the Commission observed that the circumstantial evidence pointing to disproportionate use of force has not been sufficiently refuted by the State, which has not provided adequate justification for the use of force in this case. </w:t>
      </w:r>
    </w:p>
    <w:p w14:paraId="4826E46A" w14:textId="77777777" w:rsidR="001D3A5D" w:rsidRPr="00524435" w:rsidRDefault="001D3A5D" w:rsidP="0003552D">
      <w:pPr>
        <w:pStyle w:val="ListParagraph"/>
      </w:pPr>
      <w:r w:rsidRPr="00524435">
        <w:rPr>
          <w:color w:val="000000" w:themeColor="text1"/>
        </w:rPr>
        <w:t xml:space="preserve">Regarding the proceedings initiated </w:t>
      </w:r>
      <w:proofErr w:type="gramStart"/>
      <w:r w:rsidRPr="00524435">
        <w:rPr>
          <w:color w:val="000000" w:themeColor="text1"/>
        </w:rPr>
        <w:t>as a result of</w:t>
      </w:r>
      <w:proofErr w:type="gramEnd"/>
      <w:r w:rsidRPr="00524435">
        <w:rPr>
          <w:color w:val="000000" w:themeColor="text1"/>
        </w:rPr>
        <w:t xml:space="preserve"> the operation, the Commission noted that there were reportedly administrative proceedings, the outcome of which is unknown, as well as civil proceedings, some of which are said to have been resolved, while others are pending. In relation to the case against </w:t>
      </w:r>
      <w:r w:rsidRPr="00524435">
        <w:t xml:space="preserve">two judges who allegedly authorized the transfer of prisoners to infiltrate [the PCC] and the Secretary for Public Security under whose administration the events occurred, </w:t>
      </w:r>
      <w:r w:rsidRPr="00524435">
        <w:rPr>
          <w:color w:val="000000" w:themeColor="text1"/>
        </w:rPr>
        <w:t xml:space="preserve">the Commission noted that </w:t>
      </w:r>
      <w:r w:rsidRPr="00524435">
        <w:t xml:space="preserve">the Court of Justice of the State of Sao Paulo considered it unnecessary to refer the case to the Prosecutor and declared the case closed. </w:t>
      </w:r>
      <w:r w:rsidRPr="00524435">
        <w:rPr>
          <w:color w:val="000000" w:themeColor="text1"/>
        </w:rPr>
        <w:t>The only criminal proceeding with a final second instance acquittal is the one filed by the Public Prosecutors' Office on December 4, 2003</w:t>
      </w:r>
      <w:r w:rsidRPr="00524435">
        <w:t>.</w:t>
      </w:r>
      <w:r w:rsidRPr="00524435">
        <w:rPr>
          <w:color w:val="000000" w:themeColor="text1"/>
        </w:rPr>
        <w:t xml:space="preserve"> </w:t>
      </w:r>
    </w:p>
    <w:p w14:paraId="17159DB0" w14:textId="77777777" w:rsidR="001D3A5D" w:rsidRPr="00524435" w:rsidRDefault="001D3A5D" w:rsidP="0003552D">
      <w:pPr>
        <w:pStyle w:val="ListParagraph"/>
      </w:pPr>
      <w:r w:rsidRPr="00524435">
        <w:rPr>
          <w:color w:val="000000" w:themeColor="text1"/>
        </w:rPr>
        <w:t xml:space="preserve">Regarding due diligence in the investigation and clarification of the facts, the IACHR observed that the State did not prove that it had carried out certain essential procedures to throw light on the facts relating to the death of the alleged victims, in accordance with Inter-American standards and the Minnesota Protocol. </w:t>
      </w:r>
      <w:r w:rsidRPr="00524435">
        <w:t xml:space="preserve">The Commission also determined that the conclusions reached by the court resulted from the impossibility of assigning criminal liability due to the absence of a diligent investigation. Based on this, the Commission </w:t>
      </w:r>
      <w:r w:rsidRPr="00524435">
        <w:rPr>
          <w:color w:val="000000" w:themeColor="text1"/>
        </w:rPr>
        <w:t xml:space="preserve">concluded that the State did not conduct an adequate investigation in accordance with standards of due process; nor did it clarify the facts within a reasonable </w:t>
      </w:r>
      <w:proofErr w:type="gramStart"/>
      <w:r w:rsidRPr="00524435">
        <w:rPr>
          <w:color w:val="000000" w:themeColor="text1"/>
        </w:rPr>
        <w:t>period of time</w:t>
      </w:r>
      <w:proofErr w:type="gramEnd"/>
      <w:r w:rsidRPr="00524435">
        <w:rPr>
          <w:color w:val="000000" w:themeColor="text1"/>
        </w:rPr>
        <w:t xml:space="preserve"> or provide reparation to the families of the victims</w:t>
      </w:r>
      <w:r w:rsidRPr="00524435">
        <w:t>.</w:t>
      </w:r>
      <w:r w:rsidRPr="00524435">
        <w:rPr>
          <w:color w:val="000000" w:themeColor="text1"/>
        </w:rPr>
        <w:t xml:space="preserve"> Finally, </w:t>
      </w:r>
      <w:proofErr w:type="gramStart"/>
      <w:r w:rsidRPr="00524435">
        <w:rPr>
          <w:color w:val="000000" w:themeColor="text1"/>
        </w:rPr>
        <w:t>taking into account</w:t>
      </w:r>
      <w:proofErr w:type="gramEnd"/>
      <w:r w:rsidRPr="00524435">
        <w:rPr>
          <w:color w:val="000000" w:themeColor="text1"/>
        </w:rPr>
        <w:t xml:space="preserve"> the way in which the victims were deprived of their lives and the way in which the investigations were conducted, the IACHR considered that the associated anguish had an impact on the personal integrity of the victims’ next of kin.</w:t>
      </w:r>
    </w:p>
    <w:p w14:paraId="334F20FC" w14:textId="77777777" w:rsidR="001D3A5D" w:rsidRPr="00524435" w:rsidRDefault="001D3A5D" w:rsidP="0003552D">
      <w:pPr>
        <w:pStyle w:val="ListParagraph"/>
      </w:pPr>
      <w:r w:rsidRPr="00524435">
        <w:rPr>
          <w:color w:val="000000"/>
          <w:bdr w:val="nil"/>
        </w:rPr>
        <w:lastRenderedPageBreak/>
        <w:t>Based on those findings, the Commission concluded that the State of Brazil is responsible</w:t>
      </w:r>
      <w:r w:rsidRPr="00524435">
        <w:t xml:space="preserve"> for violation of Articles 4 (right to life), 5 (right to humane treatment), 8 (judicial guarantees), and 25 (judicial protection) of the American Convention on Human Rights, taken in conjunction with the obligations set forth in Articles 1(1) and 2 thereof.</w:t>
      </w:r>
    </w:p>
    <w:p w14:paraId="7DB1384A" w14:textId="4BF8E075" w:rsidR="001D3A5D" w:rsidRPr="007A5442" w:rsidRDefault="001D3A5D" w:rsidP="00F275B0">
      <w:pPr>
        <w:pStyle w:val="Style2"/>
        <w:rPr>
          <w:bCs/>
          <w:lang w:val="pt-PT"/>
        </w:rPr>
      </w:pPr>
      <w:r w:rsidRPr="007A5442">
        <w:rPr>
          <w:lang w:val="pt-PT"/>
        </w:rPr>
        <w:t>Neusa Dos Santos Nascimento and Gisele Ana Ferreira v. Brazil</w:t>
      </w:r>
    </w:p>
    <w:p w14:paraId="12C9596F" w14:textId="77777777" w:rsidR="001D3A5D" w:rsidRPr="00524435" w:rsidRDefault="001D3A5D" w:rsidP="0003552D">
      <w:pPr>
        <w:pStyle w:val="ListParagraph"/>
      </w:pPr>
      <w:r w:rsidRPr="00524435">
        <w:rPr>
          <w:color w:val="000000" w:themeColor="text1"/>
        </w:rPr>
        <w:t xml:space="preserve">The case refers </w:t>
      </w:r>
      <w:r w:rsidRPr="00524435">
        <w:t xml:space="preserve">to the racial discrimination suffered in the workplace by </w:t>
      </w:r>
      <w:proofErr w:type="spellStart"/>
      <w:r w:rsidRPr="00524435">
        <w:t>Neusa</w:t>
      </w:r>
      <w:proofErr w:type="spellEnd"/>
      <w:r w:rsidRPr="00524435">
        <w:t xml:space="preserve"> dos Santos Nascimento and Gisele Ana Ferreira in 1998, as well as the impunity surrounding it.</w:t>
      </w:r>
    </w:p>
    <w:p w14:paraId="5178B630" w14:textId="3BD8D84C" w:rsidR="001D3A5D" w:rsidRPr="00524435" w:rsidRDefault="001D3A5D" w:rsidP="0003552D">
      <w:pPr>
        <w:pStyle w:val="ListParagraph"/>
      </w:pPr>
      <w:r w:rsidRPr="00524435">
        <w:t xml:space="preserve">Following an advertisement in the newspaper </w:t>
      </w:r>
      <w:r w:rsidRPr="00524435">
        <w:rPr>
          <w:i/>
        </w:rPr>
        <w:t xml:space="preserve">Folha de São Paulo </w:t>
      </w:r>
      <w:r w:rsidRPr="00524435">
        <w:t xml:space="preserve">for a vacancy at the </w:t>
      </w:r>
      <w:proofErr w:type="spellStart"/>
      <w:r w:rsidRPr="00524435">
        <w:t>Nipomed</w:t>
      </w:r>
      <w:proofErr w:type="spellEnd"/>
      <w:r w:rsidRPr="00524435">
        <w:t xml:space="preserve"> company, the victims, both of African descent, applied to the company expressing interest in the position. The person who attended them </w:t>
      </w:r>
      <w:proofErr w:type="spellStart"/>
      <w:r w:rsidR="002B0ECE" w:rsidRPr="00524435">
        <w:t>Report</w:t>
      </w:r>
      <w:r w:rsidRPr="00524435">
        <w:t>d</w:t>
      </w:r>
      <w:proofErr w:type="spellEnd"/>
      <w:r w:rsidRPr="00524435">
        <w:t xml:space="preserve"> them that all vacancies were filled, without asking the candidates for any information. Hours later, a white woman came to the company expressing interest in the advertised vacancy and was met by the same person, who admitted her immediately. After learning of this and that there were more vacancies at the company, Gisele Ana Ferreira went again and was greeted by another recruiter, who asked her to fill out the selection form. However, after that, she was never contacted. </w:t>
      </w:r>
    </w:p>
    <w:p w14:paraId="1EF2387D" w14:textId="04850CF3" w:rsidR="001D3A5D" w:rsidRPr="00524435" w:rsidRDefault="001D3A5D" w:rsidP="0003552D">
      <w:pPr>
        <w:pStyle w:val="ListParagraph"/>
      </w:pPr>
      <w:r w:rsidRPr="00524435">
        <w:t xml:space="preserve">On March 27, 1998, the victims filed a discrimination complaint. On August 20, 1999, the Prosecution, in its closing arguments, confirmed the indictment. However, a week later, the judge dismissed the criminal action and acquitted the defendant. It took almost four years for the appeal to be sent to the appellate court. On August 11, 2004, the court upheld the criminal action and sentenced the defendant to two years' imprisonment under a semi-open regime for the crime of racial or color </w:t>
      </w:r>
      <w:r w:rsidR="003D7F60" w:rsidRPr="00524435">
        <w:t>prejudice but</w:t>
      </w:r>
      <w:r w:rsidRPr="00524435">
        <w:t xml:space="preserve"> declared the extinction of the penalty due to the statute of limitations. On October 5, 2004, the Public Prosecutors' Office filed an appeal, which was accepted, on the grounds that the crime of racism does not prescribe under the statute of limitations according to the Federal Constitution of Brazil. An arrest warrant was issued on October 26, 2006, and on June 6, 2007, an appeal was granted for the convicted person to serve his sentence in an open regime. On November 7, 2007, the convicted person filed an appeal for review, which was pending according to the information available at the time the Report on the Merits was adopted. For her part, on October 25, 2006, </w:t>
      </w:r>
      <w:proofErr w:type="spellStart"/>
      <w:r w:rsidRPr="00524435">
        <w:t>Neusa</w:t>
      </w:r>
      <w:proofErr w:type="spellEnd"/>
      <w:r w:rsidRPr="00524435">
        <w:t xml:space="preserve"> dos Santos Nascimento filed a civil action for damages, which was dismissed on December 5, 2007. </w:t>
      </w:r>
    </w:p>
    <w:p w14:paraId="4D6DE036" w14:textId="77777777" w:rsidR="001D3A5D" w:rsidRPr="00524435" w:rsidRDefault="001D3A5D" w:rsidP="0003552D">
      <w:pPr>
        <w:pStyle w:val="ListParagraph"/>
      </w:pPr>
      <w:r w:rsidRPr="00524435">
        <w:t xml:space="preserve">In its Report on the Merits, the Commission took note of the general context of discrimination and lack of access to justice of the Afro-descendant population in Brazil, particularly Afro-descendant women, and stressed that the facts denounced in the instant case match the Commission’s information regarding that context. It also noted that, at the time of the adoption of the Report on the Merits, despite the existence of a criminal conviction for the crime of discrimination, there had been no final judicial ruling, no form of restitution of the violated rights had been applied, and no comprehensive reparation had been sought for the victims. The Commission believes that the more than 20 years that have elapsed since the report was filed constitute an excessively long time that has not been justified. </w:t>
      </w:r>
    </w:p>
    <w:p w14:paraId="6723C739" w14:textId="00B29AF8" w:rsidR="00C04C14" w:rsidRPr="00524435" w:rsidRDefault="001D3A5D" w:rsidP="0003552D">
      <w:pPr>
        <w:pStyle w:val="ListParagraph"/>
      </w:pPr>
      <w:r w:rsidRPr="00524435">
        <w:rPr>
          <w:color w:val="000000" w:themeColor="text1"/>
        </w:rPr>
        <w:t xml:space="preserve">Based on the foregoing, the Commission concluded that the State did not provide an adequate judicial response in relation to the acts of discrimination regarding the right to access to work that the Brazilian State itself determined at the time had been suffered by Ms. </w:t>
      </w:r>
      <w:proofErr w:type="spellStart"/>
      <w:r w:rsidRPr="00524435">
        <w:rPr>
          <w:color w:val="000000" w:themeColor="text1"/>
        </w:rPr>
        <w:t>Neusa</w:t>
      </w:r>
      <w:proofErr w:type="spellEnd"/>
      <w:r w:rsidRPr="00524435">
        <w:rPr>
          <w:color w:val="000000" w:themeColor="text1"/>
        </w:rPr>
        <w:t xml:space="preserve"> dos Santos Nascimento and Ms. Gisela Ana Ferreira. The Commission concluded that the State is therefore responsible for the violation of the rights to judicial guarantees and judicial protection recognized in Articles 8(1) and 25(1) of the American Convention, in conjunction with the rights to equality before the law and to work enshrined in Articles 24 and 26, and the obligations established in Article 1(1) thereof, </w:t>
      </w:r>
      <w:r w:rsidRPr="00524435">
        <w:t>to the detriment of the victims.</w:t>
      </w:r>
    </w:p>
    <w:p w14:paraId="00B25224" w14:textId="16C495DF" w:rsidR="00C04C14" w:rsidRPr="007A5442" w:rsidRDefault="00C04C14" w:rsidP="00F275B0">
      <w:pPr>
        <w:pStyle w:val="Style2"/>
        <w:rPr>
          <w:lang w:val="pt-PT"/>
        </w:rPr>
      </w:pPr>
      <w:r w:rsidRPr="007A5442">
        <w:rPr>
          <w:lang w:val="pt-PT"/>
        </w:rPr>
        <w:t>Manoel Luiz da Silva</w:t>
      </w:r>
      <w:r w:rsidR="00AD2D39" w:rsidRPr="007A5442">
        <w:rPr>
          <w:lang w:val="pt-PT"/>
        </w:rPr>
        <w:t xml:space="preserve"> v. Brazil</w:t>
      </w:r>
    </w:p>
    <w:p w14:paraId="5405ED6B" w14:textId="77777777" w:rsidR="00C04C14" w:rsidRPr="00524435" w:rsidRDefault="00C04C14" w:rsidP="0003552D">
      <w:pPr>
        <w:pStyle w:val="ListParagraph"/>
      </w:pPr>
      <w:r w:rsidRPr="00524435">
        <w:t xml:space="preserve">The case concerns Brazil's international responsibility for the lack of due diligence in the investigation of the murder of rural worker </w:t>
      </w:r>
      <w:proofErr w:type="spellStart"/>
      <w:r w:rsidRPr="00524435">
        <w:t>Manoel</w:t>
      </w:r>
      <w:proofErr w:type="spellEnd"/>
      <w:r w:rsidRPr="00524435">
        <w:t xml:space="preserve"> Luiz da Silva, which occurred on May 19, 1997, in the State of </w:t>
      </w:r>
      <w:proofErr w:type="spellStart"/>
      <w:r w:rsidRPr="00524435">
        <w:t>Paraíba</w:t>
      </w:r>
      <w:proofErr w:type="spellEnd"/>
      <w:r w:rsidRPr="00524435">
        <w:t>, and for the situation of impunity.</w:t>
      </w:r>
    </w:p>
    <w:p w14:paraId="02720083" w14:textId="77777777" w:rsidR="00C04C14" w:rsidRPr="00524435" w:rsidRDefault="00C04C14" w:rsidP="0003552D">
      <w:pPr>
        <w:pStyle w:val="ListParagraph"/>
      </w:pPr>
      <w:r w:rsidRPr="00524435">
        <w:lastRenderedPageBreak/>
        <w:t xml:space="preserve">In its Merits Report, the Commission indicated that there is no controversy regarding the fact that the murder was committed by non-State actors, for which reason it analyzed the attribution of international responsibility of the State </w:t>
      </w:r>
      <w:proofErr w:type="gramStart"/>
      <w:r w:rsidRPr="00524435">
        <w:t>in light of</w:t>
      </w:r>
      <w:proofErr w:type="gramEnd"/>
      <w:r w:rsidRPr="00524435">
        <w:t xml:space="preserve"> its duty to guarantee. The Commission established that the facts of this case took place in a context of violations linked to the land conflict, to the detriment of rural workers and defenders of their rights. The Commission, however, concluded, with respect to the facts of the case, that in the absence of information that would allow it to affirm that the State had knowledge that the victim was in a situation of real or imminent danger before his death, it is not possible to attribute indirect responsibility to the State </w:t>
      </w:r>
      <w:proofErr w:type="gramStart"/>
      <w:r w:rsidRPr="00524435">
        <w:t>as a consequence of</w:t>
      </w:r>
      <w:proofErr w:type="gramEnd"/>
      <w:r w:rsidRPr="00524435">
        <w:t xml:space="preserve"> the failure to comply with the duty to guarantee in its prevention component.</w:t>
      </w:r>
    </w:p>
    <w:p w14:paraId="6A8A49F9" w14:textId="77777777" w:rsidR="00C04C14" w:rsidRPr="00524435" w:rsidRDefault="00C04C14" w:rsidP="0003552D">
      <w:pPr>
        <w:pStyle w:val="ListParagraph"/>
      </w:pPr>
      <w:proofErr w:type="gramStart"/>
      <w:r w:rsidRPr="00524435">
        <w:t>With regard to</w:t>
      </w:r>
      <w:proofErr w:type="gramEnd"/>
      <w:r w:rsidRPr="00524435">
        <w:t xml:space="preserve"> the State's actions in the investigations and proceedings following the death of </w:t>
      </w:r>
      <w:proofErr w:type="spellStart"/>
      <w:r w:rsidRPr="00524435">
        <w:t>Manoel</w:t>
      </w:r>
      <w:proofErr w:type="spellEnd"/>
      <w:r w:rsidRPr="00524435">
        <w:t xml:space="preserve"> Luiz da Silva, the IACHR concluded that the State failed in its duty to investigate the victim's murder with due diligence. The Commission observed that, </w:t>
      </w:r>
      <w:proofErr w:type="gramStart"/>
      <w:r w:rsidRPr="00524435">
        <w:t>despite the fact that</w:t>
      </w:r>
      <w:proofErr w:type="gramEnd"/>
      <w:r w:rsidRPr="00524435">
        <w:t xml:space="preserve"> innumerable pieces of evidence pointed to those responsible for the crime, the failure of the police to take essential steps made it impossible to prosecute those responsible, including the mastermind. In this regard, the Commission reiterated that the duty to investigate with due diligence is violated when evidence fundamental to the determination of the facts and responsibilities is not collected or preserved. </w:t>
      </w:r>
    </w:p>
    <w:p w14:paraId="5644D1FD" w14:textId="77777777" w:rsidR="00C04C14" w:rsidRPr="00524435" w:rsidRDefault="00C04C14" w:rsidP="0003552D">
      <w:pPr>
        <w:pStyle w:val="ListParagraph"/>
      </w:pPr>
      <w:r w:rsidRPr="00524435">
        <w:t xml:space="preserve">In particular, the Commission established that, although some procedures considered fundamental for the clarification of all responsibilities were ordered, several were not carried out, among them, the State did not justify, for example, the lack of timely investigation to verify the existence or not of one of the alleged perpetrators after his name did not appear in electoral or criminal records, although other persons had accused him of the facts. Likewise, the Commission observed that the inspection of the crime scene was carried out late and there is no evidence that a serious investigation was conducted to rule out possible acquiescence between State agents and the perpetrators of the murder, despite the existing indications that include, for example, the fact that the perpetrators were transported on horses that would have been the same as those used by police and military officers who arrived at the crime scene. Nor does it appear that the investigation has </w:t>
      </w:r>
      <w:proofErr w:type="gramStart"/>
      <w:r w:rsidRPr="00524435">
        <w:t>taken into account</w:t>
      </w:r>
      <w:proofErr w:type="gramEnd"/>
      <w:r w:rsidRPr="00524435">
        <w:t xml:space="preserve"> the context of murders of rural workers, which was generally known. Moreover, </w:t>
      </w:r>
      <w:proofErr w:type="gramStart"/>
      <w:r w:rsidRPr="00524435">
        <w:t>taking into account</w:t>
      </w:r>
      <w:proofErr w:type="gramEnd"/>
      <w:r w:rsidRPr="00524435">
        <w:t xml:space="preserve"> that in the process there was some assessment of the victim's membership in the Sem Terra Movement and the possible link between this membership and the crime.</w:t>
      </w:r>
    </w:p>
    <w:p w14:paraId="2938C368" w14:textId="77777777" w:rsidR="00C04C14" w:rsidRPr="00524435" w:rsidRDefault="00C04C14" w:rsidP="0003552D">
      <w:pPr>
        <w:pStyle w:val="ListParagraph"/>
      </w:pPr>
      <w:r w:rsidRPr="00524435">
        <w:t>On the other hand, the Commission noted that one of the accused was acquitted, that the others have not yet been tried, that the evidentiary deficiencies were not corrected, and that not all lines of investigation were exhausted. This, the Commission concluded in its report, is incompatible with the duty to investigate with due diligence. The IACHR further concluded that the more than 22-year duration of the investigation and criminal proceedings constitutes a violation of the reasonable time frame and a denial of justice.</w:t>
      </w:r>
    </w:p>
    <w:p w14:paraId="01AD4739" w14:textId="77777777" w:rsidR="00C04C14" w:rsidRPr="00524435" w:rsidRDefault="00C04C14" w:rsidP="0003552D">
      <w:pPr>
        <w:pStyle w:val="ListParagraph"/>
      </w:pPr>
      <w:r w:rsidRPr="00524435">
        <w:t xml:space="preserve">Finally, the Commission established that the State is responsible for the violation of the right to psychological and moral integrity of </w:t>
      </w:r>
      <w:proofErr w:type="spellStart"/>
      <w:r w:rsidRPr="00524435">
        <w:t>Manoel</w:t>
      </w:r>
      <w:proofErr w:type="spellEnd"/>
      <w:r w:rsidRPr="00524435">
        <w:t xml:space="preserve"> Luiz da Silva's next of kin.</w:t>
      </w:r>
    </w:p>
    <w:p w14:paraId="6F921265" w14:textId="77777777" w:rsidR="00C04C14" w:rsidRPr="00524435" w:rsidRDefault="00C04C14" w:rsidP="0003552D">
      <w:pPr>
        <w:pStyle w:val="ListParagraph"/>
      </w:pPr>
      <w:r w:rsidRPr="00524435">
        <w:t xml:space="preserve">Based on these findings, the IACHR concluded that the State of Brazil is responsible for the violation of Articles 5 (personal integrity), 8 (judicial guarantees) and 25 (judicial protection) of the American Convention on Human Rights, in relation to the obligations established in its </w:t>
      </w:r>
      <w:proofErr w:type="gramStart"/>
      <w:r w:rsidRPr="00524435">
        <w:t>Article</w:t>
      </w:r>
      <w:proofErr w:type="gramEnd"/>
      <w:r w:rsidRPr="00524435">
        <w:t xml:space="preserve"> 1(1).</w:t>
      </w:r>
    </w:p>
    <w:p w14:paraId="18301B27" w14:textId="4F841EC9" w:rsidR="001D3A5D" w:rsidRPr="003F238D" w:rsidRDefault="001D3A5D" w:rsidP="00F275B0">
      <w:pPr>
        <w:pStyle w:val="Style2"/>
        <w:rPr>
          <w:bCs/>
          <w:lang w:val="es-US"/>
        </w:rPr>
      </w:pPr>
      <w:r w:rsidRPr="003F238D">
        <w:rPr>
          <w:lang w:val="es-US"/>
        </w:rPr>
        <w:t>Arturo Benito Vega González et al</w:t>
      </w:r>
      <w:r w:rsidR="00AD2D39" w:rsidRPr="003F238D">
        <w:rPr>
          <w:lang w:val="es-US"/>
        </w:rPr>
        <w:t xml:space="preserve"> v. Chile</w:t>
      </w:r>
    </w:p>
    <w:p w14:paraId="088E5A93" w14:textId="77777777" w:rsidR="001D3A5D" w:rsidRPr="00524435" w:rsidRDefault="001D3A5D" w:rsidP="0003552D">
      <w:pPr>
        <w:pStyle w:val="ListParagraph"/>
      </w:pPr>
      <w:r w:rsidRPr="00524435">
        <w:t xml:space="preserve">The case concerns the international responsibility of the State for applying the "half prescription" or "gradual prescription" concept in connection with the criminal proceedings in 14 petitions relating to crimes against humanity perpetrated against 48 persons during the Chilean civil-military dictatorship. </w:t>
      </w:r>
    </w:p>
    <w:p w14:paraId="58355DBE" w14:textId="77777777" w:rsidR="001D3A5D" w:rsidRPr="00524435" w:rsidRDefault="001D3A5D" w:rsidP="0003552D">
      <w:pPr>
        <w:pStyle w:val="ListParagraph"/>
      </w:pPr>
      <w:r w:rsidRPr="00524435">
        <w:t xml:space="preserve">In the 14 petitions, the Supreme Court of Justice, acting as a court of criminal cassation, decided to mitigate the sentences given to those responsible for the acts by applying for the first time the </w:t>
      </w:r>
      <w:r w:rsidRPr="00524435">
        <w:lastRenderedPageBreak/>
        <w:t xml:space="preserve">mitigating circumstance of "semi prescription" or "gradual prescription" upheld in Article 103 of the Chilean Criminal Code. This provision is applicable when the person responsible for the crime appears or is found after half the time allotted for the statute of limitations in respect of the criminal action has elapsed, which, in the case of the crimes of aggravated kidnapping and aggravated homicide, was 5 years and 7 and a half years, respectively. </w:t>
      </w:r>
    </w:p>
    <w:p w14:paraId="125A1F89" w14:textId="513EB358" w:rsidR="001D3A5D" w:rsidRPr="00524435" w:rsidRDefault="001D3A5D" w:rsidP="0003552D">
      <w:pPr>
        <w:pStyle w:val="ListParagraph"/>
      </w:pPr>
      <w:r w:rsidRPr="00524435">
        <w:t xml:space="preserve">In its Report on the Merits, the Commission observed that it is not disputed that the State identified those responsible for the serious violations to which the victims in the case were subjected, nor that these were crimes against humanity. The Commission determined that the matter to be analyzed is whether the State of Chile complied with its obligation to </w:t>
      </w:r>
      <w:proofErr w:type="gramStart"/>
      <w:r w:rsidRPr="00524435">
        <w:t>adequately and proportionately punish</w:t>
      </w:r>
      <w:proofErr w:type="gramEnd"/>
      <w:r w:rsidRPr="00524435">
        <w:t xml:space="preserve"> those responsible for such acts when it applied the legal figure </w:t>
      </w:r>
      <w:r w:rsidR="000B0951" w:rsidRPr="00524435">
        <w:t>of “</w:t>
      </w:r>
      <w:r w:rsidRPr="00524435">
        <w:t>semi-prescription” (half the statute of limitations).</w:t>
      </w:r>
    </w:p>
    <w:p w14:paraId="2678989F" w14:textId="77777777" w:rsidR="001D3A5D" w:rsidRPr="00524435" w:rsidRDefault="001D3A5D" w:rsidP="0003552D">
      <w:pPr>
        <w:pStyle w:val="ListParagraph"/>
      </w:pPr>
      <w:r w:rsidRPr="00524435">
        <w:t xml:space="preserve">The Commission noted that, </w:t>
      </w:r>
      <w:proofErr w:type="gramStart"/>
      <w:r w:rsidRPr="00524435">
        <w:t>as a result of</w:t>
      </w:r>
      <w:proofErr w:type="gramEnd"/>
      <w:r w:rsidRPr="00524435">
        <w:t xml:space="preserve"> the application of semi-prescription, there was a significant decrease in the amount of the prison sentence imposed on each of the convicted persons. In addition, in none of the cases decided by the Supreme Court did the prison sentence imposed exceed the legal minimum foreseen in the Criminal Code for the crimes of aggravated homicide and aggravated kidnapping. Likewise, </w:t>
      </w:r>
      <w:proofErr w:type="gramStart"/>
      <w:r w:rsidRPr="00524435">
        <w:t>as a result of</w:t>
      </w:r>
      <w:proofErr w:type="gramEnd"/>
      <w:r w:rsidRPr="00524435">
        <w:t xml:space="preserve"> the mitigation of the sentence by application of half the statute of limitations, the Supreme Court granted in several cases the benefits of conditional remission of the sentence and probation, so that those responsible for the criminal acts were not imprisoned. </w:t>
      </w:r>
    </w:p>
    <w:p w14:paraId="7B83DB08" w14:textId="438B3560" w:rsidR="001D3A5D" w:rsidRPr="00524435" w:rsidRDefault="001D3A5D" w:rsidP="0003552D">
      <w:pPr>
        <w:pStyle w:val="ListParagraph"/>
      </w:pPr>
      <w:r w:rsidRPr="00524435">
        <w:t xml:space="preserve">The Commission observed that the State did not provide a justification that would make it possible to understand </w:t>
      </w:r>
      <w:r w:rsidR="000B0951" w:rsidRPr="00524435">
        <w:t>why reduction</w:t>
      </w:r>
      <w:r w:rsidRPr="00524435">
        <w:t xml:space="preserve"> of the sentence would be compatible with the American Convention and with Inter-American standards regarding the proportionality of sanctions. In this regard, the Commission took note of the State's acknowledgment that the application of half the statute of limitations affected the principle of proportionality of punishment and that "the sentences that were handed down at the time by the SC did not meet the standard of rationality and proportionality that should guide the conduct of the State in the exercise of its punitive power in relation to crimes against humanity." </w:t>
      </w:r>
    </w:p>
    <w:p w14:paraId="0C76C8DB" w14:textId="77777777" w:rsidR="001D3A5D" w:rsidRPr="00524435" w:rsidRDefault="001D3A5D" w:rsidP="0003552D">
      <w:pPr>
        <w:pStyle w:val="ListParagraph"/>
      </w:pPr>
      <w:r w:rsidRPr="00524435">
        <w:t xml:space="preserve">On the other hand, the Commission noted that, according to the rulings of the Supreme Court, the rationale for reducing the sanction would be that the longer the sanction is not imposed, the lesser the State's punitive reprimand should be. Here, the Commission notes that the idea of a progressive reduction of criminal law penalties for crimes against humanity merely because of the passage of time or due to alleged legal certainty concerns is clearly incompatible with the obligations to adequately punish those responsible for gross human rights violations. The Commission also highlighted how problematic it is to assert that the State's own failure to investigate and individualize those responsible should be the determining factor in the reduction of punishment. </w:t>
      </w:r>
    </w:p>
    <w:p w14:paraId="44043248" w14:textId="5AEF94F2" w:rsidR="001D3A5D" w:rsidRPr="00524435" w:rsidRDefault="001D3A5D" w:rsidP="0003552D">
      <w:pPr>
        <w:pStyle w:val="ListParagraph"/>
      </w:pPr>
      <w:r w:rsidRPr="00524435">
        <w:t xml:space="preserve">Based on these considerations, the Commission concluded that the State of Chile is responsible for the violation of the rights to judicial guarantees and judicial protection, enshrined in Articles 8(1) and 25(1) of the American Convention, in conjunction with the general obligation to respect the rights of the American Convention and the duty to adopt provisions of domestic law, established in Articles 1(1) and 2 thereof, to the detriment of the victims in this case and their next of kin identified in the report. The Commission also concluded that the State is responsible for the violation of Articles </w:t>
      </w:r>
      <w:proofErr w:type="spellStart"/>
      <w:r w:rsidRPr="00524435">
        <w:t>I.b</w:t>
      </w:r>
      <w:proofErr w:type="spellEnd"/>
      <w:r w:rsidRPr="00524435">
        <w:t xml:space="preserve"> and III of the Inter-American Convention on Forced Disappearance from the date of deposit of the instrument of ratification of said treaty by the Chilean State.</w:t>
      </w:r>
    </w:p>
    <w:p w14:paraId="27AB27D2" w14:textId="1A9DD7F8" w:rsidR="000F0FB1" w:rsidRPr="00524435" w:rsidRDefault="000F0FB1" w:rsidP="00F275B0">
      <w:pPr>
        <w:pStyle w:val="Style2"/>
        <w:rPr>
          <w:lang w:val="en-US"/>
        </w:rPr>
      </w:pPr>
      <w:r w:rsidRPr="00524435">
        <w:rPr>
          <w:lang w:val="en-US"/>
        </w:rPr>
        <w:t>Adolescents detained in detention centers and provisional internment centers of the National Service for Minors (SENAME) v. Chile</w:t>
      </w:r>
    </w:p>
    <w:p w14:paraId="6DD35153" w14:textId="6ADC7CC3" w:rsidR="00C04C14" w:rsidRPr="00524435" w:rsidRDefault="00C04C14" w:rsidP="00C04C14">
      <w:pPr>
        <w:numPr>
          <w:ilvl w:val="0"/>
          <w:numId w:val="1"/>
        </w:numPr>
        <w:autoSpaceDE w:val="0"/>
        <w:autoSpaceDN w:val="0"/>
        <w:adjustRightInd w:val="0"/>
        <w:spacing w:after="240" w:line="240" w:lineRule="auto"/>
        <w:ind w:left="0" w:firstLine="720"/>
        <w:jc w:val="both"/>
        <w:rPr>
          <w:rFonts w:ascii="Cambria" w:hAnsi="Cambria"/>
          <w:sz w:val="20"/>
          <w:szCs w:val="20"/>
        </w:rPr>
      </w:pPr>
      <w:r w:rsidRPr="00524435">
        <w:rPr>
          <w:rFonts w:ascii="Cambria" w:hAnsi="Cambria"/>
          <w:sz w:val="20"/>
          <w:szCs w:val="20"/>
        </w:rPr>
        <w:t>The case refers to the international responsibility of the Chilean State to the detriment of ten adolescents who died in a fire at the Temporary Detention Center "</w:t>
      </w:r>
      <w:proofErr w:type="spellStart"/>
      <w:r w:rsidRPr="00524435">
        <w:rPr>
          <w:rFonts w:ascii="Cambria" w:hAnsi="Cambria"/>
          <w:sz w:val="20"/>
          <w:szCs w:val="20"/>
        </w:rPr>
        <w:t>Tiempo</w:t>
      </w:r>
      <w:proofErr w:type="spellEnd"/>
      <w:r w:rsidRPr="00524435">
        <w:rPr>
          <w:rFonts w:ascii="Cambria" w:hAnsi="Cambria"/>
          <w:sz w:val="20"/>
          <w:szCs w:val="20"/>
        </w:rPr>
        <w:t xml:space="preserve"> de </w:t>
      </w:r>
      <w:proofErr w:type="spellStart"/>
      <w:r w:rsidRPr="00524435">
        <w:rPr>
          <w:rFonts w:ascii="Cambria" w:hAnsi="Cambria"/>
          <w:sz w:val="20"/>
          <w:szCs w:val="20"/>
        </w:rPr>
        <w:t>Crecer</w:t>
      </w:r>
      <w:proofErr w:type="spellEnd"/>
      <w:r w:rsidRPr="00524435">
        <w:rPr>
          <w:rFonts w:ascii="Cambria" w:hAnsi="Cambria"/>
          <w:sz w:val="20"/>
          <w:szCs w:val="20"/>
        </w:rPr>
        <w:t xml:space="preserve">" in Puerto Montt and 282 adolescents who were detained in the temporary detention and internment centers </w:t>
      </w:r>
      <w:proofErr w:type="spellStart"/>
      <w:r w:rsidRPr="00524435">
        <w:rPr>
          <w:rFonts w:ascii="Cambria" w:hAnsi="Cambria"/>
          <w:sz w:val="20"/>
          <w:szCs w:val="20"/>
        </w:rPr>
        <w:t>Lihuén</w:t>
      </w:r>
      <w:proofErr w:type="spellEnd"/>
      <w:r w:rsidRPr="00524435">
        <w:rPr>
          <w:rFonts w:ascii="Cambria" w:hAnsi="Cambria"/>
          <w:sz w:val="20"/>
          <w:szCs w:val="20"/>
        </w:rPr>
        <w:t xml:space="preserve"> (</w:t>
      </w:r>
      <w:proofErr w:type="spellStart"/>
      <w:r w:rsidRPr="00524435">
        <w:rPr>
          <w:rFonts w:ascii="Cambria" w:hAnsi="Cambria"/>
          <w:sz w:val="20"/>
          <w:szCs w:val="20"/>
        </w:rPr>
        <w:t>Limache</w:t>
      </w:r>
      <w:proofErr w:type="spellEnd"/>
      <w:r w:rsidRPr="00524435">
        <w:rPr>
          <w:rFonts w:ascii="Cambria" w:hAnsi="Cambria"/>
          <w:sz w:val="20"/>
          <w:szCs w:val="20"/>
        </w:rPr>
        <w:t xml:space="preserve">), </w:t>
      </w:r>
      <w:proofErr w:type="spellStart"/>
      <w:r w:rsidRPr="00524435">
        <w:rPr>
          <w:rFonts w:ascii="Cambria" w:hAnsi="Cambria"/>
          <w:sz w:val="20"/>
          <w:szCs w:val="20"/>
        </w:rPr>
        <w:t>Antuhue</w:t>
      </w:r>
      <w:proofErr w:type="spellEnd"/>
      <w:r w:rsidRPr="00524435">
        <w:rPr>
          <w:rFonts w:ascii="Cambria" w:hAnsi="Cambria"/>
          <w:sz w:val="20"/>
          <w:szCs w:val="20"/>
        </w:rPr>
        <w:t xml:space="preserve"> (Rancagua), San Bernardo (San Miguel) and </w:t>
      </w:r>
      <w:proofErr w:type="spellStart"/>
      <w:r w:rsidRPr="00524435">
        <w:rPr>
          <w:rFonts w:ascii="Cambria" w:hAnsi="Cambria"/>
          <w:sz w:val="20"/>
          <w:szCs w:val="20"/>
        </w:rPr>
        <w:t>Tiempo</w:t>
      </w:r>
      <w:proofErr w:type="spellEnd"/>
      <w:r w:rsidRPr="00524435">
        <w:rPr>
          <w:rFonts w:ascii="Cambria" w:hAnsi="Cambria"/>
          <w:sz w:val="20"/>
          <w:szCs w:val="20"/>
        </w:rPr>
        <w:t xml:space="preserve"> de </w:t>
      </w:r>
      <w:proofErr w:type="spellStart"/>
      <w:r w:rsidRPr="00524435">
        <w:rPr>
          <w:rFonts w:ascii="Cambria" w:hAnsi="Cambria"/>
          <w:sz w:val="20"/>
          <w:szCs w:val="20"/>
        </w:rPr>
        <w:t>Crecer</w:t>
      </w:r>
      <w:proofErr w:type="spellEnd"/>
      <w:r w:rsidRPr="00524435">
        <w:rPr>
          <w:rFonts w:ascii="Cambria" w:hAnsi="Cambria"/>
          <w:sz w:val="20"/>
          <w:szCs w:val="20"/>
        </w:rPr>
        <w:t xml:space="preserve"> (Puerto Montt) at the time the petition was </w:t>
      </w:r>
      <w:r w:rsidRPr="00524435">
        <w:rPr>
          <w:rFonts w:ascii="Cambria" w:hAnsi="Cambria"/>
          <w:sz w:val="20"/>
          <w:szCs w:val="20"/>
        </w:rPr>
        <w:lastRenderedPageBreak/>
        <w:t>presented to the IACHR, which were under the administration and responsibility of the National Service for Minors - SENAME.</w:t>
      </w:r>
    </w:p>
    <w:p w14:paraId="5EE3C261" w14:textId="4478E6D0" w:rsidR="00C04C14" w:rsidRPr="00524435" w:rsidRDefault="00C04C14" w:rsidP="00C04C14">
      <w:pPr>
        <w:numPr>
          <w:ilvl w:val="0"/>
          <w:numId w:val="1"/>
        </w:numPr>
        <w:autoSpaceDE w:val="0"/>
        <w:autoSpaceDN w:val="0"/>
        <w:adjustRightInd w:val="0"/>
        <w:spacing w:after="240" w:line="240" w:lineRule="auto"/>
        <w:ind w:left="0" w:firstLine="720"/>
        <w:jc w:val="both"/>
        <w:rPr>
          <w:rFonts w:ascii="Cambria" w:hAnsi="Cambria"/>
          <w:sz w:val="20"/>
          <w:szCs w:val="20"/>
        </w:rPr>
      </w:pPr>
      <w:r w:rsidRPr="00524435">
        <w:rPr>
          <w:rFonts w:ascii="Cambria" w:hAnsi="Cambria"/>
          <w:sz w:val="20"/>
          <w:szCs w:val="20"/>
        </w:rPr>
        <w:t>On the night of October 21, 2007, during a protest initiated by adolescents detained at the Temporary Detention Center "</w:t>
      </w:r>
      <w:proofErr w:type="spellStart"/>
      <w:r w:rsidRPr="00524435">
        <w:rPr>
          <w:rFonts w:ascii="Cambria" w:hAnsi="Cambria"/>
          <w:sz w:val="20"/>
          <w:szCs w:val="20"/>
        </w:rPr>
        <w:t>Tiempo</w:t>
      </w:r>
      <w:proofErr w:type="spellEnd"/>
      <w:r w:rsidRPr="00524435">
        <w:rPr>
          <w:rFonts w:ascii="Cambria" w:hAnsi="Cambria"/>
          <w:sz w:val="20"/>
          <w:szCs w:val="20"/>
        </w:rPr>
        <w:t xml:space="preserve"> de </w:t>
      </w:r>
      <w:proofErr w:type="spellStart"/>
      <w:r w:rsidRPr="00524435">
        <w:rPr>
          <w:rFonts w:ascii="Cambria" w:hAnsi="Cambria"/>
          <w:sz w:val="20"/>
          <w:szCs w:val="20"/>
        </w:rPr>
        <w:t>Crecer</w:t>
      </w:r>
      <w:proofErr w:type="spellEnd"/>
      <w:r w:rsidRPr="00524435">
        <w:rPr>
          <w:rFonts w:ascii="Cambria" w:hAnsi="Cambria"/>
          <w:sz w:val="20"/>
          <w:szCs w:val="20"/>
        </w:rPr>
        <w:t xml:space="preserve">" due to poor conditions of detention, a fire broke out </w:t>
      </w:r>
      <w:proofErr w:type="gramStart"/>
      <w:r w:rsidRPr="00524435">
        <w:rPr>
          <w:rFonts w:ascii="Cambria" w:hAnsi="Cambria"/>
          <w:sz w:val="20"/>
          <w:szCs w:val="20"/>
        </w:rPr>
        <w:t>as a result of</w:t>
      </w:r>
      <w:proofErr w:type="gramEnd"/>
      <w:r w:rsidRPr="00524435">
        <w:rPr>
          <w:rFonts w:ascii="Cambria" w:hAnsi="Cambria"/>
          <w:sz w:val="20"/>
          <w:szCs w:val="20"/>
        </w:rPr>
        <w:t xml:space="preserve"> a gas heater, which spread due to the presence of flammable objects.</w:t>
      </w:r>
    </w:p>
    <w:p w14:paraId="62A4EC5C" w14:textId="2ED3B35C" w:rsidR="00C04C14" w:rsidRPr="00524435" w:rsidRDefault="00C04C14" w:rsidP="0003552D">
      <w:pPr>
        <w:pStyle w:val="ListParagraph"/>
      </w:pPr>
      <w:r w:rsidRPr="00524435">
        <w:t>In its Report on the Merits, the Commission considered it demonstrated, based mainly on the Final Report of an Investigating Commission of the Chamber of Deputies and the Formalization Act issued by the Court of Guarantee of Puerto Montt against six SENAME staff members, that the authorities of the Center and SENAME did not comply with the minimum essential preventive measures against the risk of fire, such as the installation of fire extinguishers or the establishment of evacuation routes tested in drills, that the authorities of the Center and SENAME did not comply with the minimum essential preventive measures against the risk of fire -such as the installation of fire extinguishers or the establishment of evacuation routes tested in periodic drills-, that only after the fire an emergency plan was adopted, and that the response to the fire by the public officials responsible for protecting the rights of the adolescents held there was defective, late and/or insufficient. These omissions and failures in the State's response constituted a serious breach of the duty to guarantee the rights of adolescents deprived of their liberty, which caused the death of the ten adolescents.</w:t>
      </w:r>
    </w:p>
    <w:p w14:paraId="6C0C7F8D" w14:textId="74B81C54" w:rsidR="00C04C14" w:rsidRPr="00524435" w:rsidRDefault="00C04C14" w:rsidP="0003552D">
      <w:pPr>
        <w:pStyle w:val="ListParagraph"/>
      </w:pPr>
      <w:r w:rsidRPr="00524435">
        <w:t xml:space="preserve">The IACHR also concluded that the 282 adolescents held in the </w:t>
      </w:r>
      <w:proofErr w:type="spellStart"/>
      <w:r w:rsidRPr="00524435">
        <w:t>Lihuén</w:t>
      </w:r>
      <w:proofErr w:type="spellEnd"/>
      <w:r w:rsidRPr="00524435">
        <w:t xml:space="preserve"> (</w:t>
      </w:r>
      <w:proofErr w:type="spellStart"/>
      <w:r w:rsidRPr="00524435">
        <w:t>Limache</w:t>
      </w:r>
      <w:proofErr w:type="spellEnd"/>
      <w:r w:rsidRPr="00524435">
        <w:t xml:space="preserve">), </w:t>
      </w:r>
      <w:proofErr w:type="spellStart"/>
      <w:r w:rsidRPr="00524435">
        <w:t>Antuhue</w:t>
      </w:r>
      <w:proofErr w:type="spellEnd"/>
      <w:r w:rsidRPr="00524435">
        <w:t xml:space="preserve"> (Rancagua), San Bernardo (San Miguel) and </w:t>
      </w:r>
      <w:proofErr w:type="spellStart"/>
      <w:r w:rsidRPr="00524435">
        <w:t>Tiempo</w:t>
      </w:r>
      <w:proofErr w:type="spellEnd"/>
      <w:r w:rsidRPr="00524435">
        <w:t xml:space="preserve"> de </w:t>
      </w:r>
      <w:proofErr w:type="spellStart"/>
      <w:r w:rsidRPr="00524435">
        <w:t>Crecer</w:t>
      </w:r>
      <w:proofErr w:type="spellEnd"/>
      <w:r w:rsidRPr="00524435">
        <w:t xml:space="preserve"> (Puerto Montt) temporary detention and internment centers were held in conditions incompatible with basic standards of humane and dignified treatment, which undermined the individual development process of the adolescents, who are subject to enhanced legal protection. The Commission also observed that, at the time of the facts, none of the four centers separated the detainees by age, procedural </w:t>
      </w:r>
      <w:proofErr w:type="gramStart"/>
      <w:r w:rsidRPr="00524435">
        <w:t>situation</w:t>
      </w:r>
      <w:proofErr w:type="gramEnd"/>
      <w:r w:rsidRPr="00524435">
        <w:t xml:space="preserve"> or gender. It further established that the centers did not provide adequate medical or dental care, and that the State failed to comply with its duty to guarantee the right to education, </w:t>
      </w:r>
      <w:proofErr w:type="gramStart"/>
      <w:r w:rsidRPr="00524435">
        <w:t>recreation</w:t>
      </w:r>
      <w:proofErr w:type="gramEnd"/>
      <w:r w:rsidRPr="00524435">
        <w:t xml:space="preserve"> and vocational training in accordance with Inter-American standards. Furthermore, it found that the four detention centers used isolation cells in which the adolescent inmates were subjected to confinement and punishment that constituted cruel, </w:t>
      </w:r>
      <w:proofErr w:type="gramStart"/>
      <w:r w:rsidRPr="00524435">
        <w:t>inhuman</w:t>
      </w:r>
      <w:proofErr w:type="gramEnd"/>
      <w:r w:rsidRPr="00524435">
        <w:t xml:space="preserve"> and degrading treatment.</w:t>
      </w:r>
    </w:p>
    <w:p w14:paraId="36864746" w14:textId="4A2B254C" w:rsidR="00C04C14" w:rsidRPr="00524435" w:rsidRDefault="00C04C14" w:rsidP="0003552D">
      <w:pPr>
        <w:pStyle w:val="ListParagraph"/>
      </w:pPr>
      <w:r w:rsidRPr="00524435">
        <w:t xml:space="preserve">With respect to the judicial proceedings, the Courts of Appeal of Valparaíso, Rancagua, San </w:t>
      </w:r>
      <w:proofErr w:type="gramStart"/>
      <w:r w:rsidRPr="00524435">
        <w:t>Miguel</w:t>
      </w:r>
      <w:proofErr w:type="gramEnd"/>
      <w:r w:rsidRPr="00524435">
        <w:t xml:space="preserve"> and Puerto Montt denied as inadmissible the amparo actions -or habeas corpus petitions- filed for the poor conditions of detention. The Commission observed that the courts did not indicate to the petitioners which was the best way to achieve the protection of the adolescents, nor was any measure adopted to protect their rights. This, </w:t>
      </w:r>
      <w:proofErr w:type="gramStart"/>
      <w:r w:rsidRPr="00524435">
        <w:t>despite the fact that</w:t>
      </w:r>
      <w:proofErr w:type="gramEnd"/>
      <w:r w:rsidRPr="00524435">
        <w:t xml:space="preserve"> the situation of the centers was the subject of analysis by various state entities, and an Investigative Commission of the Chamber of Deputies was formed to investigate the circumstances of the fire and the state of the detention centers in the country. The IACHR noted that it did not have information indicating that such actions have had an effective impact on the cessation of the situation of continuous violation of human rights in these centers. For these reasons, it considered that the right to judicial protection of the 282 adolescents held in the four detention centers had been violated.</w:t>
      </w:r>
    </w:p>
    <w:p w14:paraId="5869166E" w14:textId="5DBBEAA1" w:rsidR="00C04C14" w:rsidRPr="00524435" w:rsidRDefault="00C04C14" w:rsidP="0003552D">
      <w:pPr>
        <w:pStyle w:val="ListParagraph"/>
      </w:pPr>
      <w:r w:rsidRPr="00524435">
        <w:t>In relation to the death of the ten adolescents, the Puerto Montt Prosecutor's Office initiated a criminal investigation. However, after the formalization of six officers for the crime of manslaughter, it was decided to grant them a provisional stay of proceedings, which would have extinguished the criminal action. Therefore, exercising the discretionary power of the Prosecutor's Office and the Court of Puerto Montt, the investigation was suspended without progressing to the stage of trial and punishment of those responsible for the deaths, despite the knowledge that this would lead to the extinction of the criminal action. Likewise, the victims' families and their legal representatives did not participate in these decisions due to their confidential nature, having learned of them through the national press. Consequently, the IACHR concluded that the State's duty to investigate, prosecute and punish those responsible for the deaths of the ten victims in the fire had not been fulfilled.</w:t>
      </w:r>
    </w:p>
    <w:p w14:paraId="3431F5AF" w14:textId="3CD9792A" w:rsidR="00C04C14" w:rsidRPr="00524435" w:rsidRDefault="00C04C14" w:rsidP="0003552D">
      <w:pPr>
        <w:pStyle w:val="ListParagraph"/>
      </w:pPr>
      <w:r w:rsidRPr="00524435">
        <w:t xml:space="preserve">Based on these considerations, the Commission concluded that the State is responsible for the violation of the rights to life, personal integrity, judicial guarantees, judicial protection, and the rights to health, </w:t>
      </w:r>
      <w:r w:rsidRPr="00524435">
        <w:lastRenderedPageBreak/>
        <w:t>water, basic sanitation, education and recreation, established in Articles 4, 5, 8, 25 and 26 of the American Convention, in relation to the obligations to respect human rights and to grant special protection to the rights of children and adolescents, established in Articles 1, 1 and 19, to the detriment of the ten deceased adolescents and their immediate family members, as well as the 282 adolescents detained in the four centers that were the subject of the instant case at the time the petition was lodged. 1 and 19, to the detriment of the ten deceased adolescents and their immediate family members, as well as the 282 adolescents detained in the four centers that were the subject of the instant case at the time the petition was filed.</w:t>
      </w:r>
    </w:p>
    <w:p w14:paraId="7009BAE3" w14:textId="77777777" w:rsidR="001D3A5D" w:rsidRPr="00524435" w:rsidRDefault="001D3A5D" w:rsidP="00F275B0">
      <w:pPr>
        <w:pStyle w:val="Style2"/>
        <w:rPr>
          <w:bCs/>
          <w:lang w:val="en-US"/>
        </w:rPr>
      </w:pPr>
      <w:r w:rsidRPr="00524435">
        <w:rPr>
          <w:lang w:val="en-US"/>
        </w:rPr>
        <w:t xml:space="preserve">Oscar </w:t>
      </w:r>
      <w:proofErr w:type="spellStart"/>
      <w:r w:rsidRPr="00524435">
        <w:rPr>
          <w:lang w:val="en-US"/>
        </w:rPr>
        <w:t>Tabares</w:t>
      </w:r>
      <w:proofErr w:type="spellEnd"/>
      <w:r w:rsidRPr="00524435">
        <w:rPr>
          <w:lang w:val="en-US"/>
        </w:rPr>
        <w:t xml:space="preserve"> Toro v. Colombia</w:t>
      </w:r>
    </w:p>
    <w:p w14:paraId="40538249" w14:textId="71489071" w:rsidR="001D3A5D" w:rsidRPr="00524435" w:rsidRDefault="001D3A5D" w:rsidP="0003552D">
      <w:pPr>
        <w:pStyle w:val="ListParagraph"/>
      </w:pPr>
      <w:r w:rsidRPr="00524435">
        <w:t xml:space="preserve">The case relates to Colombia's international responsibility for the forced disappearance of Oscar Iván </w:t>
      </w:r>
      <w:proofErr w:type="spellStart"/>
      <w:r w:rsidRPr="00524435">
        <w:t>Tabares</w:t>
      </w:r>
      <w:proofErr w:type="spellEnd"/>
      <w:r w:rsidRPr="00524435">
        <w:t xml:space="preserve"> Toro, as well as the subsequent failure to investigate the facts and clarify the circumstances surrounding his disappearance. Mr. </w:t>
      </w:r>
      <w:proofErr w:type="spellStart"/>
      <w:r w:rsidRPr="00524435">
        <w:t>Tabares</w:t>
      </w:r>
      <w:proofErr w:type="spellEnd"/>
      <w:r w:rsidRPr="00524435">
        <w:t>, who was a soldier attached to the General Artillery School, disappeared on the night of December 28, 1997, while camping with the "Tiger" Company of the Counter-Guerrilla Battalion No. 20 in the department of Meta, as a soldier on active duty with the Colombian National Army.</w:t>
      </w:r>
    </w:p>
    <w:p w14:paraId="5EBA130B" w14:textId="77777777" w:rsidR="001D3A5D" w:rsidRPr="00524435" w:rsidRDefault="001D3A5D" w:rsidP="0003552D">
      <w:pPr>
        <w:pStyle w:val="ListParagraph"/>
      </w:pPr>
      <w:r w:rsidRPr="00524435">
        <w:t xml:space="preserve">In its Report on the Merits, the Commission concluded that there were grounds to describe what happened to Mr. </w:t>
      </w:r>
      <w:proofErr w:type="spellStart"/>
      <w:r w:rsidRPr="00524435">
        <w:t>Tabares</w:t>
      </w:r>
      <w:proofErr w:type="spellEnd"/>
      <w:r w:rsidRPr="00524435">
        <w:t xml:space="preserve"> as an enforced disappearance. The IACHR considered it sufficiently proven that the victim was under the control of State agents the last time he was seen, after which his whereabouts or fate are unknown. In this regard, the Commission observed that, neither in the investigations undertaken nor in the information provided to the IACHR, has the State offered evidence to justify a different version. Although some soldiers reported that Oscar Iván </w:t>
      </w:r>
      <w:proofErr w:type="spellStart"/>
      <w:r w:rsidRPr="00524435">
        <w:t>Tabares</w:t>
      </w:r>
      <w:proofErr w:type="spellEnd"/>
      <w:r w:rsidRPr="00524435">
        <w:t xml:space="preserve"> had fled after allegedly throwing a grenade at his superiors' tent, the Commission noted that those versions contradicted others and mainly came from people who had been involved in the same events and who, as soldiers, were subject to a chain of command. Indeed, the Commission noted that </w:t>
      </w:r>
      <w:proofErr w:type="spellStart"/>
      <w:r w:rsidRPr="00524435">
        <w:t>some time</w:t>
      </w:r>
      <w:proofErr w:type="spellEnd"/>
      <w:r w:rsidRPr="00524435">
        <w:t xml:space="preserve"> later the Special Prosecutor's Office for Human Rights and International Humanitarian Law highlighted the implausibility of the National Army's account and the seriousness of the inconsistencies and contradictions.</w:t>
      </w:r>
    </w:p>
    <w:p w14:paraId="237975BF" w14:textId="77777777" w:rsidR="001D3A5D" w:rsidRPr="00524435" w:rsidRDefault="001D3A5D" w:rsidP="0003552D">
      <w:pPr>
        <w:pStyle w:val="ListParagraph"/>
      </w:pPr>
      <w:r w:rsidRPr="00524435">
        <w:t xml:space="preserve">Regarding the third constituent element of enforced disappearance relating to the refusal to acknowledge the detention and to disclose the fate or whereabouts of the person, the Commission noted that, from the time of Mr. </w:t>
      </w:r>
      <w:proofErr w:type="spellStart"/>
      <w:r w:rsidRPr="00524435">
        <w:t>Tabares</w:t>
      </w:r>
      <w:proofErr w:type="spellEnd"/>
      <w:r w:rsidRPr="00524435">
        <w:t xml:space="preserve">' disappearance, the Colombian National Army has refused to acknowledge his detention and to disclose his true fate and whereabouts.  In this regard, the Commission ascertained that the National Army not only did not initiate a search for Oscar </w:t>
      </w:r>
      <w:proofErr w:type="spellStart"/>
      <w:r w:rsidRPr="00524435">
        <w:t>Tabares</w:t>
      </w:r>
      <w:proofErr w:type="spellEnd"/>
      <w:r w:rsidRPr="00524435">
        <w:t xml:space="preserve"> after his alleged flight, but also did not alert his next of kin of his disappearance or help them find him. On the contrary, it is on record that proceedings were initiated against the victim for having tossed a grenade, and Oscar Iván </w:t>
      </w:r>
      <w:proofErr w:type="spellStart"/>
      <w:r w:rsidRPr="00524435">
        <w:t>Tabares</w:t>
      </w:r>
      <w:proofErr w:type="spellEnd"/>
      <w:r w:rsidRPr="00524435">
        <w:t xml:space="preserve">' mother was even told that her son had withdrawn money from his bank account after the events, which in the end turned out not to be true. </w:t>
      </w:r>
    </w:p>
    <w:p w14:paraId="05A6F7AF" w14:textId="77777777" w:rsidR="001D3A5D" w:rsidRPr="00524435" w:rsidRDefault="001D3A5D" w:rsidP="0003552D">
      <w:pPr>
        <w:pStyle w:val="ListParagraph"/>
      </w:pPr>
      <w:r w:rsidRPr="00524435">
        <w:t xml:space="preserve">In addition, the Commission considered that the actions carried out in the proceedings at the national level were ineffective and there is no evidence showing that they were designed to be an active, serious, impartial, and effective search for the truth of what happened or to locate the whereabouts or remains of the disappeared person. The Commission observed that during the first months following the disappearance, that is, between January and September 1998, the facts were only known by the military criminal justice system, which, in addition to lacking guarantees of independence and impartiality to hear this type of case, was prosecuting Oscar Iván </w:t>
      </w:r>
      <w:proofErr w:type="spellStart"/>
      <w:r w:rsidRPr="00524435">
        <w:t>Tabares</w:t>
      </w:r>
      <w:proofErr w:type="spellEnd"/>
      <w:r w:rsidRPr="00524435">
        <w:t xml:space="preserve">. On the other hand, when the matter was already in the ordinary jurisdiction, although the victim's mother repeatedly requested the inspection of the place where she alleged to have seen the remains of a military uniform in the area where her son was last seen, the Prosecutor's Office declined to conduct the inspection on a number of occasions, alleging lack of police authorization, public order problems, and lack of resources, among other arguments.  It was only in September 2001, almost three years after the events occurred, that the Prosecutor's Office ordered the local police to carry out the </w:t>
      </w:r>
      <w:proofErr w:type="gramStart"/>
      <w:r w:rsidRPr="00524435">
        <w:t>aforementioned diligence</w:t>
      </w:r>
      <w:proofErr w:type="gramEnd"/>
      <w:r w:rsidRPr="00524435">
        <w:t>, finding pieces of camouflaged cloth and the appearance of holes having been dug.</w:t>
      </w:r>
    </w:p>
    <w:p w14:paraId="71789923" w14:textId="77777777" w:rsidR="001D3A5D" w:rsidRPr="00524435" w:rsidRDefault="001D3A5D" w:rsidP="0003552D">
      <w:pPr>
        <w:pStyle w:val="ListParagraph"/>
      </w:pPr>
      <w:r w:rsidRPr="00524435">
        <w:lastRenderedPageBreak/>
        <w:t xml:space="preserve">The Commission noted that although the Prosecutor's Office had the file on the trial against Oscar Iván </w:t>
      </w:r>
      <w:proofErr w:type="spellStart"/>
      <w:r w:rsidRPr="00524435">
        <w:t>Tabares</w:t>
      </w:r>
      <w:proofErr w:type="spellEnd"/>
      <w:r w:rsidRPr="00524435">
        <w:t xml:space="preserve"> by the military justice system, which was sent to it in 1998, the lines of inquiry that arose from that process were not exhaustively explored, nor were all the soldiers who could have known or been involved in the events summoned to testify in a timely manner. Although the Prosecutor's Office finally decided to open an investigation against the superiors who were in the camp at the time of the events as possible perpetrators of the forced disappearance, the Commission noted that the investigation has not made much progress to date. In view of the foregoing, the Commission concluded that the investigation carried out by the ordinary justice system did not constitute an effective remedy and was not undertaken with due diligence or within a reasonable </w:t>
      </w:r>
      <w:proofErr w:type="gramStart"/>
      <w:r w:rsidRPr="00524435">
        <w:t>period of time</w:t>
      </w:r>
      <w:proofErr w:type="gramEnd"/>
      <w:r w:rsidRPr="00524435">
        <w:t xml:space="preserve">. Finally, the Commission established that the State violated the right to humane treatment to the detriment of the next of kin of </w:t>
      </w:r>
      <w:proofErr w:type="spellStart"/>
      <w:r w:rsidRPr="00524435">
        <w:t>Óscar</w:t>
      </w:r>
      <w:proofErr w:type="spellEnd"/>
      <w:r w:rsidRPr="00524435">
        <w:t xml:space="preserve"> </w:t>
      </w:r>
      <w:proofErr w:type="spellStart"/>
      <w:r w:rsidRPr="00524435">
        <w:t>Tabares</w:t>
      </w:r>
      <w:proofErr w:type="spellEnd"/>
      <w:r w:rsidRPr="00524435">
        <w:t>.</w:t>
      </w:r>
    </w:p>
    <w:p w14:paraId="3A97C622" w14:textId="77777777" w:rsidR="001D3A5D" w:rsidRPr="003F238D" w:rsidRDefault="001D3A5D" w:rsidP="00F275B0">
      <w:pPr>
        <w:pStyle w:val="Style2"/>
        <w:rPr>
          <w:bCs/>
          <w:lang w:val="es-US"/>
        </w:rPr>
      </w:pPr>
      <w:r w:rsidRPr="003F238D">
        <w:rPr>
          <w:lang w:val="es-US"/>
        </w:rPr>
        <w:t xml:space="preserve">Arles Edisson </w:t>
      </w:r>
      <w:proofErr w:type="spellStart"/>
      <w:r w:rsidRPr="003F238D">
        <w:rPr>
          <w:lang w:val="es-US"/>
        </w:rPr>
        <w:t>Guzman</w:t>
      </w:r>
      <w:proofErr w:type="spellEnd"/>
      <w:r w:rsidRPr="003F238D">
        <w:rPr>
          <w:lang w:val="es-US"/>
        </w:rPr>
        <w:t xml:space="preserve"> Medina v. Colombia</w:t>
      </w:r>
    </w:p>
    <w:p w14:paraId="6B98C7E9" w14:textId="31D8ECF9" w:rsidR="001D3A5D" w:rsidRPr="00524435" w:rsidRDefault="001D3A5D" w:rsidP="0003552D">
      <w:pPr>
        <w:pStyle w:val="ListParagraph"/>
      </w:pPr>
      <w:r w:rsidRPr="00524435">
        <w:t xml:space="preserve">The case refers to the disappearance of Arles </w:t>
      </w:r>
      <w:proofErr w:type="spellStart"/>
      <w:r w:rsidRPr="00524435">
        <w:t>Edisson</w:t>
      </w:r>
      <w:proofErr w:type="spellEnd"/>
      <w:r w:rsidRPr="00524435">
        <w:t xml:space="preserve"> Guzmán Medina that occurred in Medellín, Colombia on November 30, 2002. In its Report on the Merits 58/19, the Commission determined that this was a forced disappearance, given that on the indicated date he was taken from a restaurant by two persons identified as paramilitaries, supposedly to answer questions before a commander. As regards direct intervention by State agents or their acquiescence, there is circumstantial evidence proving that the paramilitary groups operated with the acquiescence of State agents, such as the link already established by the IACHR and the Inter-American Court between paramilitary groups and members of the security forces in Colombia, the specific context of collaboration in </w:t>
      </w:r>
      <w:proofErr w:type="spellStart"/>
      <w:r w:rsidRPr="00524435">
        <w:t>Comuna</w:t>
      </w:r>
      <w:proofErr w:type="spellEnd"/>
      <w:r w:rsidRPr="00524435">
        <w:t xml:space="preserve"> 13, where the events occurred, as well as the actions of the prosecutor’s office and State agents in the instant case. Specifically, the Commission </w:t>
      </w:r>
      <w:proofErr w:type="gramStart"/>
      <w:r w:rsidRPr="00524435">
        <w:t>took into account</w:t>
      </w:r>
      <w:proofErr w:type="gramEnd"/>
      <w:r w:rsidRPr="00524435">
        <w:t xml:space="preserve"> that the control of the area by paramilitary groups in that year was made possible precisely by Operation Orion, which was carried out a few weeks before the actions leading to the disappearance of Mr. Guzman Medina. That operation, which took place at the end of October 2002 and included gross human rights violations, was described by national bodies, including judicial authorities involved in the justice and peace jurisdiction, as a clear demonstration of the existence of ties between paramilitary groups and the national army.  Finally, with respect to the refusal to acknowledge the detention, the IACHR noted that, in that context of acquiescence, there is no evidence of the State having taken any steps to provide an answer as to the victim's whereabouts. </w:t>
      </w:r>
    </w:p>
    <w:p w14:paraId="5F3A335F" w14:textId="77777777" w:rsidR="001D3A5D" w:rsidRPr="00524435" w:rsidRDefault="001D3A5D" w:rsidP="0003552D">
      <w:pPr>
        <w:pStyle w:val="ListParagraph"/>
      </w:pPr>
      <w:r w:rsidRPr="00524435">
        <w:t>Consequently, the Commission concluded that the State violated the right to juridical personality, life, personal integrity, and personal liberty upheld in the American Convention, in conjunction with Article 1(1) of the same instrument and Article 1(a) of the Inter-American Convention on Forced Disappearance of Persons.  In addition, the IACHR concluded that the State violated the right to judicial guarantees and judicial protection in conjunction with Articles 1(1) and 2 of the American Convention and Article I(b) of the Inter-American Convention on Forced Disappearance of Persons, due to the lack of diligence in the investigation.  The Commission noted that the investigation was not undertaken ex officio, but only following the complaints filed by the Ombudsperson's Office and the victim's brother.  Nevertheless, neither initial knowledge of the disappearance on December 6, 2002, nor the formal initiation of the first investigation prompted the authorities to activate an immediate search for the victim, despite the indications that it could be a forced disappearance requiring an expeditious and exhaustive response in the first hours after learning of the situation.</w:t>
      </w:r>
    </w:p>
    <w:p w14:paraId="56D1BBEC" w14:textId="77777777" w:rsidR="001D3A5D" w:rsidRPr="00524435" w:rsidRDefault="001D3A5D" w:rsidP="0003552D">
      <w:pPr>
        <w:pStyle w:val="ListParagraph"/>
      </w:pPr>
      <w:r w:rsidRPr="00524435">
        <w:t xml:space="preserve">The Commission noted that, although the complaints filed were eventually consolidated, in November 2004 they were declared suspended without having been diligently investigated and without any lines of inquiry being designed and exhaustively pursued. In addition, although the Commission was apprised of an investigation undertaken with the objective of investigating the participation of paramilitary groups in the disappearance of other persons in </w:t>
      </w:r>
      <w:proofErr w:type="spellStart"/>
      <w:r w:rsidRPr="00524435">
        <w:t>Comuna</w:t>
      </w:r>
      <w:proofErr w:type="spellEnd"/>
      <w:r w:rsidRPr="00524435">
        <w:t xml:space="preserve"> 13, the Commission did not have any information indicating that the victim's case was originally included and, in fact, the State's evidentiary activity in that investigation took place prior to the joinder of the investigation into the disappearance of Mr. Guzman Medina. The Commission took note that the State mentioned that this investigation resulted in the conviction of a person as an indirect perpetrator (</w:t>
      </w:r>
      <w:proofErr w:type="spellStart"/>
      <w:r w:rsidRPr="00524435">
        <w:rPr>
          <w:i/>
          <w:iCs/>
        </w:rPr>
        <w:t>autor</w:t>
      </w:r>
      <w:proofErr w:type="spellEnd"/>
      <w:r w:rsidRPr="00524435">
        <w:rPr>
          <w:i/>
          <w:iCs/>
        </w:rPr>
        <w:t xml:space="preserve"> </w:t>
      </w:r>
      <w:proofErr w:type="spellStart"/>
      <w:r w:rsidRPr="00524435">
        <w:rPr>
          <w:i/>
          <w:iCs/>
        </w:rPr>
        <w:t>mediato</w:t>
      </w:r>
      <w:proofErr w:type="spellEnd"/>
      <w:r w:rsidRPr="00524435">
        <w:t xml:space="preserve">) of the disappearance of the alleged victim; however, it did not have any information indicating that this conviction effectively helped throw light on what happened, nor were other possible liabilities investigated, including those of State authorities. </w:t>
      </w:r>
    </w:p>
    <w:p w14:paraId="4723229A" w14:textId="77777777" w:rsidR="001D3A5D" w:rsidRPr="00524435" w:rsidRDefault="001D3A5D" w:rsidP="0003552D">
      <w:pPr>
        <w:pStyle w:val="ListParagraph"/>
      </w:pPr>
      <w:r w:rsidRPr="00524435">
        <w:lastRenderedPageBreak/>
        <w:t xml:space="preserve">Finally, the Commission concluded that the State has not complied with its obligation to investigate the facts within a reasonable </w:t>
      </w:r>
      <w:proofErr w:type="gramStart"/>
      <w:r w:rsidRPr="00524435">
        <w:t>period of time</w:t>
      </w:r>
      <w:proofErr w:type="gramEnd"/>
      <w:r w:rsidRPr="00524435">
        <w:t xml:space="preserve">, since to date almost 17 years have elapsed, and very few steps have been taken to prosecute all those responsible and to determine the whereabouts of the victim. In addition, the IACHR concluded that the State violated the right to personal integrity of the victim's next of kin, </w:t>
      </w:r>
      <w:proofErr w:type="gramStart"/>
      <w:r w:rsidRPr="00524435">
        <w:t>taking into account</w:t>
      </w:r>
      <w:proofErr w:type="gramEnd"/>
      <w:r w:rsidRPr="00524435">
        <w:t xml:space="preserve"> that forced disappearance generates a deep feeling of pain, anguish, and uncertainty in the victim's next of kin. </w:t>
      </w:r>
    </w:p>
    <w:p w14:paraId="29F34DEE" w14:textId="77777777" w:rsidR="001D3A5D" w:rsidRPr="00524435" w:rsidRDefault="001D3A5D" w:rsidP="0003552D">
      <w:pPr>
        <w:pStyle w:val="ListParagraph"/>
      </w:pPr>
      <w:r w:rsidRPr="00524435">
        <w:t xml:space="preserve">Based on those findings, the Commission concluded that the Republic of Colombia is responsible for violation of the rights to recognition of juridical personality, to life, humane treatment, personal liberty, judicial guarantees, and judicial protection enshrined in Articles 3, 7, 5, 4, 8(1), and 25(1) of the American Convention, in conjunction with Article 1(1) of the same instrument, as well as articles I(a) and I(b) of the Inter-American Convention on Forced Disappearance.  </w:t>
      </w:r>
    </w:p>
    <w:p w14:paraId="76017115" w14:textId="77777777" w:rsidR="001D3A5D" w:rsidRPr="00524435" w:rsidRDefault="001D3A5D" w:rsidP="00F275B0">
      <w:pPr>
        <w:pStyle w:val="Style2"/>
        <w:rPr>
          <w:bCs/>
          <w:lang w:val="en-US"/>
        </w:rPr>
      </w:pPr>
      <w:proofErr w:type="spellStart"/>
      <w:r w:rsidRPr="00524435">
        <w:rPr>
          <w:lang w:val="en-US"/>
        </w:rPr>
        <w:t>Saulo</w:t>
      </w:r>
      <w:proofErr w:type="spellEnd"/>
      <w:r w:rsidRPr="00524435">
        <w:rPr>
          <w:lang w:val="en-US"/>
        </w:rPr>
        <w:t xml:space="preserve"> </w:t>
      </w:r>
      <w:proofErr w:type="spellStart"/>
      <w:r w:rsidRPr="00524435">
        <w:rPr>
          <w:lang w:val="en-US"/>
        </w:rPr>
        <w:t>Arboleda</w:t>
      </w:r>
      <w:proofErr w:type="spellEnd"/>
      <w:r w:rsidRPr="00524435">
        <w:rPr>
          <w:lang w:val="en-US"/>
        </w:rPr>
        <w:t xml:space="preserve"> v. Colombia</w:t>
      </w:r>
    </w:p>
    <w:p w14:paraId="305C39BA" w14:textId="77777777" w:rsidR="001D3A5D" w:rsidRPr="00524435" w:rsidRDefault="001D3A5D" w:rsidP="0003552D">
      <w:pPr>
        <w:pStyle w:val="ListParagraph"/>
      </w:pPr>
      <w:r w:rsidRPr="00524435">
        <w:t xml:space="preserve">On August 17, 1997, several media outlets published the transcript of a non-consensual recording of a conversation between </w:t>
      </w:r>
      <w:proofErr w:type="spellStart"/>
      <w:r w:rsidRPr="00524435">
        <w:t>Saulo</w:t>
      </w:r>
      <w:proofErr w:type="spellEnd"/>
      <w:r w:rsidRPr="00524435">
        <w:t xml:space="preserve"> </w:t>
      </w:r>
      <w:proofErr w:type="spellStart"/>
      <w:r w:rsidRPr="00524435">
        <w:t>Arboleda</w:t>
      </w:r>
      <w:proofErr w:type="spellEnd"/>
      <w:r w:rsidRPr="00524435">
        <w:t xml:space="preserve"> Gómez, who served as Colombia's Minister of Communications, and the then Minister of Mines and Energy, regarding the awarding of a radio station contract. On August 20, </w:t>
      </w:r>
      <w:proofErr w:type="gramStart"/>
      <w:r w:rsidRPr="00524435">
        <w:t>1997</w:t>
      </w:r>
      <w:proofErr w:type="gramEnd"/>
      <w:r w:rsidRPr="00524435">
        <w:t xml:space="preserve"> the Attorney General of the Nation opened a preliminary investigation against both ministers ex officio and on October 21, 1998 an indictment was issued for the "crime of illicit interest in the awarding of contracts". Mr. </w:t>
      </w:r>
      <w:proofErr w:type="spellStart"/>
      <w:r w:rsidRPr="00524435">
        <w:t>Arboleda</w:t>
      </w:r>
      <w:proofErr w:type="spellEnd"/>
      <w:r w:rsidRPr="00524435">
        <w:t xml:space="preserve"> filed an appeal for reconsideration of the indictment, which was rejected on November 17, 1997. </w:t>
      </w:r>
    </w:p>
    <w:p w14:paraId="5D1F5B3A" w14:textId="77777777" w:rsidR="001D3A5D" w:rsidRPr="00524435" w:rsidRDefault="001D3A5D" w:rsidP="0003552D">
      <w:pPr>
        <w:pStyle w:val="ListParagraph"/>
      </w:pPr>
      <w:r w:rsidRPr="00524435">
        <w:t xml:space="preserve">The proceeding was heard by the Criminal Cassation Chamber of the Supreme Court of Justice and culminated on October 25, </w:t>
      </w:r>
      <w:proofErr w:type="gramStart"/>
      <w:r w:rsidRPr="00524435">
        <w:t>2000</w:t>
      </w:r>
      <w:proofErr w:type="gramEnd"/>
      <w:r w:rsidRPr="00524435">
        <w:t xml:space="preserve"> in the conviction of Mr. </w:t>
      </w:r>
      <w:proofErr w:type="spellStart"/>
      <w:r w:rsidRPr="00524435">
        <w:t>Arboleda</w:t>
      </w:r>
      <w:proofErr w:type="spellEnd"/>
      <w:r w:rsidRPr="00524435">
        <w:t xml:space="preserve">, who was sentenced to 54 months in prison and a fine of 15 minimum monthly legal salaries in force at the time. </w:t>
      </w:r>
      <w:proofErr w:type="spellStart"/>
      <w:r w:rsidRPr="00524435">
        <w:t>Saulo</w:t>
      </w:r>
      <w:proofErr w:type="spellEnd"/>
      <w:r w:rsidRPr="00524435">
        <w:t xml:space="preserve"> </w:t>
      </w:r>
      <w:proofErr w:type="spellStart"/>
      <w:r w:rsidRPr="00524435">
        <w:t>Arboleda</w:t>
      </w:r>
      <w:proofErr w:type="spellEnd"/>
      <w:r w:rsidRPr="00524435">
        <w:t xml:space="preserve"> instituted an action for protection (</w:t>
      </w:r>
      <w:proofErr w:type="spellStart"/>
      <w:r w:rsidRPr="00524435">
        <w:rPr>
          <w:i/>
          <w:iCs/>
        </w:rPr>
        <w:t>acción</w:t>
      </w:r>
      <w:proofErr w:type="spellEnd"/>
      <w:r w:rsidRPr="00524435">
        <w:rPr>
          <w:i/>
          <w:iCs/>
        </w:rPr>
        <w:t xml:space="preserve"> de tutela</w:t>
      </w:r>
      <w:r w:rsidRPr="00524435">
        <w:t>) against the sentence and the prosecutor's indictment, alleging that the criminal proceeding violated his right to due process, given that the evidence that had given rise to the investigation, namely, the above-mentioned recording, as well as all the evidence derived from it, was unlawful according to the Political Constitution of Colombia. On December 1, 2000, the Disciplinary Jurisdictional Chamber of the Sectional Council of the Judiciary of Cundinamarca rejected the action for protection (</w:t>
      </w:r>
      <w:proofErr w:type="spellStart"/>
      <w:r w:rsidRPr="00524435">
        <w:rPr>
          <w:i/>
          <w:iCs/>
        </w:rPr>
        <w:t>acción</w:t>
      </w:r>
      <w:proofErr w:type="spellEnd"/>
      <w:r w:rsidRPr="00524435">
        <w:rPr>
          <w:i/>
          <w:iCs/>
        </w:rPr>
        <w:t xml:space="preserve"> de tutela</w:t>
      </w:r>
      <w:r w:rsidRPr="00524435">
        <w:t xml:space="preserve">). This last decision was appealed. However, the Disciplinary Jurisdictional Chamber of the Superior Council of the Judiciary upheld the contested judgment. After an appeal for </w:t>
      </w:r>
      <w:r w:rsidRPr="00524435">
        <w:rPr>
          <w:i/>
          <w:iCs/>
        </w:rPr>
        <w:t>tutela</w:t>
      </w:r>
      <w:r w:rsidRPr="00524435">
        <w:t xml:space="preserve"> review filed by the Ombudsperson, the Constitutional Court upheld the decision of February 5, 2001, which became final on May 6, 2002. Additionally, between 2007 and 2017, Mr. </w:t>
      </w:r>
      <w:proofErr w:type="spellStart"/>
      <w:r w:rsidRPr="00524435">
        <w:t>Arboleda</w:t>
      </w:r>
      <w:proofErr w:type="spellEnd"/>
      <w:r w:rsidRPr="00524435">
        <w:t xml:space="preserve"> filed at least five review actions against the October 25, </w:t>
      </w:r>
      <w:proofErr w:type="gramStart"/>
      <w:r w:rsidRPr="00524435">
        <w:t>2000</w:t>
      </w:r>
      <w:proofErr w:type="gramEnd"/>
      <w:r w:rsidRPr="00524435">
        <w:t xml:space="preserve"> judgment, before the same Criminal Cassation Chamber of the Supreme Court, which were rejected.  </w:t>
      </w:r>
    </w:p>
    <w:p w14:paraId="16FBA4ED" w14:textId="77777777" w:rsidR="001D3A5D" w:rsidRPr="00524435" w:rsidRDefault="001D3A5D" w:rsidP="0003552D">
      <w:pPr>
        <w:pStyle w:val="ListParagraph"/>
      </w:pPr>
      <w:r w:rsidRPr="00524435">
        <w:t xml:space="preserve">In its Report on the Merits, the Commission recalled that while States have the obligation to prevent, punish, and act on allegations of corruption, States must act with full respect for human rights, ensuring due process. </w:t>
      </w:r>
    </w:p>
    <w:p w14:paraId="4EF2DE4E" w14:textId="77777777" w:rsidR="001D3A5D" w:rsidRPr="00524435" w:rsidRDefault="001D3A5D" w:rsidP="0003552D">
      <w:pPr>
        <w:pStyle w:val="ListParagraph"/>
      </w:pPr>
      <w:r w:rsidRPr="00524435">
        <w:t xml:space="preserve">The Commission analyzed whether the victim was provided with appropriate guarantees in the criminal proceedings. In that regard, it indicated that regardless of the appeals regime or system adopted by the States Parties and the name given to the means of challenging the conviction, for it to be effective it must constitute an adequate means to seek the correction of an erroneous conviction, which means it must be able to analyze the factual, evidentiary, and legal issues on which the contested judgment is based. </w:t>
      </w:r>
    </w:p>
    <w:p w14:paraId="564737BE" w14:textId="77777777" w:rsidR="001D3A5D" w:rsidRPr="00524435" w:rsidRDefault="001D3A5D" w:rsidP="0003552D">
      <w:pPr>
        <w:pStyle w:val="ListParagraph"/>
      </w:pPr>
      <w:r w:rsidRPr="00524435">
        <w:t xml:space="preserve">In the specific case, the Commission observed that neither of the parties queried the fact that, in accordance with Article 235 of the Political Constitution, the criminal proceeding followed against Mr. </w:t>
      </w:r>
      <w:proofErr w:type="spellStart"/>
      <w:r w:rsidRPr="00524435">
        <w:t>Arboleda</w:t>
      </w:r>
      <w:proofErr w:type="spellEnd"/>
      <w:r w:rsidRPr="00524435">
        <w:t xml:space="preserve"> was heard by the Supreme Court of Justice, in particular the Criminal Cassation Chamber. Accordingly, the IACHR determined that the Colombian State sentenced Mr. </w:t>
      </w:r>
      <w:proofErr w:type="spellStart"/>
      <w:r w:rsidRPr="00524435">
        <w:t>Arboleda</w:t>
      </w:r>
      <w:proofErr w:type="spellEnd"/>
      <w:r w:rsidRPr="00524435">
        <w:t xml:space="preserve"> in a single instance, which is not a procedure compatible with the American Convention.  Nonetheless, the Commission examined the appeals filed by Mr. </w:t>
      </w:r>
      <w:proofErr w:type="spellStart"/>
      <w:r w:rsidRPr="00524435">
        <w:t>Arboleda</w:t>
      </w:r>
      <w:proofErr w:type="spellEnd"/>
      <w:r w:rsidRPr="00524435">
        <w:t xml:space="preserve"> against the judgment issued by the Criminal Cassation Chamber of the Supreme Court to verify whether he had been granted the guarantee established in Article 8(2) of the Convention. </w:t>
      </w:r>
    </w:p>
    <w:p w14:paraId="053252F6" w14:textId="77777777" w:rsidR="001D3A5D" w:rsidRPr="00524435" w:rsidRDefault="001D3A5D" w:rsidP="0003552D">
      <w:pPr>
        <w:pStyle w:val="ListParagraph"/>
      </w:pPr>
      <w:r w:rsidRPr="00524435">
        <w:lastRenderedPageBreak/>
        <w:t xml:space="preserve">In relation to the review actions filed, the Commission stated that, given their exceptional and extraordinary nature, as well as the fact that they were heard by the same body that issued the judgment, they are different from, and pursue a purpose other than, that envisaged in the guarantee of twofold concurrence with a conviction. This is </w:t>
      </w:r>
      <w:proofErr w:type="gramStart"/>
      <w:r w:rsidRPr="00524435">
        <w:t>due to the fact that</w:t>
      </w:r>
      <w:proofErr w:type="gramEnd"/>
      <w:r w:rsidRPr="00524435">
        <w:t xml:space="preserve"> the review procedure only proceeds when the sentence is already final and does not meet the requirement of being a broad appeal since it does not allow for a comprehensive examination of the issues discussed and analyzed by the court that handed down the conviction. </w:t>
      </w:r>
    </w:p>
    <w:p w14:paraId="76A56029" w14:textId="77777777" w:rsidR="001D3A5D" w:rsidRPr="00524435" w:rsidRDefault="001D3A5D" w:rsidP="0003552D">
      <w:pPr>
        <w:pStyle w:val="ListParagraph"/>
      </w:pPr>
      <w:r w:rsidRPr="00524435">
        <w:t xml:space="preserve">Regarding the protection (tutela) action, the Commission established that it did not guarantee a comprehensive review of the appealed judgment where factual, evidentiary, and legal issues could be analyzed before a higher judge or court, highlighting, moreover, the extraordinary nature of the action. The Commission also stressed that, for an effective remedy to exist, it must not only be provided for in law; it must also be capable of establishing whether there has been a violation of human rights and providing the necessary redress. </w:t>
      </w:r>
      <w:proofErr w:type="gramStart"/>
      <w:r w:rsidRPr="00524435">
        <w:t>In light of</w:t>
      </w:r>
      <w:proofErr w:type="gramEnd"/>
      <w:r w:rsidRPr="00524435">
        <w:t xml:space="preserve"> the above, the Commission concluded that Mr. </w:t>
      </w:r>
      <w:proofErr w:type="spellStart"/>
      <w:r w:rsidRPr="00524435">
        <w:t>Arboleda</w:t>
      </w:r>
      <w:proofErr w:type="spellEnd"/>
      <w:r w:rsidRPr="00524435">
        <w:t xml:space="preserve"> did not have at his disposal a remedy that would allow him to guarantee his right to appeal his conviction before a higher judge or court, and that the available remedies were neither adequate nor effective to remedy the alleged violation.</w:t>
      </w:r>
    </w:p>
    <w:p w14:paraId="4166F8F5" w14:textId="77777777" w:rsidR="001D3A5D" w:rsidRPr="00524435" w:rsidRDefault="001D3A5D" w:rsidP="0003552D">
      <w:pPr>
        <w:pStyle w:val="ListParagraph"/>
      </w:pPr>
      <w:r w:rsidRPr="00524435">
        <w:t xml:space="preserve">Based on those findings, the Commission concluded that the State of Colombia is responsible for the violation of the rights established in Articles 8(2)(h) and 25(1) of the American Convention, in conjunction with Articles 1(1) and 2 of the same </w:t>
      </w:r>
      <w:proofErr w:type="gramStart"/>
      <w:r w:rsidRPr="00524435">
        <w:t>instrument</w:t>
      </w:r>
      <w:proofErr w:type="gramEnd"/>
      <w:r w:rsidRPr="00524435">
        <w:t xml:space="preserve">. Finally, in its report on the merits, the IACHR indicated that it did not have sufficient evidence to determine that Mr. </w:t>
      </w:r>
      <w:proofErr w:type="spellStart"/>
      <w:r w:rsidRPr="00524435">
        <w:t>Arboleda's</w:t>
      </w:r>
      <w:proofErr w:type="spellEnd"/>
      <w:r w:rsidRPr="00524435">
        <w:t xml:space="preserve"> right to an independent and impartial judge was impaired.</w:t>
      </w:r>
    </w:p>
    <w:p w14:paraId="2669B6C8" w14:textId="7C5A2EE6" w:rsidR="001D3A5D" w:rsidRPr="003F238D" w:rsidRDefault="001D3A5D" w:rsidP="00F275B0">
      <w:pPr>
        <w:pStyle w:val="Style2"/>
        <w:rPr>
          <w:bCs/>
          <w:lang w:val="es-US"/>
        </w:rPr>
      </w:pPr>
      <w:r w:rsidRPr="003F238D">
        <w:rPr>
          <w:lang w:val="es-US"/>
        </w:rPr>
        <w:t>Luis Fernando Guevara Díaz v. Costa Rica</w:t>
      </w:r>
    </w:p>
    <w:p w14:paraId="4095E016" w14:textId="1814EA72" w:rsidR="001D3A5D" w:rsidRPr="00524435" w:rsidRDefault="001D3A5D" w:rsidP="0003552D">
      <w:pPr>
        <w:pStyle w:val="ListParagraph"/>
      </w:pPr>
      <w:r w:rsidRPr="00524435">
        <w:rPr>
          <w:color w:val="000000" w:themeColor="text1"/>
        </w:rPr>
        <w:t>Luis Fernando Guevara Díaz was appointed on an interim basis at the Ministry of Finance as a</w:t>
      </w:r>
      <w:r w:rsidRPr="00524435">
        <w:t xml:space="preserve"> non-</w:t>
      </w:r>
      <w:r w:rsidR="0007644D" w:rsidRPr="00524435">
        <w:t>specialized</w:t>
      </w:r>
      <w:r w:rsidRPr="00524435">
        <w:t xml:space="preserve"> employee (</w:t>
      </w:r>
      <w:proofErr w:type="spellStart"/>
      <w:r w:rsidRPr="00524435">
        <w:rPr>
          <w:i/>
          <w:iCs/>
        </w:rPr>
        <w:t>trabajador</w:t>
      </w:r>
      <w:proofErr w:type="spellEnd"/>
      <w:r w:rsidRPr="00524435">
        <w:rPr>
          <w:i/>
          <w:iCs/>
        </w:rPr>
        <w:t xml:space="preserve"> </w:t>
      </w:r>
      <w:proofErr w:type="spellStart"/>
      <w:r w:rsidRPr="00524435">
        <w:rPr>
          <w:i/>
          <w:iCs/>
        </w:rPr>
        <w:t>misceláneo</w:t>
      </w:r>
      <w:proofErr w:type="spellEnd"/>
      <w:r w:rsidRPr="00524435">
        <w:t xml:space="preserve">) in June 2001 and subsequently took part in a competition to fill the position on a permanent basis. On June 13, 2003, he was notified that he had not been selected, so that his interim position would cease on June 16, 2003. Mr. Guevara indicated that this was due to a Ministry of Finance report recommending that he should not be hired because of "his retardation and emotional block issues." The State, for its part, alleged that the report was not taken into account in the selection process and that, although the victim was part of the short list of candidates, according to the law, the authority is </w:t>
      </w:r>
      <w:proofErr w:type="gramStart"/>
      <w:r w:rsidRPr="00524435">
        <w:t>allowed  to</w:t>
      </w:r>
      <w:proofErr w:type="gramEnd"/>
      <w:r w:rsidRPr="00524435">
        <w:t xml:space="preserve"> select any of the three candidates at its own discretion, regardless of their qualification score. </w:t>
      </w:r>
    </w:p>
    <w:p w14:paraId="50C28621" w14:textId="77777777" w:rsidR="001D3A5D" w:rsidRPr="00524435" w:rsidRDefault="001D3A5D" w:rsidP="0003552D">
      <w:pPr>
        <w:pStyle w:val="ListParagraph"/>
      </w:pPr>
      <w:r w:rsidRPr="00524435">
        <w:t xml:space="preserve">The appeal </w:t>
      </w:r>
      <w:r w:rsidRPr="00524435">
        <w:rPr>
          <w:color w:val="000000"/>
          <w:bdr w:val="nil"/>
        </w:rPr>
        <w:t xml:space="preserve">filed by </w:t>
      </w:r>
      <w:r w:rsidRPr="00524435">
        <w:t>Mr. Guevara</w:t>
      </w:r>
      <w:r w:rsidRPr="00524435">
        <w:rPr>
          <w:color w:val="000000"/>
          <w:bdr w:val="nil"/>
        </w:rPr>
        <w:t xml:space="preserve"> against the termination decision was denied on the grounds that there were no omissions or irregularities in the procedure that would indicate unequal treatment</w:t>
      </w:r>
      <w:r w:rsidRPr="00524435">
        <w:t>.</w:t>
      </w:r>
      <w:r w:rsidRPr="00524435">
        <w:rPr>
          <w:color w:val="000000"/>
          <w:bdr w:val="nil"/>
        </w:rPr>
        <w:t xml:space="preserve"> In addition, in an amparo proceeding, the Constitutional Chamber of the Supreme Court of Justice dismissed the appeal on the grounds that it was not for it to analyze the legality of the case, given that it involved the exercise of discretionary powers, and that the victim had participated in the competition on the same terms as the other applicants. Although the victim subsequently obtained a favorable decision in an appeal for revocation before the General Labor Inspectorate, that ruling was finally dismissed following the decision issued by the Constitutional Chamber of the Supreme Court of Justice. </w:t>
      </w:r>
    </w:p>
    <w:p w14:paraId="51A08D88" w14:textId="77777777" w:rsidR="001D3A5D" w:rsidRPr="00524435" w:rsidRDefault="001D3A5D" w:rsidP="0003552D">
      <w:pPr>
        <w:pStyle w:val="ListParagraph"/>
      </w:pPr>
      <w:r w:rsidRPr="00524435">
        <w:t xml:space="preserve">In its Report on the Merits, the IACHR analyzed whether, irrespective of the discretionary power invoked by the State, there are grounds to consider that the real reason why the victim was not selected was his condition as a person with an intellectual disability. It did so </w:t>
      </w:r>
      <w:proofErr w:type="gramStart"/>
      <w:r w:rsidRPr="00524435">
        <w:t>in light of</w:t>
      </w:r>
      <w:proofErr w:type="gramEnd"/>
      <w:r w:rsidRPr="00524435">
        <w:t xml:space="preserve"> the presumption of discrimination that applies when the difference in treatment is based on one of the categories established in Article 1(1) of the American Convention, such as disability. </w:t>
      </w:r>
    </w:p>
    <w:p w14:paraId="176289AD" w14:textId="77777777" w:rsidR="001D3A5D" w:rsidRPr="00524435" w:rsidRDefault="001D3A5D" w:rsidP="0003552D">
      <w:pPr>
        <w:pStyle w:val="ListParagraph"/>
      </w:pPr>
      <w:r w:rsidRPr="00524435">
        <w:rPr>
          <w:color w:val="000000"/>
          <w:bdr w:val="nil"/>
        </w:rPr>
        <w:t xml:space="preserve">The Commission observed that the State did not provide a detailed and precise response to rebut the presumption of discrimination and considered that the mere invocation of discretionary powers, without further explanation, reinforces the indications of discrimination. It considered that the lack of an adequate response from the State, as well as various elements that emerge from the file taken as a whole, lead to the conclusion that the decision not to hire the victim was based on his condition as a person with intellectual disability. </w:t>
      </w:r>
      <w:proofErr w:type="gramStart"/>
      <w:r w:rsidRPr="00524435">
        <w:rPr>
          <w:color w:val="000000"/>
          <w:bdr w:val="nil"/>
        </w:rPr>
        <w:t>Taking into account</w:t>
      </w:r>
      <w:proofErr w:type="gramEnd"/>
      <w:r w:rsidRPr="00524435">
        <w:rPr>
          <w:color w:val="000000"/>
          <w:bdr w:val="nil"/>
        </w:rPr>
        <w:t xml:space="preserve"> that this was a case of disguised discrimination, the IACHR considered that it </w:t>
      </w:r>
      <w:r w:rsidRPr="00524435">
        <w:rPr>
          <w:color w:val="000000"/>
          <w:bdr w:val="nil"/>
        </w:rPr>
        <w:lastRenderedPageBreak/>
        <w:t xml:space="preserve">was not called upon to analyze the reasonableness or proportionality of the distinction in treatment, since the mere fact of its being disguised proves that it was an arbitrary restriction. </w:t>
      </w:r>
    </w:p>
    <w:p w14:paraId="3A488192" w14:textId="77777777" w:rsidR="001D3A5D" w:rsidRPr="00524435" w:rsidRDefault="001D3A5D" w:rsidP="0003552D">
      <w:pPr>
        <w:pStyle w:val="ListParagraph"/>
      </w:pPr>
      <w:r w:rsidRPr="00524435">
        <w:rPr>
          <w:color w:val="000000"/>
          <w:bdr w:val="nil"/>
        </w:rPr>
        <w:t xml:space="preserve">In addition, the Commission considered that in the instant case, it was vital to examine the grounds for the decisions taken, since they involved a person with special protection due to his situation of vulnerability. In this regard, it considered that, in cases such as this, the motivation needs to be examined more closely and that review should include at least the following components: 1) a substantive analysis of the allegation of discrimination that goes beyond ratifying the authority's discretionary powers and is enough to rebut the presumption of arbitrary difference in treatment that applies in cases of disability; 2) if it is proven that the disability was the reason for discrimination, an evaluation of whether the disability would be incompatible with the essential functions of the position, even if reasonable accommodations were made; 3) a substantive analysis of compliance with the principle of material equality or the State's duty to proactively adopt positive measures to guarantee access to and stability in the workplace for persons with disabilities; and 4) an analysis of whether the State made even minimal efforts to relocate the victim in another position suitable to his or her condition. </w:t>
      </w:r>
    </w:p>
    <w:p w14:paraId="0A9FA212" w14:textId="6BC7FABB" w:rsidR="001D3A5D" w:rsidRPr="00524435" w:rsidRDefault="001D3A5D" w:rsidP="0003552D">
      <w:pPr>
        <w:pStyle w:val="ListParagraph"/>
      </w:pPr>
      <w:r w:rsidRPr="00524435">
        <w:rPr>
          <w:color w:val="000000"/>
          <w:bdr w:val="nil"/>
        </w:rPr>
        <w:t xml:space="preserve">The Commission concluded that the authorities that denied the appeals for revocation and amparo did not adequately substantiate their decisions, since they limited themselves to indicating that the victim participated on equal terms in the competition for the job: a claim that, on the one hand, does not match the available evidence and, on the other, is not sufficient since, in cases such as this, States are duty-bound to adopt positive measures to guarantee access and stability in the workplace for persons with disabilities. Likewise, the Commission considered that the response in the amparo proceeding violated the right to judicial protection, since it did not grant the victim a substantive review of his allegation of </w:t>
      </w:r>
      <w:r w:rsidR="00164510" w:rsidRPr="00524435">
        <w:rPr>
          <w:color w:val="000000"/>
          <w:bdr w:val="nil"/>
        </w:rPr>
        <w:t>discrimination and</w:t>
      </w:r>
      <w:r w:rsidRPr="00524435">
        <w:rPr>
          <w:color w:val="000000"/>
          <w:bdr w:val="nil"/>
        </w:rPr>
        <w:t xml:space="preserve"> limited itself to merely ratifying the existence of discretionary powers.</w:t>
      </w:r>
    </w:p>
    <w:p w14:paraId="291952D3" w14:textId="77777777" w:rsidR="001D3A5D" w:rsidRPr="00524435" w:rsidRDefault="001D3A5D" w:rsidP="00F275B0">
      <w:pPr>
        <w:pStyle w:val="Style2"/>
        <w:rPr>
          <w:bCs/>
          <w:lang w:val="en-US"/>
        </w:rPr>
      </w:pPr>
      <w:r w:rsidRPr="00524435">
        <w:rPr>
          <w:lang w:val="en-US"/>
        </w:rPr>
        <w:t>Thomas Scot Cochran v. Costa Rica</w:t>
      </w:r>
    </w:p>
    <w:p w14:paraId="4B8B2AAA" w14:textId="77777777" w:rsidR="001D3A5D" w:rsidRPr="00524435" w:rsidRDefault="001D3A5D" w:rsidP="0003552D">
      <w:pPr>
        <w:pStyle w:val="ListParagraph"/>
      </w:pPr>
      <w:r w:rsidRPr="00524435">
        <w:t xml:space="preserve">This case </w:t>
      </w:r>
      <w:r w:rsidRPr="00524435">
        <w:rPr>
          <w:color w:val="000000" w:themeColor="text1"/>
        </w:rPr>
        <w:t xml:space="preserve">has to do with </w:t>
      </w:r>
      <w:r w:rsidRPr="00524435">
        <w:t>the international responsibility of the State for violating</w:t>
      </w:r>
      <w:r w:rsidRPr="00524435">
        <w:rPr>
          <w:color w:val="000000" w:themeColor="text1"/>
        </w:rPr>
        <w:t xml:space="preserve"> the right to information regarding consular assistance </w:t>
      </w:r>
      <w:r w:rsidRPr="00524435">
        <w:t xml:space="preserve">of Thomas Scot Cochran in connection with the criminal proceedings against him.  Mr. Cochran was arrested at his home in the city of San José on January 20, </w:t>
      </w:r>
      <w:proofErr w:type="gramStart"/>
      <w:r w:rsidRPr="00524435">
        <w:t>2003</w:t>
      </w:r>
      <w:proofErr w:type="gramEnd"/>
      <w:r w:rsidRPr="00524435">
        <w:t xml:space="preserve"> and that same day the Extraordinary Criminal Court of San José ordered his preventive detention for six months, a measure that was extended four times. On August 17, 2004, Mr. Cochran was convicted of the crimes of supplying narcotics to minors, manufacturing or producing pornography, disseminating pornography, and paying for sexual relations with minors, and sentenced to 45 years in prison. The defense filed a cassation appeal, which was dismissed by the Third Chamber of the Supreme Court of Justice on February 28, 2005. Subsequently, the defense filed three appeals for review, which were dismissed.</w:t>
      </w:r>
    </w:p>
    <w:p w14:paraId="34F09692" w14:textId="77777777" w:rsidR="001D3A5D" w:rsidRPr="00524435" w:rsidRDefault="001D3A5D" w:rsidP="0003552D">
      <w:pPr>
        <w:pStyle w:val="ListParagraph"/>
      </w:pPr>
      <w:r w:rsidRPr="00524435">
        <w:t xml:space="preserve">In its Admissibility and Merits Report, the Commission analyzed the arguments presented by Mr. Cochran regarding the inviolability of the home, judicial guarantees, personal liberty, and the right to appeal the conviction handed down against him before a higher judge or court. </w:t>
      </w:r>
    </w:p>
    <w:p w14:paraId="0CCD3E93" w14:textId="77777777" w:rsidR="001D3A5D" w:rsidRPr="00524435" w:rsidRDefault="001D3A5D" w:rsidP="0003552D">
      <w:pPr>
        <w:pStyle w:val="ListParagraph"/>
      </w:pPr>
      <w:r w:rsidRPr="00524435">
        <w:t xml:space="preserve">Regarding the first argument, the Commission noted that the controversy lies in the fact that, according to the petitioner, the procedure was carried out on a date and at a time other than that provided for in the court order. Based on the available documentation, the Commission verified that the search of Mr. Cochran's home that culminated in his arrest took place on the day and time authorized by the judge in the case. In addition, it considered that there are no grounds for maintaining that the search was illegal or arbitrary. Therefore, the Commission did not find that a violation of the right not to be subjected to arbitrary or abusive interference with one's home had been established.  </w:t>
      </w:r>
    </w:p>
    <w:p w14:paraId="38E65795" w14:textId="36D8C289" w:rsidR="001D3A5D" w:rsidRPr="00524435" w:rsidRDefault="001D3A5D" w:rsidP="0003552D">
      <w:pPr>
        <w:pStyle w:val="ListParagraph"/>
      </w:pPr>
      <w:r w:rsidRPr="00524435">
        <w:t xml:space="preserve">Separately, the IACHR analyzed the dispute as to whether the officials who proceeded to arrest Mr. Cochran </w:t>
      </w:r>
      <w:proofErr w:type="spellStart"/>
      <w:r w:rsidR="002B0ECE" w:rsidRPr="00524435">
        <w:t>Report</w:t>
      </w:r>
      <w:r w:rsidRPr="00524435">
        <w:t>d</w:t>
      </w:r>
      <w:proofErr w:type="spellEnd"/>
      <w:r w:rsidRPr="00524435">
        <w:t xml:space="preserve"> him of his right, as a foreign citizen, to information on consular </w:t>
      </w:r>
      <w:r w:rsidR="00164510" w:rsidRPr="00524435">
        <w:t>assistance.</w:t>
      </w:r>
      <w:r w:rsidRPr="00524435">
        <w:t xml:space="preserve"> The Commission found, first, that at the time of his arrest Mr. Cochran was a citizen of the United States of America. Likewise, the Court found that, the day after the arrest, the Criminal Judge on Duty sent a letter to the Embassy of the United States of America in Costa Rica, notifying it of his decision to issue a preventive detention measure </w:t>
      </w:r>
      <w:r w:rsidRPr="00524435">
        <w:lastRenderedPageBreak/>
        <w:t xml:space="preserve">for a term of six months against Mr. Cochran. The IACHR’s understanding was that such notification is not sufficient to guarantee the right to information on consular assistance. This is because this right, according to Inter-American standards, implies the right of the arrested foreigner to be </w:t>
      </w:r>
      <w:proofErr w:type="spellStart"/>
      <w:r w:rsidR="002B0ECE" w:rsidRPr="00524435">
        <w:t>Report</w:t>
      </w:r>
      <w:r w:rsidRPr="00524435">
        <w:t>d</w:t>
      </w:r>
      <w:proofErr w:type="spellEnd"/>
      <w:r w:rsidRPr="00524435">
        <w:t xml:space="preserve"> without delay that he/she has the right to request consular services from his/her State of origin. </w:t>
      </w:r>
    </w:p>
    <w:p w14:paraId="77BAC239" w14:textId="77777777" w:rsidR="001D3A5D" w:rsidRPr="00524435" w:rsidRDefault="001D3A5D" w:rsidP="0003552D">
      <w:pPr>
        <w:pStyle w:val="ListParagraph"/>
      </w:pPr>
      <w:r w:rsidRPr="00524435">
        <w:t xml:space="preserve">From the reading of the case file, the Commission noted that there is no record that, at the beginning of the criminal proceedings or subsequently, the Costa Rican judicial authorities proceeded to inform Mr. Cochran of his right to information on consular assistance. Nor did the State present evidence in that regard during international processing of the case. Consequently, the IACHR concluded that the State was responsible for violating Articles 7.4, and 8.2 of the American Convention on Human Rights in conjunction with Article 1(1) thereof. </w:t>
      </w:r>
    </w:p>
    <w:p w14:paraId="52B9EF67" w14:textId="77777777" w:rsidR="001D3A5D" w:rsidRPr="00524435" w:rsidRDefault="001D3A5D" w:rsidP="0003552D">
      <w:pPr>
        <w:pStyle w:val="ListParagraph"/>
      </w:pPr>
      <w:r w:rsidRPr="00524435">
        <w:t xml:space="preserve">Regarding the alleged violation of the right to individual liberty due to the imposition of pretrial detention, the Commission observed that both the first order and its successive extensions contain a reasoned and objective legal basis for it that accredits its necessity in accordance with national procedural law and Inter-American standards. The IACHR emphasized that the judge based his decision on the existence of procedural dangers of flight and obstruction of the proceedings. Consequently, it concluded that it was not proven that the preventive detention measure was contrary to the American Convention. </w:t>
      </w:r>
    </w:p>
    <w:p w14:paraId="4222356F" w14:textId="77777777" w:rsidR="001D3A5D" w:rsidRPr="00524435" w:rsidRDefault="001D3A5D" w:rsidP="0003552D">
      <w:pPr>
        <w:pStyle w:val="ListParagraph"/>
      </w:pPr>
      <w:r w:rsidRPr="00524435">
        <w:t xml:space="preserve">The Commission also analyzed the controversy surrounding the intervention, during the pretrial phase, of one of the judges who later served on the trial court. After analyzing whether, in deciding to impose the precautionary measure, the authority had pre-emptively assumed criminal liability, the Commission determined that it is not possible to corroborate that Mr. Cochran's right to be heard by an impartial judge was violated. In this regard, it noted that in the pre-trial detention order, the judge limited himself to considering that there was a probability - and not certainty - that Mr. Cochran was responsible for the crimes for which he was accused. In addition, it noted that the sentence was handed down unanimously by the three members of the Criminal Trial Court. </w:t>
      </w:r>
    </w:p>
    <w:p w14:paraId="3568B632" w14:textId="77777777" w:rsidR="001D3A5D" w:rsidRPr="00524435" w:rsidRDefault="001D3A5D" w:rsidP="0003552D">
      <w:pPr>
        <w:pStyle w:val="ListParagraph"/>
      </w:pPr>
      <w:r w:rsidRPr="00524435">
        <w:t xml:space="preserve">Finally, the IACHR concluded that, </w:t>
      </w:r>
      <w:proofErr w:type="gramStart"/>
      <w:r w:rsidRPr="00524435">
        <w:t>in light of</w:t>
      </w:r>
      <w:proofErr w:type="gramEnd"/>
      <w:r w:rsidRPr="00524435">
        <w:t xml:space="preserve"> the decision of the Inter-American Court in the </w:t>
      </w:r>
      <w:r w:rsidRPr="00524435">
        <w:rPr>
          <w:i/>
        </w:rPr>
        <w:t xml:space="preserve">Case of </w:t>
      </w:r>
      <w:proofErr w:type="spellStart"/>
      <w:r w:rsidRPr="00524435">
        <w:rPr>
          <w:i/>
        </w:rPr>
        <w:t>Amrhein</w:t>
      </w:r>
      <w:proofErr w:type="spellEnd"/>
      <w:r w:rsidRPr="00524435">
        <w:rPr>
          <w:i/>
        </w:rPr>
        <w:t xml:space="preserve"> et al. v. Costa Rica</w:t>
      </w:r>
      <w:r w:rsidRPr="00524435">
        <w:t xml:space="preserve">, the State of Costa Rica is not responsible for the violation of the right to obtain a full review of the conviction enshrined in Article 8(2)(h) of the American Convention. The Commission found that, in analyzing the cassation appeal, the Third Chamber reexamined the evidentiary assessment made by the court </w:t>
      </w:r>
      <w:r w:rsidRPr="00524435">
        <w:rPr>
          <w:i/>
        </w:rPr>
        <w:t>a quo</w:t>
      </w:r>
      <w:r w:rsidRPr="00524435">
        <w:t xml:space="preserve"> and reviewed the </w:t>
      </w:r>
      <w:proofErr w:type="gramStart"/>
      <w:r w:rsidRPr="00524435">
        <w:t>manner in which</w:t>
      </w:r>
      <w:proofErr w:type="gramEnd"/>
      <w:r w:rsidRPr="00524435">
        <w:t xml:space="preserve"> it interpreted and applied substantive criminal law. At the same time, the IACHR noted that the motion for review was an opportunity for Mr. Cochran to raise various grievances related to issues of fact and evidence, as well as to the application of substantive criminal law. </w:t>
      </w:r>
    </w:p>
    <w:p w14:paraId="0D2271F6" w14:textId="77777777" w:rsidR="001D3A5D" w:rsidRPr="00524435" w:rsidRDefault="001D3A5D" w:rsidP="0003552D">
      <w:pPr>
        <w:pStyle w:val="ListParagraph"/>
      </w:pPr>
      <w:r w:rsidRPr="00524435">
        <w:t xml:space="preserve">Based on the above, the Inter-American Commission concluded that the State of Costa Rica is responsible for violation of the right to information regarding consular assistance upheld in Articles 7.4 and 8.2 of the American Convention taken in conjunction with Article 1.1 of that instrument. </w:t>
      </w:r>
    </w:p>
    <w:p w14:paraId="7D7A9D04" w14:textId="77777777" w:rsidR="001D3A5D" w:rsidRPr="00524435" w:rsidRDefault="001D3A5D" w:rsidP="00F275B0">
      <w:pPr>
        <w:pStyle w:val="Style2"/>
        <w:rPr>
          <w:bCs/>
          <w:lang w:val="en-US"/>
        </w:rPr>
      </w:pPr>
      <w:r w:rsidRPr="00524435">
        <w:rPr>
          <w:lang w:val="en-US"/>
        </w:rPr>
        <w:t xml:space="preserve">Carlos Julio </w:t>
      </w:r>
      <w:proofErr w:type="spellStart"/>
      <w:r w:rsidRPr="00524435">
        <w:rPr>
          <w:lang w:val="en-US"/>
        </w:rPr>
        <w:t>Aguinaga</w:t>
      </w:r>
      <w:proofErr w:type="spellEnd"/>
      <w:r w:rsidRPr="00524435">
        <w:rPr>
          <w:lang w:val="en-US"/>
        </w:rPr>
        <w:t xml:space="preserve"> </w:t>
      </w:r>
      <w:proofErr w:type="spellStart"/>
      <w:r w:rsidRPr="00524435">
        <w:rPr>
          <w:lang w:val="en-US"/>
        </w:rPr>
        <w:t>Aillón</w:t>
      </w:r>
      <w:proofErr w:type="spellEnd"/>
    </w:p>
    <w:p w14:paraId="63E69A90" w14:textId="77777777" w:rsidR="001D3A5D" w:rsidRPr="00524435" w:rsidRDefault="001D3A5D" w:rsidP="0003552D">
      <w:pPr>
        <w:pStyle w:val="ListParagraph"/>
      </w:pPr>
      <w:r w:rsidRPr="00524435">
        <w:t xml:space="preserve">This case is </w:t>
      </w:r>
      <w:r w:rsidRPr="00524435">
        <w:rPr>
          <w:color w:val="000000" w:themeColor="text1"/>
        </w:rPr>
        <w:t xml:space="preserve">related to </w:t>
      </w:r>
      <w:r w:rsidRPr="00524435">
        <w:t xml:space="preserve">a series of violations in connection with the disciplinary process conducted by the Congress of the Republic of Ecuador, which culminated in the removal of Carlos Julio </w:t>
      </w:r>
      <w:proofErr w:type="spellStart"/>
      <w:r w:rsidRPr="00524435">
        <w:t>Aguinaga</w:t>
      </w:r>
      <w:proofErr w:type="spellEnd"/>
      <w:r w:rsidRPr="00524435">
        <w:t xml:space="preserve"> </w:t>
      </w:r>
      <w:proofErr w:type="spellStart"/>
      <w:r w:rsidRPr="00524435">
        <w:t>Aillón</w:t>
      </w:r>
      <w:proofErr w:type="spellEnd"/>
      <w:r w:rsidRPr="00524435">
        <w:t xml:space="preserve"> as a member of that country’s Supreme Electoral Tribunal. In its Report on the Merits, the Inter-American Commission determined that the State violated the right to have a competent authority designated through previously established procedures, the principle of legality, and the principle of judicial independence. It reached that conclusion given that the victim was removed from office by means of an </w:t>
      </w:r>
      <w:r w:rsidRPr="00524435">
        <w:rPr>
          <w:i/>
        </w:rPr>
        <w:t>ad hoc</w:t>
      </w:r>
      <w:r w:rsidRPr="00524435">
        <w:t xml:space="preserve"> mechanism not provided for by the Constitution or the law, and without </w:t>
      </w:r>
      <w:proofErr w:type="gramStart"/>
      <w:r w:rsidRPr="00524435">
        <w:t>taking into account</w:t>
      </w:r>
      <w:proofErr w:type="gramEnd"/>
      <w:r w:rsidRPr="00524435">
        <w:t xml:space="preserve"> previously foreseen grounds, based on the argument that he had been illegally elected, in a context in which it can be inferred that the removal from office was a disguised de facto sanction. </w:t>
      </w:r>
    </w:p>
    <w:p w14:paraId="20C466BF" w14:textId="77777777" w:rsidR="001D3A5D" w:rsidRPr="00524435" w:rsidRDefault="001D3A5D" w:rsidP="0003552D">
      <w:pPr>
        <w:pStyle w:val="ListParagraph"/>
      </w:pPr>
      <w:r w:rsidRPr="00524435">
        <w:lastRenderedPageBreak/>
        <w:t xml:space="preserve">Likewise, the Commission concluded that the State violated the victim’s right to know in advance and in detail the accusation against him and to have adequate time and means for defense, given that there is no evidence that the State notified the victim of the initiation of a proceeding that could end with his dismissal, nor that it granted him any possibility of being heard and of formulating a defense prior to his removal from office. Finally, the Commission concluded that the State violated the right to appeal the decision and the right to judicial protection, since the victim did not have any mechanism to challenge the decision given that the termination procedure was not provided for by law and therefore there was no remedy through which to challenge the decision. In addition, the IACHR </w:t>
      </w:r>
      <w:proofErr w:type="gramStart"/>
      <w:r w:rsidRPr="00524435">
        <w:t>took into account</w:t>
      </w:r>
      <w:proofErr w:type="gramEnd"/>
      <w:r w:rsidRPr="00524435">
        <w:t xml:space="preserve"> the fact that the State issued a resolution to hinder the possibility of filing a writ of amparo against the congressional resolution. </w:t>
      </w:r>
    </w:p>
    <w:p w14:paraId="29A67E76" w14:textId="77777777" w:rsidR="001D3A5D" w:rsidRPr="003F238D" w:rsidRDefault="001D3A5D" w:rsidP="00F275B0">
      <w:pPr>
        <w:pStyle w:val="Style2"/>
        <w:rPr>
          <w:lang w:val="es-US"/>
        </w:rPr>
      </w:pPr>
      <w:r w:rsidRPr="003F238D">
        <w:rPr>
          <w:lang w:val="es-US"/>
        </w:rPr>
        <w:t xml:space="preserve">Walter Gonzalo </w:t>
      </w:r>
      <w:proofErr w:type="spellStart"/>
      <w:r w:rsidRPr="003F238D">
        <w:rPr>
          <w:lang w:val="es-US"/>
        </w:rPr>
        <w:t>Huacón</w:t>
      </w:r>
      <w:proofErr w:type="spellEnd"/>
      <w:r w:rsidRPr="003F238D">
        <w:rPr>
          <w:lang w:val="es-US"/>
        </w:rPr>
        <w:t xml:space="preserve"> </w:t>
      </w:r>
      <w:proofErr w:type="spellStart"/>
      <w:r w:rsidRPr="003F238D">
        <w:rPr>
          <w:lang w:val="es-US"/>
        </w:rPr>
        <w:t>Baidal</w:t>
      </w:r>
      <w:proofErr w:type="spellEnd"/>
      <w:r w:rsidRPr="003F238D">
        <w:rPr>
          <w:lang w:val="es-US"/>
        </w:rPr>
        <w:t xml:space="preserve">, Mercedes Eugenia Salazar Cuevas and </w:t>
      </w:r>
      <w:proofErr w:type="spellStart"/>
      <w:r w:rsidRPr="003F238D">
        <w:rPr>
          <w:lang w:val="es-US"/>
        </w:rPr>
        <w:t>family</w:t>
      </w:r>
      <w:proofErr w:type="spellEnd"/>
      <w:r w:rsidRPr="003F238D">
        <w:rPr>
          <w:lang w:val="es-US"/>
        </w:rPr>
        <w:t xml:space="preserve"> v. Ecuador</w:t>
      </w:r>
    </w:p>
    <w:p w14:paraId="1B822635" w14:textId="77777777" w:rsidR="001D3A5D" w:rsidRPr="00524435" w:rsidRDefault="001D3A5D" w:rsidP="0003552D">
      <w:pPr>
        <w:pStyle w:val="ListParagraph"/>
      </w:pPr>
      <w:r w:rsidRPr="00524435">
        <w:t xml:space="preserve">This case </w:t>
      </w:r>
      <w:r w:rsidRPr="00524435">
        <w:rPr>
          <w:color w:val="000000" w:themeColor="text1"/>
        </w:rPr>
        <w:t xml:space="preserve">has to do with the extrajudicial execution of Walter Gonzalo </w:t>
      </w:r>
      <w:proofErr w:type="spellStart"/>
      <w:r w:rsidRPr="00524435">
        <w:rPr>
          <w:color w:val="000000" w:themeColor="text1"/>
        </w:rPr>
        <w:t>Huacón</w:t>
      </w:r>
      <w:proofErr w:type="spellEnd"/>
      <w:r w:rsidRPr="00524435">
        <w:rPr>
          <w:color w:val="000000" w:themeColor="text1"/>
        </w:rPr>
        <w:t xml:space="preserve"> </w:t>
      </w:r>
      <w:proofErr w:type="spellStart"/>
      <w:r w:rsidRPr="00524435">
        <w:rPr>
          <w:color w:val="000000" w:themeColor="text1"/>
        </w:rPr>
        <w:t>Baidal</w:t>
      </w:r>
      <w:proofErr w:type="spellEnd"/>
      <w:r w:rsidRPr="00524435">
        <w:rPr>
          <w:color w:val="000000" w:themeColor="text1"/>
        </w:rPr>
        <w:t xml:space="preserve"> and Mercedes Eugenia Salazar Cueva by state agents in March 1997, </w:t>
      </w:r>
      <w:r w:rsidRPr="00524435">
        <w:t>as well as the impunity still surrounding the case.</w:t>
      </w:r>
    </w:p>
    <w:p w14:paraId="6B008802" w14:textId="016094AC" w:rsidR="001D3A5D" w:rsidRPr="00524435" w:rsidRDefault="001D3A5D" w:rsidP="0003552D">
      <w:pPr>
        <w:pStyle w:val="ListParagraph"/>
      </w:pPr>
      <w:r w:rsidRPr="00524435">
        <w:t xml:space="preserve">In its Report on the Merits, the Commission considered that the use of lethal force employed by the police officers was unjustified, unnecessary, disproportionate, and lacked a legitimate purpose, and therefore constituted extrajudicial executions. It also established that no party disputes the fact that the investigations were conducted under the criminal jurisdiction of the police, in which two police officers were acquitted. Given that the facts concern human rights violations, particularly the rights to life and humane treatment, the Commission stressed that the acts committed cannot be considered offenses committed in the line of duty and, therefore the investigation should have been carried out in the regular jurisdiction. It therefore concluded that the application of police criminal justice to the present case violated the right to a competent, independent, and impartial authority, as well as the right to an adequate and effective judicial remedy. The Commission also considered that the State did not demonstrate that it had acted with due diligence in the proceedings or within a reasonable </w:t>
      </w:r>
      <w:proofErr w:type="gramStart"/>
      <w:r w:rsidRPr="00524435">
        <w:t>period of time</w:t>
      </w:r>
      <w:proofErr w:type="gramEnd"/>
      <w:r w:rsidRPr="00524435">
        <w:t xml:space="preserve">. It also pointed out that to date the families have not been able to obtain clarification of what happened.  Nor have </w:t>
      </w:r>
      <w:r w:rsidR="0011498A" w:rsidRPr="00524435">
        <w:t>all the</w:t>
      </w:r>
      <w:r w:rsidRPr="00524435">
        <w:t xml:space="preserve"> perpetrators been indicted in the ordinary criminal justice system.  </w:t>
      </w:r>
    </w:p>
    <w:p w14:paraId="0E6E9CE1" w14:textId="79BBB4BF" w:rsidR="001D3A5D" w:rsidRPr="00524435" w:rsidRDefault="001D3A5D" w:rsidP="0003552D">
      <w:pPr>
        <w:pStyle w:val="ListParagraph"/>
      </w:pPr>
      <w:r w:rsidRPr="00524435">
        <w:t xml:space="preserve">The Commission </w:t>
      </w:r>
      <w:r w:rsidR="0011498A" w:rsidRPr="00524435">
        <w:t>also observed</w:t>
      </w:r>
      <w:r w:rsidRPr="00524435">
        <w:t xml:space="preserve"> that, at the time of the events, the victims were being pursued by police. It also indicated that Mr. </w:t>
      </w:r>
      <w:proofErr w:type="spellStart"/>
      <w:r w:rsidRPr="00524435">
        <w:t>Huacón</w:t>
      </w:r>
      <w:proofErr w:type="spellEnd"/>
      <w:r w:rsidRPr="00524435">
        <w:t xml:space="preserve"> was shot in the right leg after being taken out of the vehicle and that he remained alive for a few minutes before being executed. The IACHR considered it reasonable to conclude that this situation generated great anxiety and fear, for which reason the State violated the right to personal integrity to the detriment of the two victims. The Commission also established that the State violated the right to personal integrity of the next of kin.</w:t>
      </w:r>
    </w:p>
    <w:p w14:paraId="448529CC" w14:textId="59026536" w:rsidR="001D3A5D" w:rsidRPr="00524435" w:rsidRDefault="001D3A5D" w:rsidP="0003552D">
      <w:pPr>
        <w:pStyle w:val="ListParagraph"/>
      </w:pPr>
      <w:r w:rsidRPr="00524435">
        <w:t xml:space="preserve">In light of the above, the Commission concluded that the State of Ecuador is responsible for violating the rights established articles 4.1 (right to life); 5.1 (right to personal integrity); 8.1 (judicial guarantees), and 25.1 (judicial protection) of the American </w:t>
      </w:r>
      <w:r w:rsidR="0059075C" w:rsidRPr="00524435">
        <w:t>Convention</w:t>
      </w:r>
      <w:r w:rsidRPr="00524435">
        <w:t xml:space="preserve"> on Human </w:t>
      </w:r>
      <w:r w:rsidR="0059075C" w:rsidRPr="00524435">
        <w:t>R</w:t>
      </w:r>
      <w:r w:rsidRPr="00524435">
        <w:t xml:space="preserve">ights, in conjunction with the obligations established in </w:t>
      </w:r>
      <w:r w:rsidR="0059075C" w:rsidRPr="00524435">
        <w:t>A</w:t>
      </w:r>
      <w:r w:rsidRPr="00524435">
        <w:t xml:space="preserve">rticles 1.1 and 2 of the same </w:t>
      </w:r>
      <w:proofErr w:type="gramStart"/>
      <w:r w:rsidRPr="00524435">
        <w:t>instrument</w:t>
      </w:r>
      <w:proofErr w:type="gramEnd"/>
      <w:r w:rsidRPr="00524435">
        <w:t>.</w:t>
      </w:r>
    </w:p>
    <w:p w14:paraId="43A14A94" w14:textId="77777777" w:rsidR="001D3A5D" w:rsidRPr="00524435" w:rsidRDefault="001D3A5D" w:rsidP="00F275B0">
      <w:pPr>
        <w:pStyle w:val="Style2"/>
        <w:rPr>
          <w:lang w:val="en-US"/>
        </w:rPr>
      </w:pPr>
      <w:r w:rsidRPr="00524435">
        <w:rPr>
          <w:lang w:val="en-US"/>
        </w:rPr>
        <w:t xml:space="preserve">Julio Rogelio </w:t>
      </w:r>
      <w:proofErr w:type="spellStart"/>
      <w:r w:rsidRPr="00524435">
        <w:rPr>
          <w:lang w:val="en-US"/>
        </w:rPr>
        <w:t>Viteri</w:t>
      </w:r>
      <w:proofErr w:type="spellEnd"/>
      <w:r w:rsidRPr="00524435">
        <w:rPr>
          <w:lang w:val="en-US"/>
        </w:rPr>
        <w:t xml:space="preserve"> </w:t>
      </w:r>
      <w:proofErr w:type="spellStart"/>
      <w:r w:rsidRPr="00524435">
        <w:rPr>
          <w:lang w:val="en-US"/>
        </w:rPr>
        <w:t>Ungaretti</w:t>
      </w:r>
      <w:proofErr w:type="spellEnd"/>
      <w:r w:rsidRPr="00524435">
        <w:rPr>
          <w:lang w:val="en-US"/>
        </w:rPr>
        <w:t xml:space="preserve"> and Family v. Ecuador </w:t>
      </w:r>
    </w:p>
    <w:p w14:paraId="0F2C59F7" w14:textId="77777777" w:rsidR="001D3A5D" w:rsidRPr="00524435" w:rsidRDefault="001D3A5D" w:rsidP="0003552D">
      <w:pPr>
        <w:pStyle w:val="ListParagraph"/>
      </w:pPr>
      <w:r w:rsidRPr="00524435">
        <w:rPr>
          <w:color w:val="000000" w:themeColor="text1"/>
        </w:rPr>
        <w:t xml:space="preserve">The case </w:t>
      </w:r>
      <w:r w:rsidRPr="00524435">
        <w:t xml:space="preserve">refers to the reprisals suffered by Julio Rogelio </w:t>
      </w:r>
      <w:proofErr w:type="spellStart"/>
      <w:r w:rsidRPr="00524435">
        <w:t>Viteri</w:t>
      </w:r>
      <w:proofErr w:type="spellEnd"/>
      <w:r w:rsidRPr="00524435">
        <w:t xml:space="preserve"> </w:t>
      </w:r>
      <w:proofErr w:type="spellStart"/>
      <w:r w:rsidRPr="00524435">
        <w:t>Ungaretti</w:t>
      </w:r>
      <w:proofErr w:type="spellEnd"/>
      <w:r w:rsidRPr="00524435">
        <w:t xml:space="preserve">, a member of the Armed Forces and his family, </w:t>
      </w:r>
      <w:proofErr w:type="gramStart"/>
      <w:r w:rsidRPr="00524435">
        <w:t>as a result of</w:t>
      </w:r>
      <w:proofErr w:type="gramEnd"/>
      <w:r w:rsidRPr="00524435">
        <w:t xml:space="preserve"> a complaint he filed in November 2001 regarding serious irregularities in the public administration and acts of corruption within the Armed Forces. The case deals with the structural relationship between freedom of expression and democracy, in particular freedom of expression as a means of denouncing acts of corruption.</w:t>
      </w:r>
    </w:p>
    <w:p w14:paraId="3384071D" w14:textId="77777777" w:rsidR="001D3A5D" w:rsidRPr="00524435" w:rsidRDefault="001D3A5D" w:rsidP="0003552D">
      <w:pPr>
        <w:pStyle w:val="ListParagraph"/>
      </w:pPr>
      <w:r w:rsidRPr="00524435">
        <w:t xml:space="preserve">In its Report on the Merits, the Commission analyzed whether the complaints made by Mr. </w:t>
      </w:r>
      <w:proofErr w:type="spellStart"/>
      <w:r w:rsidRPr="00524435">
        <w:t>Viteri</w:t>
      </w:r>
      <w:proofErr w:type="spellEnd"/>
      <w:r w:rsidRPr="00524435">
        <w:t xml:space="preserve">, in his role as </w:t>
      </w:r>
      <w:r w:rsidRPr="00524435">
        <w:rPr>
          <w:i/>
        </w:rPr>
        <w:t>whistleblower</w:t>
      </w:r>
      <w:r w:rsidRPr="00524435">
        <w:t xml:space="preserve">, are protected by the right to freedom of expression, and whether the actions taken by the State were justified or implied a disproportionate restriction on the right to freedom of expression. </w:t>
      </w:r>
      <w:r w:rsidRPr="00524435">
        <w:lastRenderedPageBreak/>
        <w:t xml:space="preserve">The IACHR also evaluated whether the State violated Mr. </w:t>
      </w:r>
      <w:proofErr w:type="spellStart"/>
      <w:r w:rsidRPr="00524435">
        <w:t>Viteri's</w:t>
      </w:r>
      <w:proofErr w:type="spellEnd"/>
      <w:r w:rsidRPr="00524435">
        <w:t xml:space="preserve"> right to personal liberty by imposing a disciplinary sanction; whether it provided him with judicial guarantees and effective remedies for the protection of his rights; and, finally, the effect that all of this had on his next of kin.</w:t>
      </w:r>
    </w:p>
    <w:p w14:paraId="6B11A7B8" w14:textId="77777777" w:rsidR="001D3A5D" w:rsidRPr="00524435" w:rsidRDefault="001D3A5D" w:rsidP="0003552D">
      <w:pPr>
        <w:pStyle w:val="ListParagraph"/>
      </w:pPr>
      <w:r w:rsidRPr="00524435">
        <w:t xml:space="preserve">With respect to the penalties suffered by Mr. </w:t>
      </w:r>
      <w:proofErr w:type="spellStart"/>
      <w:r w:rsidRPr="00524435">
        <w:t>Viteri</w:t>
      </w:r>
      <w:proofErr w:type="spellEnd"/>
      <w:r w:rsidRPr="00524435">
        <w:t xml:space="preserve"> for expressing and communicating a </w:t>
      </w:r>
      <w:proofErr w:type="gramStart"/>
      <w:r w:rsidRPr="00524435">
        <w:t>complaint, and</w:t>
      </w:r>
      <w:proofErr w:type="gramEnd"/>
      <w:r w:rsidRPr="00524435">
        <w:t xml:space="preserve"> given that they constitute a </w:t>
      </w:r>
      <w:r w:rsidRPr="00524435">
        <w:rPr>
          <w:i/>
        </w:rPr>
        <w:t>subsequent</w:t>
      </w:r>
      <w:r w:rsidRPr="00524435">
        <w:t xml:space="preserve"> restriction that falls within the scope of Article 13(2) of the American Convention, the Commission proceeded to evaluate the legitimacy of the sanctions using the </w:t>
      </w:r>
      <w:r w:rsidRPr="00524435">
        <w:rPr>
          <w:i/>
        </w:rPr>
        <w:t>tripartite test</w:t>
      </w:r>
      <w:r w:rsidRPr="00524435">
        <w:t xml:space="preserve"> applicable in these cases. The Commission concluded that the disciplinary sanction did not meet the requirements of legality, legitimate purpose, necessity, and strict proportionality in a democratic society. </w:t>
      </w:r>
    </w:p>
    <w:p w14:paraId="1F5C22ED" w14:textId="7BC87610" w:rsidR="001D3A5D" w:rsidRPr="00524435" w:rsidRDefault="001D3A5D" w:rsidP="0003552D">
      <w:pPr>
        <w:pStyle w:val="ListParagraph"/>
      </w:pPr>
      <w:r w:rsidRPr="00524435">
        <w:t xml:space="preserve">In relation to the obligation to obtain prior authorization to speak to the press on a matter of grave concern to the public, such as the reporting of corruption with possible effects on the use of public funds, the IACHR concluded that this restriction constitutes the type of censorship that the American Convention expressly prohibits, which affects the individual and collective dimension of the right to freedom of expression.  The Commission also concluded that the violations of the right to freedom of expression in this case were aggravated by the absence in Ecuador of adequate mechanisms for reporting acts of corruption in highly hierarchical organizations, such as the Armed Forces. The Commission also highlighted the role of </w:t>
      </w:r>
      <w:r w:rsidR="006425A6" w:rsidRPr="00524435">
        <w:rPr>
          <w:i/>
        </w:rPr>
        <w:t>whistleblowers</w:t>
      </w:r>
      <w:r w:rsidR="006425A6" w:rsidRPr="00524435">
        <w:t xml:space="preserve"> and</w:t>
      </w:r>
      <w:r w:rsidRPr="00524435">
        <w:t xml:space="preserve"> the duty to protect them from legal, administrative, or labor-related sanctions, provided they have acted in good faith. In this regard, it pointed out that, without a norm that guarantees their rights, labor-related reprisals and acts of harassment that resulted, as in the present case, in the exile of the whistleblower, have a </w:t>
      </w:r>
      <w:r w:rsidRPr="00524435">
        <w:rPr>
          <w:i/>
        </w:rPr>
        <w:t>chilling effect</w:t>
      </w:r>
      <w:r w:rsidRPr="00524435">
        <w:t xml:space="preserve"> on other whistleblowers of acts of corruption.</w:t>
      </w:r>
    </w:p>
    <w:p w14:paraId="2CB492EC" w14:textId="77777777" w:rsidR="001D3A5D" w:rsidRPr="00524435" w:rsidRDefault="001D3A5D" w:rsidP="0003552D">
      <w:pPr>
        <w:pStyle w:val="ListParagraph"/>
      </w:pPr>
      <w:r w:rsidRPr="00524435">
        <w:t xml:space="preserve">On the other hand, the Commission considered it proven that Mr. </w:t>
      </w:r>
      <w:proofErr w:type="spellStart"/>
      <w:r w:rsidRPr="00524435">
        <w:t>Viteri</w:t>
      </w:r>
      <w:proofErr w:type="spellEnd"/>
      <w:r w:rsidRPr="00524435">
        <w:t xml:space="preserve"> had been subjected to various stringent arrests, the most relevant, due to its extension and effects, being one of 15 days, as well as two additional arrests of three and five days each, for having made statements to the press without having requested prior authorization. This happened even though the report of alleged acts of corruption had already been made public. Accordingly, the IACHR concluded that those detentions were unreasonable and disproportionate and, consequently, affected Mr. </w:t>
      </w:r>
      <w:proofErr w:type="spellStart"/>
      <w:r w:rsidRPr="00524435">
        <w:t>Viteri's</w:t>
      </w:r>
      <w:proofErr w:type="spellEnd"/>
      <w:r w:rsidRPr="00524435">
        <w:t xml:space="preserve"> personal liberty. </w:t>
      </w:r>
    </w:p>
    <w:p w14:paraId="267543C0" w14:textId="77777777" w:rsidR="001D3A5D" w:rsidRPr="00524435" w:rsidRDefault="001D3A5D" w:rsidP="0003552D">
      <w:pPr>
        <w:pStyle w:val="ListParagraph"/>
      </w:pPr>
      <w:r w:rsidRPr="00524435">
        <w:t xml:space="preserve">The Commission also noted that the protection measures granted by the State at the request of the IACHR failed to effectively protect Mr. </w:t>
      </w:r>
      <w:proofErr w:type="spellStart"/>
      <w:r w:rsidRPr="00524435">
        <w:t>Viteri</w:t>
      </w:r>
      <w:proofErr w:type="spellEnd"/>
      <w:r w:rsidRPr="00524435">
        <w:t xml:space="preserve"> and his family, given that the surveillance measures continued, which is why they obtained political asylum in the United Kingdom. Based on this, the Commission concluded that the State is responsible for the violation of the right to movement and residence recognized in the American Convention to the detriment of Mr. </w:t>
      </w:r>
      <w:proofErr w:type="spellStart"/>
      <w:r w:rsidRPr="00524435">
        <w:t>Viteri</w:t>
      </w:r>
      <w:proofErr w:type="spellEnd"/>
      <w:r w:rsidRPr="00524435">
        <w:t xml:space="preserve"> and his family. </w:t>
      </w:r>
    </w:p>
    <w:p w14:paraId="7BB4D252" w14:textId="77777777" w:rsidR="001D3A5D" w:rsidRPr="00524435" w:rsidRDefault="001D3A5D" w:rsidP="0003552D">
      <w:pPr>
        <w:pStyle w:val="ListParagraph"/>
      </w:pPr>
      <w:r w:rsidRPr="00524435">
        <w:t xml:space="preserve">The Commission also concluded that the State violated Mr. </w:t>
      </w:r>
      <w:proofErr w:type="spellStart"/>
      <w:r w:rsidRPr="00524435">
        <w:t>Viteri's</w:t>
      </w:r>
      <w:proofErr w:type="spellEnd"/>
      <w:r w:rsidRPr="00524435">
        <w:t xml:space="preserve"> right to judicial protection due to the lack of effectiveness of the </w:t>
      </w:r>
      <w:r w:rsidRPr="00524435">
        <w:rPr>
          <w:i/>
        </w:rPr>
        <w:t>habeas corpus</w:t>
      </w:r>
      <w:r w:rsidRPr="00524435">
        <w:t xml:space="preserve"> appeal filed by the victim, which was rejected </w:t>
      </w:r>
      <w:r w:rsidRPr="00524435">
        <w:rPr>
          <w:i/>
        </w:rPr>
        <w:t xml:space="preserve">in </w:t>
      </w:r>
      <w:proofErr w:type="spellStart"/>
      <w:r w:rsidRPr="00524435">
        <w:rPr>
          <w:i/>
        </w:rPr>
        <w:t>limine</w:t>
      </w:r>
      <w:proofErr w:type="spellEnd"/>
      <w:r w:rsidRPr="00524435">
        <w:t xml:space="preserve"> based on an interpretation of the Constitution according to which it is not admissible in the case of detentions for disciplinary reasons within the Armed Forces.</w:t>
      </w:r>
    </w:p>
    <w:p w14:paraId="62F58F1F" w14:textId="77777777" w:rsidR="001D3A5D" w:rsidRPr="00524435" w:rsidRDefault="001D3A5D" w:rsidP="0003552D">
      <w:pPr>
        <w:pStyle w:val="ListParagraph"/>
      </w:pPr>
      <w:r w:rsidRPr="00524435">
        <w:t xml:space="preserve">Finally, the IACHR declared the State responsible for violation of the right to psychological and moral integrity, to the detriment of Mr. </w:t>
      </w:r>
      <w:proofErr w:type="spellStart"/>
      <w:r w:rsidRPr="00524435">
        <w:t>Viteri</w:t>
      </w:r>
      <w:proofErr w:type="spellEnd"/>
      <w:r w:rsidRPr="00524435">
        <w:t xml:space="preserve"> and his family, due to the suffering and affliction caused by the </w:t>
      </w:r>
      <w:proofErr w:type="gramStart"/>
      <w:r w:rsidRPr="00524435">
        <w:t>aforementioned violations</w:t>
      </w:r>
      <w:proofErr w:type="gramEnd"/>
      <w:r w:rsidRPr="00524435">
        <w:t>.</w:t>
      </w:r>
    </w:p>
    <w:p w14:paraId="01807181" w14:textId="2976D299" w:rsidR="001D3A5D" w:rsidRPr="003F238D" w:rsidRDefault="001D3A5D" w:rsidP="00F275B0">
      <w:pPr>
        <w:pStyle w:val="Style2"/>
        <w:rPr>
          <w:bCs/>
          <w:lang w:val="es-US"/>
        </w:rPr>
      </w:pPr>
      <w:r w:rsidRPr="003F238D">
        <w:rPr>
          <w:lang w:val="es-US"/>
        </w:rPr>
        <w:t>Fredy Marcelo Núñez Naranjo et al v. Ecuador</w:t>
      </w:r>
    </w:p>
    <w:p w14:paraId="378F2227" w14:textId="77777777" w:rsidR="001D3A5D" w:rsidRPr="00524435" w:rsidRDefault="001D3A5D" w:rsidP="0003552D">
      <w:pPr>
        <w:pStyle w:val="ListParagraph"/>
      </w:pPr>
      <w:r w:rsidRPr="00524435">
        <w:t xml:space="preserve">This case refers to the forced disappearance of Fredy </w:t>
      </w:r>
      <w:proofErr w:type="spellStart"/>
      <w:r w:rsidRPr="00524435">
        <w:t>Núñez</w:t>
      </w:r>
      <w:proofErr w:type="spellEnd"/>
      <w:r w:rsidRPr="00524435">
        <w:t xml:space="preserve"> Naranjo. On July 15, 2001, while the victim was in a bar owned by his mother, several drunken individuals entered the bar, causing damages. Mr. </w:t>
      </w:r>
      <w:proofErr w:type="spellStart"/>
      <w:r w:rsidRPr="00524435">
        <w:t>Núñez</w:t>
      </w:r>
      <w:proofErr w:type="spellEnd"/>
      <w:r w:rsidRPr="00524435">
        <w:t xml:space="preserve"> confronted them, </w:t>
      </w:r>
      <w:proofErr w:type="gramStart"/>
      <w:r w:rsidRPr="00524435">
        <w:t>as a result of</w:t>
      </w:r>
      <w:proofErr w:type="gramEnd"/>
      <w:r w:rsidRPr="00524435">
        <w:t xml:space="preserve"> which the police arrived on the scene, and the victim and the other persons were taken to the </w:t>
      </w:r>
      <w:proofErr w:type="spellStart"/>
      <w:r w:rsidRPr="00524435">
        <w:t>Quero</w:t>
      </w:r>
      <w:proofErr w:type="spellEnd"/>
      <w:r w:rsidRPr="00524435">
        <w:t xml:space="preserve"> Canton Police Station. From there he was taken by members of the </w:t>
      </w:r>
      <w:proofErr w:type="spellStart"/>
      <w:r w:rsidRPr="00524435">
        <w:t>Quero</w:t>
      </w:r>
      <w:proofErr w:type="spellEnd"/>
      <w:r w:rsidRPr="00524435">
        <w:t xml:space="preserve"> Canton Campesino Defense Councils (</w:t>
      </w:r>
      <w:r w:rsidRPr="00524435">
        <w:rPr>
          <w:i/>
          <w:iCs/>
        </w:rPr>
        <w:t xml:space="preserve">Juntas del </w:t>
      </w:r>
      <w:proofErr w:type="spellStart"/>
      <w:r w:rsidRPr="00524435">
        <w:rPr>
          <w:i/>
          <w:iCs/>
        </w:rPr>
        <w:t>Campesinado</w:t>
      </w:r>
      <w:proofErr w:type="spellEnd"/>
      <w:r w:rsidRPr="00524435">
        <w:t xml:space="preserve">) to the </w:t>
      </w:r>
      <w:proofErr w:type="spellStart"/>
      <w:r w:rsidRPr="00524435">
        <w:t>Puñachisag</w:t>
      </w:r>
      <w:proofErr w:type="spellEnd"/>
      <w:r w:rsidRPr="00524435">
        <w:t xml:space="preserve"> community and later to the </w:t>
      </w:r>
      <w:proofErr w:type="spellStart"/>
      <w:r w:rsidRPr="00524435">
        <w:t>Shausi</w:t>
      </w:r>
      <w:proofErr w:type="spellEnd"/>
      <w:r w:rsidRPr="00524435">
        <w:t xml:space="preserve"> community, where he was beaten up. He has not been heard of since. </w:t>
      </w:r>
    </w:p>
    <w:p w14:paraId="091E062B" w14:textId="77777777" w:rsidR="001D3A5D" w:rsidRPr="00524435" w:rsidRDefault="001D3A5D" w:rsidP="0003552D">
      <w:pPr>
        <w:pStyle w:val="ListParagraph"/>
      </w:pPr>
      <w:r w:rsidRPr="00524435">
        <w:lastRenderedPageBreak/>
        <w:t xml:space="preserve">In its Report on the Merits, the Commission determined that what happened to Freddy </w:t>
      </w:r>
      <w:proofErr w:type="spellStart"/>
      <w:r w:rsidRPr="00524435">
        <w:t>Núñez</w:t>
      </w:r>
      <w:proofErr w:type="spellEnd"/>
      <w:r w:rsidRPr="00524435">
        <w:t xml:space="preserve"> Naranjo essentially constituted a forced disappearance. Regarding the deprivation of liberty, it considered that no one disputes the detention and subsequent abduction of the victim. As regards the direct intervention or acquiescence of state agents, it established that there is no doubt that members of the Juntas del </w:t>
      </w:r>
      <w:proofErr w:type="spellStart"/>
      <w:r w:rsidRPr="00524435">
        <w:t>Campesinado</w:t>
      </w:r>
      <w:proofErr w:type="spellEnd"/>
      <w:r w:rsidRPr="00524435">
        <w:t xml:space="preserve"> were the ones who took the victim from prison. In that regard, the Commission observed that there is ample evidence that the Juntas del </w:t>
      </w:r>
      <w:proofErr w:type="spellStart"/>
      <w:r w:rsidRPr="00524435">
        <w:t>Campesinado</w:t>
      </w:r>
      <w:proofErr w:type="spellEnd"/>
      <w:r w:rsidRPr="00524435">
        <w:t xml:space="preserve"> acted with the acquiescence of the State. The IACHR noted that national and international organizations have indicated that those Councils have arrogated the functions of public authorities and have been accused of serious human rights violations, prompting calls upon the State to prevent them from becoming paramilitary groups. Moreover, it transpires that state officials rarely responded effectively to complaints about the Councils' activities. Taking those factors into account, the IACHR regarded it as proven that, by the time the victim disappeared, the “Juntas del </w:t>
      </w:r>
      <w:proofErr w:type="spellStart"/>
      <w:r w:rsidRPr="00524435">
        <w:t>Campesinado</w:t>
      </w:r>
      <w:proofErr w:type="spellEnd"/>
      <w:r w:rsidRPr="00524435">
        <w:t xml:space="preserve">” were acting with the full knowledge, tolerance, and acquiescence of the State.  </w:t>
      </w:r>
    </w:p>
    <w:p w14:paraId="5FDF4FF3" w14:textId="77777777" w:rsidR="001D3A5D" w:rsidRPr="00524435" w:rsidRDefault="001D3A5D" w:rsidP="0003552D">
      <w:pPr>
        <w:pStyle w:val="ListParagraph"/>
      </w:pPr>
      <w:r w:rsidRPr="00524435">
        <w:t xml:space="preserve">Regarding the refusal to acknowledge the detention or to reveal the fate or whereabouts of the victim, the Commission considered that the State, through its failure to act diligently, allowed the victim's whereabouts to be covered up. It considered that, </w:t>
      </w:r>
      <w:proofErr w:type="gramStart"/>
      <w:r w:rsidRPr="00524435">
        <w:t>despite the fact that</w:t>
      </w:r>
      <w:proofErr w:type="gramEnd"/>
      <w:r w:rsidRPr="00524435">
        <w:t xml:space="preserve"> members of the Juntas del </w:t>
      </w:r>
      <w:proofErr w:type="spellStart"/>
      <w:r w:rsidRPr="00524435">
        <w:t>Campesinado</w:t>
      </w:r>
      <w:proofErr w:type="spellEnd"/>
      <w:r w:rsidRPr="00524435">
        <w:t xml:space="preserve"> admitted that the victim had been taken to one of their dungeons, the State did not take any steps there or in other places to determine his whereabouts.</w:t>
      </w:r>
    </w:p>
    <w:p w14:paraId="150AFD30" w14:textId="557AF5AA" w:rsidR="001D3A5D" w:rsidRPr="00524435" w:rsidRDefault="001D3A5D" w:rsidP="0003552D">
      <w:pPr>
        <w:pStyle w:val="ListParagraph"/>
      </w:pPr>
      <w:r w:rsidRPr="00524435">
        <w:t xml:space="preserve">The IACHR also concluded that the State violated the rights to judicial guarantees and judicial protection due to its lack of due diligence in the investigation of the facts, as it failed to conduct even minimum procedures to locate the whereabouts of the victim and identify those responsible. In particular, the Commission noted that the State failed to inspect the prison where he was detained and the dungeon to which he was </w:t>
      </w:r>
      <w:r w:rsidR="001C19CE" w:rsidRPr="00524435">
        <w:t>taken and</w:t>
      </w:r>
      <w:r w:rsidRPr="00524435">
        <w:t xml:space="preserve"> failed to prosecute the members of the Juntas who admitted having abducted the victim from the prison. It also pointed out that the criminal proceeding ended in dismissal because the evidence obtained during the investigation stage did not comply with the Organic Law of the Public Prosecutors' Office. </w:t>
      </w:r>
    </w:p>
    <w:p w14:paraId="619FE118" w14:textId="77777777" w:rsidR="001D3A5D" w:rsidRPr="00524435" w:rsidRDefault="001D3A5D" w:rsidP="0003552D">
      <w:pPr>
        <w:pStyle w:val="ListParagraph"/>
      </w:pPr>
      <w:r w:rsidRPr="00524435">
        <w:t xml:space="preserve">At the same time, the Commission concluded that the proceedings were not conducted within the required reasonable </w:t>
      </w:r>
      <w:proofErr w:type="gramStart"/>
      <w:r w:rsidRPr="00524435">
        <w:t>period of time</w:t>
      </w:r>
      <w:proofErr w:type="gramEnd"/>
      <w:r w:rsidRPr="00524435">
        <w:t xml:space="preserve">, given that, by the time of the adoption of the Report on the Merits, more than 17 years had elapsed since the State became aware of the facts. It also pointed out that there are unjustified periods of inactivity in the investigation, as well as scant efforts to determine the whereabouts of the victim and to try and punish those responsible for what happened. </w:t>
      </w:r>
    </w:p>
    <w:p w14:paraId="4D8B3A92" w14:textId="77777777" w:rsidR="001D3A5D" w:rsidRPr="00524435" w:rsidRDefault="001D3A5D" w:rsidP="0003552D">
      <w:pPr>
        <w:pStyle w:val="ListParagraph"/>
      </w:pPr>
      <w:r w:rsidRPr="00524435">
        <w:t xml:space="preserve">Finally, the Commission concluded that the State is responsible for the violation of the right to humane treatment of the victim's next of kin, due to the impact that the facts had on their personal integrity. The IACHR also declared violation of the right to humane treatment, judicial guarantees, and judicial protection to the detriment of Gregoria Naranjo and Marcia </w:t>
      </w:r>
      <w:proofErr w:type="spellStart"/>
      <w:r w:rsidRPr="00524435">
        <w:t>Núñez</w:t>
      </w:r>
      <w:proofErr w:type="spellEnd"/>
      <w:r w:rsidRPr="00524435">
        <w:t xml:space="preserve">, given that when the victim was abducted from prison, he was taken with </w:t>
      </w:r>
      <w:proofErr w:type="gramStart"/>
      <w:r w:rsidRPr="00524435">
        <w:t>both of them</w:t>
      </w:r>
      <w:proofErr w:type="gramEnd"/>
      <w:r w:rsidRPr="00524435">
        <w:t xml:space="preserve"> to the </w:t>
      </w:r>
      <w:proofErr w:type="spellStart"/>
      <w:r w:rsidRPr="00524435">
        <w:t>Puñachisag</w:t>
      </w:r>
      <w:proofErr w:type="spellEnd"/>
      <w:r w:rsidRPr="00524435">
        <w:t xml:space="preserve"> Community, where they were subjected to floggings and mistreatment. There is also no evidence that the State conducted any investigation into those acts. </w:t>
      </w:r>
    </w:p>
    <w:p w14:paraId="7152DF9C" w14:textId="77777777" w:rsidR="001D3A5D" w:rsidRPr="00524435" w:rsidRDefault="001D3A5D" w:rsidP="0003552D">
      <w:pPr>
        <w:pStyle w:val="ListParagraph"/>
      </w:pPr>
      <w:r w:rsidRPr="00524435">
        <w:t>Based on those findings, the IACHR concluded that the Ecuadorian state is responsible for violating the rights to recognition of juridical personality, life, personal integrity, personal liberty, judicial guarantees, and judicial protection upheld in Articles 3, 4.1, 5.1, 5.2, 7, 8.1, and 25.1 of the American Convention, in conjunction with Article 1.1 thereof, as well as Articles I a) and I b) of the Inter-American Convention on the Forced Disappearance of Persons.</w:t>
      </w:r>
    </w:p>
    <w:p w14:paraId="13594515" w14:textId="77777777" w:rsidR="001D3A5D" w:rsidRPr="00524435" w:rsidRDefault="001D3A5D" w:rsidP="00F275B0">
      <w:pPr>
        <w:pStyle w:val="Style2"/>
        <w:rPr>
          <w:bCs/>
          <w:lang w:val="en-US"/>
        </w:rPr>
      </w:pPr>
      <w:r w:rsidRPr="00524435">
        <w:rPr>
          <w:lang w:val="en-US"/>
        </w:rPr>
        <w:t>Juan José Meza v. Ecuador</w:t>
      </w:r>
    </w:p>
    <w:p w14:paraId="62BBEF33" w14:textId="77777777" w:rsidR="001D3A5D" w:rsidRPr="00524435" w:rsidRDefault="001D3A5D" w:rsidP="0003552D">
      <w:pPr>
        <w:pStyle w:val="ListParagraph"/>
      </w:pPr>
      <w:r w:rsidRPr="00524435">
        <w:t xml:space="preserve">This case is related to violations derived from non-compliance with an internal ruling ordering the payment by Club de Fútbol Sport </w:t>
      </w:r>
      <w:proofErr w:type="spellStart"/>
      <w:r w:rsidRPr="00524435">
        <w:t>Emelec</w:t>
      </w:r>
      <w:proofErr w:type="spellEnd"/>
      <w:r w:rsidRPr="00524435">
        <w:t xml:space="preserve"> of wages and compensation to Argentine soccer player Juan José Meza.</w:t>
      </w:r>
    </w:p>
    <w:p w14:paraId="5ED456AF" w14:textId="7303AE0E" w:rsidR="001D3A5D" w:rsidRPr="00524435" w:rsidRDefault="001D3A5D" w:rsidP="0003552D">
      <w:pPr>
        <w:pStyle w:val="ListParagraph"/>
      </w:pPr>
      <w:r w:rsidRPr="00524435">
        <w:lastRenderedPageBreak/>
        <w:t xml:space="preserve">On November 19, 1991, Juan José Meza filed a labor lawsuit against Club Sport </w:t>
      </w:r>
      <w:proofErr w:type="spellStart"/>
      <w:r w:rsidRPr="00524435">
        <w:t>Emelec</w:t>
      </w:r>
      <w:proofErr w:type="spellEnd"/>
      <w:r w:rsidRPr="00524435">
        <w:t xml:space="preserve"> for wrongful dismissal. Mr. Meza filed an appeal against the rejection of the claim. On April 24, 1996, the First Chamber of the Superior Court of Justice of Guayaquil granted the appeal with respect to the payment of the amounts owed, including the payment of the bonus established in the contract, and referred the proceedings to the Fourth Labor Court of Guayas for enforcement. The expert's opinion was challenged by both parties, so the court appointed another expert, who excluded the item "premiums" from the settlement, even though it had been included in the decision of April 24, 1996. Following an appeal filed by Mr. Meza, the Superior Court of Justice reversed the previous decision and ordered the expert to pay the amounts indicated in the judgment. It further noted that the lower court judge was obliged to enforce that part of the judgment and not approve an incomplete settlement. After several subsequent modifications of the settlements of the amounts to be paid, the proceeding was closed on May 28, 2007. </w:t>
      </w:r>
    </w:p>
    <w:p w14:paraId="130E6BA4" w14:textId="77777777" w:rsidR="001D3A5D" w:rsidRPr="00524435" w:rsidRDefault="001D3A5D" w:rsidP="0003552D">
      <w:pPr>
        <w:pStyle w:val="ListParagraph"/>
      </w:pPr>
      <w:r w:rsidRPr="00524435">
        <w:t xml:space="preserve">In its Report on the Merits, the Commission identified two main obstacles that for a </w:t>
      </w:r>
      <w:proofErr w:type="gramStart"/>
      <w:r w:rsidRPr="00524435">
        <w:t>long time</w:t>
      </w:r>
      <w:proofErr w:type="gramEnd"/>
      <w:r w:rsidRPr="00524435">
        <w:t xml:space="preserve"> hindered compliance with the judgment favorable to Mr. Meza: the issuance of decisions that contravened the order to comply with the judgment of April 24, 1996 and to pay the alleged victim all the items contemplated in said judgment, including the bonus referred to in the contract; and the granting of unlimited possibilities of appeal at the execution stage. </w:t>
      </w:r>
    </w:p>
    <w:p w14:paraId="2B4433EB" w14:textId="77777777" w:rsidR="001D3A5D" w:rsidRPr="00524435" w:rsidRDefault="001D3A5D" w:rsidP="0003552D">
      <w:pPr>
        <w:pStyle w:val="ListParagraph"/>
      </w:pPr>
      <w:r w:rsidRPr="00524435">
        <w:t xml:space="preserve">Regarding the first aspect, the IACHR emphasized that the first settlement was annulled on appeal for not including </w:t>
      </w:r>
      <w:proofErr w:type="gramStart"/>
      <w:r w:rsidRPr="00524435">
        <w:t>all of</w:t>
      </w:r>
      <w:proofErr w:type="gramEnd"/>
      <w:r w:rsidRPr="00524435">
        <w:t xml:space="preserve"> the items declared in the original judgment. However, when the Fourth Labor Court issued a new settlement, it again did not include the item "bonuses" or the triple amount of the unpaid remunerations that had been ordered. The Commission also emphasized that the Human Resources Commission penalized the Fourth Labor Judge for failing to comply with previous rulings. Regarding the second aspect, the Commission established that the decision of the Fourth Labor Court to issue a decision contrary to the decision of April 24, 1996, and the constant modification of the amounts to be paid to the victim, generated a chain of appeals that lasted for more than seven years in addition to the three years that had already elapsed since the judgment in favor of Mr. Meza, and culminated with the decision of May 28, 2007, which ordered the process to be closed. </w:t>
      </w:r>
    </w:p>
    <w:p w14:paraId="728880D4" w14:textId="77777777" w:rsidR="001D3A5D" w:rsidRPr="00524435" w:rsidRDefault="001D3A5D" w:rsidP="0003552D">
      <w:pPr>
        <w:pStyle w:val="ListParagraph"/>
      </w:pPr>
      <w:proofErr w:type="gramStart"/>
      <w:r w:rsidRPr="00524435">
        <w:t>In light of</w:t>
      </w:r>
      <w:proofErr w:type="gramEnd"/>
      <w:r w:rsidRPr="00524435">
        <w:t xml:space="preserve"> the above, the IACHR concluded that the Ecuadorian State is responsible for violating the rights upheld in Articles 25.1 and 25.2 c) of the American Convention on Human Rights, in conjunction with Article 1.1 thereof, to the detriment of Juan José Meza. </w:t>
      </w:r>
    </w:p>
    <w:p w14:paraId="79C349A3" w14:textId="77777777" w:rsidR="001D3A5D" w:rsidRPr="003F238D" w:rsidRDefault="001D3A5D" w:rsidP="00F275B0">
      <w:pPr>
        <w:pStyle w:val="Style2"/>
        <w:rPr>
          <w:bCs/>
          <w:lang w:val="es-US"/>
        </w:rPr>
      </w:pPr>
      <w:r w:rsidRPr="003F238D">
        <w:rPr>
          <w:lang w:val="es-US"/>
        </w:rPr>
        <w:t xml:space="preserve">Aníbal Alonso Aguas Acosta and </w:t>
      </w:r>
      <w:proofErr w:type="spellStart"/>
      <w:r w:rsidRPr="003F238D">
        <w:rPr>
          <w:lang w:val="es-US"/>
        </w:rPr>
        <w:t>family</w:t>
      </w:r>
      <w:proofErr w:type="spellEnd"/>
      <w:r w:rsidRPr="003F238D">
        <w:rPr>
          <w:lang w:val="es-US"/>
        </w:rPr>
        <w:t xml:space="preserve"> v. Ecuador</w:t>
      </w:r>
    </w:p>
    <w:p w14:paraId="53ECDF89" w14:textId="4F52F87C" w:rsidR="001D3A5D" w:rsidRPr="00524435" w:rsidRDefault="001D3A5D" w:rsidP="0003552D">
      <w:pPr>
        <w:pStyle w:val="ListParagraph"/>
      </w:pPr>
      <w:r w:rsidRPr="00524435">
        <w:t xml:space="preserve">The case refers to the torture that resulted in the death of </w:t>
      </w:r>
      <w:proofErr w:type="spellStart"/>
      <w:r w:rsidRPr="00524435">
        <w:t>Aníbal</w:t>
      </w:r>
      <w:proofErr w:type="spellEnd"/>
      <w:r w:rsidRPr="00524435">
        <w:t xml:space="preserve"> Alonso </w:t>
      </w:r>
      <w:proofErr w:type="spellStart"/>
      <w:r w:rsidRPr="00524435">
        <w:t>Aguas</w:t>
      </w:r>
      <w:proofErr w:type="spellEnd"/>
      <w:r w:rsidRPr="00524435">
        <w:t xml:space="preserve"> Acosta, and the lack of judicial guarantees and judicial protection in the investigation, trial, and punishment of those responsible. On the night of March 1, 1997, Mr. </w:t>
      </w:r>
      <w:proofErr w:type="spellStart"/>
      <w:r w:rsidRPr="00524435">
        <w:t>Aguas</w:t>
      </w:r>
      <w:proofErr w:type="spellEnd"/>
      <w:r w:rsidRPr="00524435">
        <w:t xml:space="preserve"> Acosta, who was drunk at the time, damaged a commercial establishment in the city of Machala, Province of El Oro. The police officers who responded to a call from the owners of the premises arrested Mr. </w:t>
      </w:r>
      <w:proofErr w:type="spellStart"/>
      <w:r w:rsidRPr="00524435">
        <w:t>Aníbal</w:t>
      </w:r>
      <w:proofErr w:type="spellEnd"/>
      <w:r w:rsidRPr="00524435">
        <w:t xml:space="preserve">, who was taken, still conscious, to the police station. However, upon arriving at the barracks, when they got him out of the </w:t>
      </w:r>
      <w:r w:rsidR="001C19CE" w:rsidRPr="00524435">
        <w:t>vehicle,</w:t>
      </w:r>
      <w:r w:rsidRPr="00524435">
        <w:t xml:space="preserve"> he was unconscious. Mr. </w:t>
      </w:r>
      <w:proofErr w:type="spellStart"/>
      <w:r w:rsidRPr="00524435">
        <w:t>Aguas</w:t>
      </w:r>
      <w:proofErr w:type="spellEnd"/>
      <w:r w:rsidRPr="00524435">
        <w:t xml:space="preserve"> was taken to the hospital where two nursing assistants verified his death inside the same vehicle. The autopsy established that death was due to craniocerebral trauma, with multiple injuries to various parts of the body. The police report concluded that the police did not use weapons or blunt objects, "using only the force necessary to restrain him and lead him to the vehicle." In addition, the report stated that the detainee had hit his head against the vehicle, "which possibly caused the cerebral hemorrhage" and his subsequent death. </w:t>
      </w:r>
    </w:p>
    <w:p w14:paraId="41486535" w14:textId="77777777" w:rsidR="001D3A5D" w:rsidRPr="00524435" w:rsidRDefault="001D3A5D" w:rsidP="0003552D">
      <w:pPr>
        <w:pStyle w:val="ListParagraph"/>
      </w:pPr>
      <w:r w:rsidRPr="00524435">
        <w:t xml:space="preserve">On March 10, 1997, the Fifth Criminal Judge issued an indictment against the police officers who participated in the operation. However, on April 2 of the same year, he recused himself from the case given that those involved were policemen on active duty, which meant that the Second Court of the IV District of the National Police of Guayaquil assumed jurisdiction. On December 11, 1998, the Second Police Judge issued an order to hear the case against a sergeant and a corporal as perpetrators of the crime of simple homicide. In the same act, he provisionally dismissed charges in the case against three other officers. After a hearing held on September 7, 2000, the two defendants were sentenced to three years in prison as co-perpetrators of the crime </w:t>
      </w:r>
      <w:r w:rsidRPr="00524435">
        <w:lastRenderedPageBreak/>
        <w:t xml:space="preserve">of involuntary manslaughter. The sentence was confirmed on appeal on June 19, 2001, but for the crime of death resulting from torture, and the two policemen were sentenced to 8 years in prison. On December 4, 2001, the National Court of Police Justice confirmed that sentence. According to the information available at the time of the adoption of the Report on the Merits by the IACHR, the arrest warrants were only registered on October 22, 2012, and there is no information indicating that they have been executed. </w:t>
      </w:r>
    </w:p>
    <w:p w14:paraId="115F8550" w14:textId="77777777" w:rsidR="001D3A5D" w:rsidRPr="00524435" w:rsidRDefault="001D3A5D" w:rsidP="0003552D">
      <w:pPr>
        <w:pStyle w:val="ListParagraph"/>
      </w:pPr>
      <w:r w:rsidRPr="00524435">
        <w:t xml:space="preserve">In its Report on the Merits, the Commission analyzed the alleged violations of Articles 4 and 5 of the American Convention in relation to the obligations to respect and guarantee the use of force in accordance with Inter-American standards. This was because, in its observations, the State sought to justify the use of force by indicating that Mr. </w:t>
      </w:r>
      <w:proofErr w:type="spellStart"/>
      <w:r w:rsidRPr="00524435">
        <w:t>Aguas</w:t>
      </w:r>
      <w:proofErr w:type="spellEnd"/>
      <w:r w:rsidRPr="00524435">
        <w:t>' allegedly aggressive attitude would have made the use of force necessary.</w:t>
      </w:r>
    </w:p>
    <w:p w14:paraId="188A067C" w14:textId="77777777" w:rsidR="001D3A5D" w:rsidRPr="00524435" w:rsidRDefault="001D3A5D" w:rsidP="0003552D">
      <w:pPr>
        <w:pStyle w:val="ListParagraph"/>
      </w:pPr>
      <w:r w:rsidRPr="00524435">
        <w:t>Regarding preventive actions, the Commission observed that the State did not prove that it had, at the time of the facts, an adequate legal framework to regulate the use of force by police officers and to guarantee the right to life of those under its jurisdiction. It determined that the State also failed to prove that it had provided appropriate equipment to the officials in charge of the use of force, or that they had been properly selected, trained, and instructed in the exceptional use of force. In view of the foregoing, the Commission concluded that it is not possible to affirm that the State's actions were conducted in compliance with the principles of legality and the exceptional nature of the use of force.</w:t>
      </w:r>
    </w:p>
    <w:p w14:paraId="02279446" w14:textId="77777777" w:rsidR="001D3A5D" w:rsidRPr="00524435" w:rsidRDefault="001D3A5D" w:rsidP="0003552D">
      <w:pPr>
        <w:pStyle w:val="ListParagraph"/>
      </w:pPr>
      <w:r w:rsidRPr="00524435">
        <w:t xml:space="preserve">Second, the Commission emphasized that the use of force did not comply with the principle of legitimate purpose or absolute necessity, since the alleged infraction or misdemeanor committed by </w:t>
      </w:r>
      <w:proofErr w:type="spellStart"/>
      <w:r w:rsidRPr="00524435">
        <w:t>Aníbal</w:t>
      </w:r>
      <w:proofErr w:type="spellEnd"/>
      <w:r w:rsidRPr="00524435">
        <w:t xml:space="preserve"> </w:t>
      </w:r>
      <w:proofErr w:type="spellStart"/>
      <w:r w:rsidRPr="00524435">
        <w:t>Aguas</w:t>
      </w:r>
      <w:proofErr w:type="spellEnd"/>
      <w:r w:rsidRPr="00524435">
        <w:t xml:space="preserve"> had already ceased by the time the police arrived at the scene. In addition, the Commission considered that the use of force and the intervention of seven police officers in three police vehicles was disproportionate. The Commission </w:t>
      </w:r>
      <w:proofErr w:type="gramStart"/>
      <w:r w:rsidRPr="00524435">
        <w:t>took into account</w:t>
      </w:r>
      <w:proofErr w:type="gramEnd"/>
      <w:r w:rsidRPr="00524435">
        <w:t xml:space="preserve"> that the victim was not carrying weapons, had not assaulted any individual, and did not those a threat or danger to the agents or third parties and, in addition, was in a state of inebriation. The State did not prove that the force used was proportional, differentiated, or progressive in accordance with the degree of cooperation, resistance, or aggression of </w:t>
      </w:r>
      <w:proofErr w:type="spellStart"/>
      <w:r w:rsidRPr="00524435">
        <w:t>Aníbal</w:t>
      </w:r>
      <w:proofErr w:type="spellEnd"/>
      <w:r w:rsidRPr="00524435">
        <w:t xml:space="preserve"> </w:t>
      </w:r>
      <w:proofErr w:type="spellStart"/>
      <w:r w:rsidRPr="00524435">
        <w:t>Aguas</w:t>
      </w:r>
      <w:proofErr w:type="spellEnd"/>
      <w:r w:rsidRPr="00524435">
        <w:t>. Consequently, the Commission concluded that the use of force during the arrest and transfer by the Ecuadorian national police did not comply with the principles required by the American Convention.</w:t>
      </w:r>
    </w:p>
    <w:p w14:paraId="436FF102" w14:textId="77777777" w:rsidR="001D3A5D" w:rsidRPr="00524435" w:rsidRDefault="001D3A5D" w:rsidP="0003552D">
      <w:pPr>
        <w:pStyle w:val="ListParagraph"/>
      </w:pPr>
      <w:r w:rsidRPr="00524435">
        <w:t xml:space="preserve">Thirdly, with respect to the actions taken after the events, the Commission emphasized that it is not possible to affirm that the State's actions were conducted in compliance with the duties of due diligence and humanity, since </w:t>
      </w:r>
      <w:proofErr w:type="spellStart"/>
      <w:r w:rsidRPr="00524435">
        <w:t>Aníbal</w:t>
      </w:r>
      <w:proofErr w:type="spellEnd"/>
      <w:r w:rsidRPr="00524435">
        <w:t xml:space="preserve"> </w:t>
      </w:r>
      <w:proofErr w:type="spellStart"/>
      <w:r w:rsidRPr="00524435">
        <w:t>Aguas</w:t>
      </w:r>
      <w:proofErr w:type="spellEnd"/>
      <w:r w:rsidRPr="00524435">
        <w:t xml:space="preserve"> was not provided with appropriate medical care while he was alive, nor was his corpse treated in an adequate and dignified manner. The Commission considered, on the contrary, that, as the Ecuadorian police justice system itself found, the actions of the members of the national police were aimed, rather, at erasing the traces of what happened and at constructing a version of the facts that neither any responsibility of the police. </w:t>
      </w:r>
    </w:p>
    <w:p w14:paraId="387DC0AE" w14:textId="77777777" w:rsidR="001D3A5D" w:rsidRPr="00524435" w:rsidRDefault="001D3A5D" w:rsidP="0003552D">
      <w:pPr>
        <w:pStyle w:val="ListParagraph"/>
      </w:pPr>
      <w:r w:rsidRPr="00524435">
        <w:t xml:space="preserve">In view of the foregoing, the Commission considered that the use of force was arbitrary and unjustified. Furthermore, in view of the burden of proof applicable in this type of case, the Commission concluded that the death of Mr. </w:t>
      </w:r>
      <w:proofErr w:type="spellStart"/>
      <w:r w:rsidRPr="00524435">
        <w:t>Aguas</w:t>
      </w:r>
      <w:proofErr w:type="spellEnd"/>
      <w:r w:rsidRPr="00524435">
        <w:t xml:space="preserve"> by agents of the Ecuadorian State in the context of an operation in which there was a disproportionate use of force is attributable to the State. The Commission also observed that the injuries he suffered caused him severe physical and mental suffering, such that they constituted torture. </w:t>
      </w:r>
    </w:p>
    <w:p w14:paraId="4B55B3B8" w14:textId="77777777" w:rsidR="001D3A5D" w:rsidRPr="00524435" w:rsidRDefault="001D3A5D" w:rsidP="0003552D">
      <w:pPr>
        <w:pStyle w:val="ListParagraph"/>
      </w:pPr>
      <w:r w:rsidRPr="00524435">
        <w:t xml:space="preserve">In addition, the Commission concluded that the serious human rights violations of which Mr. </w:t>
      </w:r>
      <w:proofErr w:type="spellStart"/>
      <w:r w:rsidRPr="00524435">
        <w:t>Aguas</w:t>
      </w:r>
      <w:proofErr w:type="spellEnd"/>
      <w:r w:rsidRPr="00524435">
        <w:t xml:space="preserve"> was a victim should have been investigated, prosecuted, and punished in the ordinary courts and not in the police courts, which lacked jurisdiction. The Commission also concluded that, </w:t>
      </w:r>
      <w:proofErr w:type="gramStart"/>
      <w:r w:rsidRPr="00524435">
        <w:t>as a result of</w:t>
      </w:r>
      <w:proofErr w:type="gramEnd"/>
      <w:r w:rsidRPr="00524435">
        <w:t xml:space="preserve"> the legal framework that made it possible for the case to be heard in the military courts, the State failed to comply with its obligation to adapt its domestic legislation to guarantee access to independent and impartial justice.</w:t>
      </w:r>
    </w:p>
    <w:p w14:paraId="31DC71E3" w14:textId="77777777" w:rsidR="001D3A5D" w:rsidRPr="00524435" w:rsidRDefault="001D3A5D" w:rsidP="0003552D">
      <w:pPr>
        <w:pStyle w:val="ListParagraph"/>
      </w:pPr>
      <w:r w:rsidRPr="00524435">
        <w:t xml:space="preserve">The Commission also established that the State failed in its duty to investigate the crime of torture. Here, the Commission </w:t>
      </w:r>
      <w:proofErr w:type="gramStart"/>
      <w:r w:rsidRPr="00524435">
        <w:t>takes into account</w:t>
      </w:r>
      <w:proofErr w:type="gramEnd"/>
      <w:r w:rsidRPr="00524435">
        <w:t xml:space="preserve"> the fact that the regular and police authorities who intervened in the removal of the body and in the criminal investigation had abundant evidence that, prior to his death, </w:t>
      </w:r>
      <w:proofErr w:type="spellStart"/>
      <w:r w:rsidRPr="00524435">
        <w:lastRenderedPageBreak/>
        <w:t>Aníbal</w:t>
      </w:r>
      <w:proofErr w:type="spellEnd"/>
      <w:r w:rsidRPr="00524435">
        <w:t xml:space="preserve"> </w:t>
      </w:r>
      <w:proofErr w:type="spellStart"/>
      <w:r w:rsidRPr="00524435">
        <w:t>Aguas</w:t>
      </w:r>
      <w:proofErr w:type="spellEnd"/>
      <w:r w:rsidRPr="00524435">
        <w:t xml:space="preserve"> had suffered serious and multiple injuries. Furthermore, the Commission concluded that the delay in the duration of the proceedings before the police justice system was not duly justified by the State. It indicated that the lack, for more than 23 years, of a complete and effective investigation by a competent, independent, and impartial court, has been excessive and in violation of the reasonable time guarantee.</w:t>
      </w:r>
    </w:p>
    <w:p w14:paraId="7109D559" w14:textId="1776E8D6" w:rsidR="001D3A5D" w:rsidRPr="00524435" w:rsidRDefault="001D3A5D" w:rsidP="0003552D">
      <w:pPr>
        <w:pStyle w:val="ListParagraph"/>
      </w:pPr>
      <w:r w:rsidRPr="00524435">
        <w:t xml:space="preserve">Based on the foregoing, the Commission concluded that the Ecuadorian State violated the rights to life and personal integrity, judicial guarantees and judicial protection and the obligation to investigate acts of torture, enshrined in Articles 4, 5.1, 5.2, 8.1, and 25.1 of the American Convention, in conjunction with the obligations established in its Articles 1.1 and 2; as well as Articles 1, 6, and 8 of the Inter-American Convention to Prevent and Punish Torture, as of its entry into force, to the detriment of </w:t>
      </w:r>
      <w:proofErr w:type="spellStart"/>
      <w:r w:rsidRPr="00524435">
        <w:t>Aníbal</w:t>
      </w:r>
      <w:proofErr w:type="spellEnd"/>
      <w:r w:rsidRPr="00524435">
        <w:t xml:space="preserve"> Alonso </w:t>
      </w:r>
      <w:proofErr w:type="spellStart"/>
      <w:r w:rsidRPr="00524435">
        <w:t>Aguas</w:t>
      </w:r>
      <w:proofErr w:type="spellEnd"/>
      <w:r w:rsidRPr="00524435">
        <w:t xml:space="preserve"> Acosta and his next of kin.</w:t>
      </w:r>
    </w:p>
    <w:p w14:paraId="7045EBF7" w14:textId="563046BD" w:rsidR="00750A3C" w:rsidRPr="003F238D" w:rsidRDefault="00750A3C" w:rsidP="00F275B0">
      <w:pPr>
        <w:pStyle w:val="Style2"/>
        <w:rPr>
          <w:lang w:val="es-US"/>
        </w:rPr>
      </w:pPr>
      <w:r w:rsidRPr="003F238D">
        <w:rPr>
          <w:lang w:val="es-US"/>
        </w:rPr>
        <w:t>José Antonio Gutiérrez Navas</w:t>
      </w:r>
      <w:r w:rsidR="004D4F2E" w:rsidRPr="003F238D">
        <w:rPr>
          <w:lang w:val="es-US"/>
        </w:rPr>
        <w:t xml:space="preserve"> et al</w:t>
      </w:r>
      <w:r w:rsidRPr="003F238D">
        <w:rPr>
          <w:lang w:val="es-US"/>
        </w:rPr>
        <w:t xml:space="preserve"> v</w:t>
      </w:r>
      <w:r w:rsidR="00FB6290" w:rsidRPr="003F238D">
        <w:rPr>
          <w:lang w:val="es-US"/>
        </w:rPr>
        <w:t>.</w:t>
      </w:r>
      <w:r w:rsidRPr="003F238D">
        <w:rPr>
          <w:lang w:val="es-US"/>
        </w:rPr>
        <w:t xml:space="preserve"> Honduras</w:t>
      </w:r>
    </w:p>
    <w:p w14:paraId="5CE230F7" w14:textId="0B39638C" w:rsidR="00FB6290" w:rsidRPr="00524435" w:rsidRDefault="00FB6290" w:rsidP="0003552D">
      <w:pPr>
        <w:pStyle w:val="ListParagraph"/>
      </w:pPr>
      <w:bookmarkStart w:id="60" w:name="_Toc514247649"/>
      <w:bookmarkStart w:id="61" w:name="_Toc42786703"/>
      <w:r w:rsidRPr="00524435">
        <w:t xml:space="preserve">The case concerns the international responsibility of the State for the arbitrary and illegal removal of José Francisco Ruiz </w:t>
      </w:r>
      <w:proofErr w:type="spellStart"/>
      <w:r w:rsidRPr="00524435">
        <w:t>Gaekel</w:t>
      </w:r>
      <w:proofErr w:type="spellEnd"/>
      <w:r w:rsidRPr="00524435">
        <w:t xml:space="preserve">, José Antonio Gutiérrez </w:t>
      </w:r>
      <w:proofErr w:type="spellStart"/>
      <w:r w:rsidRPr="00524435">
        <w:t>Navas</w:t>
      </w:r>
      <w:proofErr w:type="spellEnd"/>
      <w:r w:rsidRPr="00524435">
        <w:t xml:space="preserve">, Gustavo Enrique Bustillo </w:t>
      </w:r>
      <w:proofErr w:type="gramStart"/>
      <w:r w:rsidRPr="00524435">
        <w:t>Palma</w:t>
      </w:r>
      <w:proofErr w:type="gramEnd"/>
      <w:r w:rsidRPr="00524435">
        <w:t xml:space="preserve"> and Rosalinda Cruz </w:t>
      </w:r>
      <w:proofErr w:type="spellStart"/>
      <w:r w:rsidRPr="00524435">
        <w:t>Sequeira</w:t>
      </w:r>
      <w:proofErr w:type="spellEnd"/>
      <w:r w:rsidRPr="00524435">
        <w:t xml:space="preserve"> from their posts as judges and magistrates of the Constitutional Chamber of the Supreme Court of Justice of Honduras. </w:t>
      </w:r>
    </w:p>
    <w:p w14:paraId="6C7D68D7" w14:textId="0118B220" w:rsidR="00FB6290" w:rsidRPr="00524435" w:rsidRDefault="00FB6290" w:rsidP="0003552D">
      <w:pPr>
        <w:pStyle w:val="ListParagraph"/>
      </w:pPr>
      <w:r w:rsidRPr="00524435">
        <w:t xml:space="preserve">On November 27, 2012, the Constitutional Chamber of the Supreme Court of Justice of Honduras, within the framework of its functions, declared the unconstitutionality and inapplicability of the Special Law for Police Vetting, in the face of two appeals filed by several citizens. </w:t>
      </w:r>
    </w:p>
    <w:p w14:paraId="222BFCA3" w14:textId="20BD3771" w:rsidR="00FB6290" w:rsidRPr="00524435" w:rsidRDefault="00FB6290" w:rsidP="0003552D">
      <w:pPr>
        <w:pStyle w:val="ListParagraph"/>
      </w:pPr>
      <w:r w:rsidRPr="00524435">
        <w:t xml:space="preserve">Following a motion presented by a pro-government deputy, on December 10, 2012, the National Congress formed a Special Commission to investigate the conduct of the magistrates of the Constitutional Chamber who voted in favor of the unconstitutionality of the Special Law for Police Vetting. On the night of December 11, 2012, said Commission issued a report stating that administrative irregularities had been committed in the process. This report was approved by the Plenary of the Legislative Chamber and in the early morning of December 12, 2012, in a session of the National Congress, the removal of José Francisco Ruiz </w:t>
      </w:r>
      <w:proofErr w:type="spellStart"/>
      <w:r w:rsidRPr="00524435">
        <w:t>Gaekel</w:t>
      </w:r>
      <w:proofErr w:type="spellEnd"/>
      <w:r w:rsidRPr="00524435">
        <w:t xml:space="preserve">, José Antonio Gutiérrez </w:t>
      </w:r>
      <w:proofErr w:type="spellStart"/>
      <w:r w:rsidRPr="00524435">
        <w:t>Navas</w:t>
      </w:r>
      <w:proofErr w:type="spellEnd"/>
      <w:r w:rsidRPr="00524435">
        <w:t xml:space="preserve">, Gustavo Enrique Bustillo Palma and Rosalinda Cruz </w:t>
      </w:r>
      <w:proofErr w:type="spellStart"/>
      <w:r w:rsidRPr="00524435">
        <w:t>Sequeira</w:t>
      </w:r>
      <w:proofErr w:type="spellEnd"/>
      <w:r w:rsidRPr="00524435">
        <w:t xml:space="preserve"> from their positions as magistrates and magistrate of the Constitutional Chamber of the Supreme Court of Justice was ordered. Such decisions were later formalized in Decree No. 191-2012 published in the Official Gazette La </w:t>
      </w:r>
      <w:proofErr w:type="spellStart"/>
      <w:r w:rsidRPr="00524435">
        <w:t>Gaceta</w:t>
      </w:r>
      <w:proofErr w:type="spellEnd"/>
      <w:r w:rsidRPr="00524435">
        <w:t xml:space="preserve"> on December 29, 2012. </w:t>
      </w:r>
    </w:p>
    <w:p w14:paraId="0C87CEDD" w14:textId="6595A7A0" w:rsidR="00FB6290" w:rsidRPr="00524435" w:rsidRDefault="00FB6290" w:rsidP="0003552D">
      <w:pPr>
        <w:pStyle w:val="ListParagraph"/>
      </w:pPr>
      <w:r w:rsidRPr="00524435">
        <w:t xml:space="preserve">Faced with this situation, on December 12, 2012, the victims filed a writ of amparo against the dismissal decision adopted by the Congress. The Constitutional Chamber excused itself from hearing the </w:t>
      </w:r>
      <w:proofErr w:type="gramStart"/>
      <w:r w:rsidRPr="00524435">
        <w:t>aforementioned action</w:t>
      </w:r>
      <w:proofErr w:type="gramEnd"/>
      <w:r w:rsidRPr="00524435">
        <w:t xml:space="preserve">, so the President of the Supreme Court proceeded to form a Special Chamber with other judges of the Plenary, who in turn excused themselves. Finally, a Special Chamber was formed with three Justices of the Plenary, among them the President of the Court, and two Member Justices. On January 29, 2013, the Chamber decided to reject the amparo appeal. On February 13, 2013, the victims filed an appeal for reconsideration, which was dismissed by the Supreme Court of Justice on February 18, 2013. </w:t>
      </w:r>
    </w:p>
    <w:p w14:paraId="51179900" w14:textId="25B56955" w:rsidR="00FB6290" w:rsidRPr="00524435" w:rsidRDefault="00FB6290" w:rsidP="0003552D">
      <w:pPr>
        <w:pStyle w:val="ListParagraph"/>
      </w:pPr>
      <w:r w:rsidRPr="00524435">
        <w:t xml:space="preserve">In December 2012, Judge Gutiérrez </w:t>
      </w:r>
      <w:proofErr w:type="spellStart"/>
      <w:r w:rsidRPr="00524435">
        <w:t>Navas</w:t>
      </w:r>
      <w:proofErr w:type="spellEnd"/>
      <w:r w:rsidRPr="00524435">
        <w:t xml:space="preserve"> denounced that he was threatened with death in a telephone call after appearing on a television program. On October 13, 2014, while he was working as a university professor, he received an anonymous package containing the end of </w:t>
      </w:r>
      <w:proofErr w:type="spellStart"/>
      <w:r w:rsidRPr="00524435">
        <w:rPr>
          <w:i/>
          <w:iCs/>
        </w:rPr>
        <w:t>novenario</w:t>
      </w:r>
      <w:proofErr w:type="spellEnd"/>
      <w:r w:rsidRPr="00524435">
        <w:rPr>
          <w:i/>
          <w:iCs/>
        </w:rPr>
        <w:t xml:space="preserve"> </w:t>
      </w:r>
      <w:r w:rsidRPr="00524435">
        <w:t xml:space="preserve">reminder of the death of his father, which had occurred in 2012. After what happened, she denounced the facts to the Committee of Relatives of the Detained and Disappeared in Honduras. On February 21, 2013, one of the daughters of Magistrate Cruz </w:t>
      </w:r>
      <w:proofErr w:type="spellStart"/>
      <w:r w:rsidRPr="00524435">
        <w:t>Sequeira</w:t>
      </w:r>
      <w:proofErr w:type="spellEnd"/>
      <w:r w:rsidRPr="00524435">
        <w:t xml:space="preserve"> suffered a car chase and subsequently the victim's family home was subject to nighttime surveillance by unidentified subjects in a dark vehicle. Mrs. Cruz </w:t>
      </w:r>
      <w:proofErr w:type="spellStart"/>
      <w:r w:rsidRPr="00524435">
        <w:t>Sequeira</w:t>
      </w:r>
      <w:proofErr w:type="spellEnd"/>
      <w:r w:rsidRPr="00524435">
        <w:t xml:space="preserve"> denounced the facts and requested security measures to the National Commissioner of Human Rights, entity that granted her the guard of a police officer for </w:t>
      </w:r>
      <w:proofErr w:type="gramStart"/>
      <w:r w:rsidRPr="00524435">
        <w:t>a period of time</w:t>
      </w:r>
      <w:proofErr w:type="gramEnd"/>
      <w:r w:rsidRPr="00524435">
        <w:t xml:space="preserve">.  </w:t>
      </w:r>
    </w:p>
    <w:p w14:paraId="11556EFE" w14:textId="1228603C" w:rsidR="00FB6290" w:rsidRPr="00524435" w:rsidRDefault="00FB6290" w:rsidP="0003552D">
      <w:pPr>
        <w:pStyle w:val="ListParagraph"/>
      </w:pPr>
      <w:r w:rsidRPr="00524435">
        <w:lastRenderedPageBreak/>
        <w:t xml:space="preserve">In its Merits Report, the Commission emphasized that, at the time of the facts, there was no legal or constitutional provision in Honduras regulating the sanctioning procedure against the justices of the Supreme Court of Justice, nor was there any evidence in the Constitution that the National Congress had the power to remove the members of the high court by means of any summary procedure. In view of the foregoing, the Commission concluded that all the acts emanating from said body and within the framework of the ad hoc procedure implemented in the case were carried out in violation of the right to judicial guarantees. </w:t>
      </w:r>
    </w:p>
    <w:p w14:paraId="46B32277" w14:textId="515337BE" w:rsidR="00FB6290" w:rsidRPr="00524435" w:rsidRDefault="00FB6290" w:rsidP="0003552D">
      <w:pPr>
        <w:pStyle w:val="ListParagraph"/>
      </w:pPr>
      <w:r w:rsidRPr="00524435">
        <w:t xml:space="preserve">The Commission also observed that the legal provision on which the dismissal of the four magistrates was based, that is, Article 205, paragraph 20 of the Constitution, which refers to Congress having the power to "prove or disprove the administrative conduct of the magistrates", lacks precision as to the conducts that are reproachable in disciplinary terms and the applicable sanctions. This broadness and lack of clarity not only affects the predictability of the norm, but in the specific case allowed excessive discretion to the National Congress at the time of applying the most severe sanction, thus violating the principle of legality. </w:t>
      </w:r>
    </w:p>
    <w:p w14:paraId="782BD9A9" w14:textId="77777777" w:rsidR="00FB6290" w:rsidRPr="00524435" w:rsidRDefault="00FB6290" w:rsidP="0003552D">
      <w:pPr>
        <w:pStyle w:val="ListParagraph"/>
        <w:rPr>
          <w:snapToGrid w:val="0"/>
        </w:rPr>
      </w:pPr>
      <w:r w:rsidRPr="00524435">
        <w:rPr>
          <w:snapToGrid w:val="0"/>
        </w:rPr>
        <w:t xml:space="preserve">The Commission further established that the victims did not have the opportunity to exercise their right of defense. It indicated that the victims were not legally and previously notified with any accusation or opening of a sanctioning proceeding and that neither the Special Commission nor the National Congress summoned the alleged victims involved to testify, controvert </w:t>
      </w:r>
      <w:proofErr w:type="gramStart"/>
      <w:r w:rsidRPr="00524435">
        <w:rPr>
          <w:snapToGrid w:val="0"/>
        </w:rPr>
        <w:t>arguments</w:t>
      </w:r>
      <w:proofErr w:type="gramEnd"/>
      <w:r w:rsidRPr="00524435">
        <w:rPr>
          <w:snapToGrid w:val="0"/>
        </w:rPr>
        <w:t xml:space="preserve"> or present evidence. It also pointed out that the excessive speed with which the National Congress acted did not allow any margin for the technical or material defense by the victims, who also learned of his dismissal when the Congress had already pronounced on the sanction. Finally, the Commission held that the resolution of dismissal lacks motivation, in that it does not indicate the serious misconduct or the alleged "improper administrative conduct" on the part of the magistrates, nor does it develop arguments to justify their removal. </w:t>
      </w:r>
    </w:p>
    <w:p w14:paraId="454A2899" w14:textId="03634DB2" w:rsidR="00FB6290" w:rsidRPr="00524435" w:rsidRDefault="00FB6290" w:rsidP="0003552D">
      <w:pPr>
        <w:pStyle w:val="ListParagraph"/>
        <w:rPr>
          <w:snapToGrid w:val="0"/>
        </w:rPr>
      </w:pPr>
      <w:r w:rsidRPr="00524435">
        <w:rPr>
          <w:snapToGrid w:val="0"/>
        </w:rPr>
        <w:t xml:space="preserve">The Commission also concluded that the State violated the right to judicial protection and judicial guarantees in the framework of the constitutional remedy of amparo. It understood that this remedy was ineffective to protect the alleged rights, </w:t>
      </w:r>
      <w:proofErr w:type="gramStart"/>
      <w:r w:rsidRPr="00524435">
        <w:rPr>
          <w:snapToGrid w:val="0"/>
        </w:rPr>
        <w:t>inasmuch as</w:t>
      </w:r>
      <w:proofErr w:type="gramEnd"/>
      <w:r w:rsidRPr="00524435">
        <w:rPr>
          <w:snapToGrid w:val="0"/>
        </w:rPr>
        <w:t xml:space="preserve"> the Supreme Court of Justice, through its Special Chamber and subsequently its Plenary, refused to review the merits of the decision to remove the Congress from office, arguing that it did not have the power to analyze such decisions. Likewise, the Commission considered that the actions of the Chief Justice during the processing of the amparo appeal raised serious doubts as to his partiality, </w:t>
      </w:r>
      <w:proofErr w:type="gramStart"/>
      <w:r w:rsidRPr="00524435">
        <w:rPr>
          <w:snapToGrid w:val="0"/>
        </w:rPr>
        <w:t>inasmuch as</w:t>
      </w:r>
      <w:proofErr w:type="gramEnd"/>
      <w:r w:rsidRPr="00524435">
        <w:rPr>
          <w:snapToGrid w:val="0"/>
        </w:rPr>
        <w:t xml:space="preserve"> it revealed that his approach to the case was not devoid of bias or subjectivity, contrary to the guarantee of impartiality.  Specifically, the Commission took into account that while the amparo appeal filed by the alleged victims was pending before the Supreme Court of Justice, the President of the Supreme Court of Justice ordered the replacement of the four judges who had been dismissed, which suggested a validation of the dismissal, and he himself subsequently heard the case, as he was a member of the Special Constitutional Chamber that rejected the constitutional appeal of the alleged victims and dismissed the subsequent appeal for reconsideration. </w:t>
      </w:r>
    </w:p>
    <w:p w14:paraId="49044754" w14:textId="13051733" w:rsidR="00FB6290" w:rsidRPr="00524435" w:rsidRDefault="00FB6290" w:rsidP="0003552D">
      <w:pPr>
        <w:pStyle w:val="ListParagraph"/>
        <w:rPr>
          <w:snapToGrid w:val="0"/>
        </w:rPr>
      </w:pPr>
      <w:r w:rsidRPr="00524435">
        <w:rPr>
          <w:snapToGrid w:val="0"/>
        </w:rPr>
        <w:t xml:space="preserve">On the other hand, the Commission highlighted that the dismissals of the victims took place in a context where the Constitutional Chamber had previously declared unconstitutional at least three norms approved by the government in power and that, on those occasions, the Honduran president made harsh criticisms against the judicial decisions. The IACHR noted that during the debate that ended with the dismissal of the magistrates, military and police forces surrounded the parliamentary building and there was a statement by the then President of Congress who, after the dismissals, indicated that having reached a consensus with the Executive it had been "the best for the country". </w:t>
      </w:r>
    </w:p>
    <w:p w14:paraId="443141E0" w14:textId="68A04F6A" w:rsidR="00FB6290" w:rsidRPr="00524435" w:rsidRDefault="00FB6290" w:rsidP="0003552D">
      <w:pPr>
        <w:pStyle w:val="ListParagraph"/>
        <w:rPr>
          <w:snapToGrid w:val="0"/>
        </w:rPr>
      </w:pPr>
      <w:r w:rsidRPr="00524435">
        <w:rPr>
          <w:snapToGrid w:val="0"/>
        </w:rPr>
        <w:t>Consequently, the IACHR evidenced in the exposed facts a clear pressure against the Constitutional Chamber by the Executive and Legislative Branches, which led to a resolution of the Congress that was more linked to an abuse of power than to a determination of responsibility for possible administrative infractions.</w:t>
      </w:r>
    </w:p>
    <w:p w14:paraId="30B8F87B" w14:textId="0B61F325" w:rsidR="00FB6290" w:rsidRPr="00524435" w:rsidRDefault="00FB6290" w:rsidP="0003552D">
      <w:pPr>
        <w:pStyle w:val="ListParagraph"/>
        <w:rPr>
          <w:snapToGrid w:val="0"/>
        </w:rPr>
      </w:pPr>
      <w:r w:rsidRPr="00524435">
        <w:rPr>
          <w:snapToGrid w:val="0"/>
        </w:rPr>
        <w:t>The Commission concluded that this situation had a highly negative impact on judicial independence in its institutional facet, constituting an attack against it, altered the democratic order, the rule of law and implied that at that time there was no real separation of powers.</w:t>
      </w:r>
    </w:p>
    <w:p w14:paraId="432152D0" w14:textId="3E208153" w:rsidR="00FB6290" w:rsidRPr="00524435" w:rsidRDefault="00FB6290" w:rsidP="0003552D">
      <w:pPr>
        <w:pStyle w:val="ListParagraph"/>
        <w:rPr>
          <w:snapToGrid w:val="0"/>
        </w:rPr>
      </w:pPr>
      <w:r w:rsidRPr="00524435">
        <w:rPr>
          <w:snapToGrid w:val="0"/>
        </w:rPr>
        <w:lastRenderedPageBreak/>
        <w:t>Finally, the Commission considered that there was a violation of the right to personal integrity of the victims in that the State did not carry out serious and effective investigations into the acts of harassment and threats reported by them, nor did it adopt protection measures in favor of the judges or their next of kin in the context of such risk events.</w:t>
      </w:r>
    </w:p>
    <w:p w14:paraId="008E4D6B" w14:textId="7A57038C" w:rsidR="00FB6290" w:rsidRPr="00524435" w:rsidRDefault="00FB6290" w:rsidP="0003552D">
      <w:pPr>
        <w:pStyle w:val="ListParagraph"/>
        <w:rPr>
          <w:snapToGrid w:val="0"/>
        </w:rPr>
      </w:pPr>
      <w:r w:rsidRPr="00524435">
        <w:rPr>
          <w:snapToGrid w:val="0"/>
        </w:rPr>
        <w:t xml:space="preserve">Based on the foregoing, the Commission determined that the Honduran State violated the rights to judicial guarantees, the principle of legality, the guarantee of judicial independence, political rights and judicial protection established in Articles 5, 8(1), 8(2)(b), (c) and (d), 9, 23(1)(c) and 25(1) of the American Convention, in relation to the obligations established in Articles 1(1) and 2 thereof, to the detriment of José Antonio Gutiérrez </w:t>
      </w:r>
      <w:proofErr w:type="spellStart"/>
      <w:r w:rsidRPr="00524435">
        <w:rPr>
          <w:snapToGrid w:val="0"/>
        </w:rPr>
        <w:t>Navas</w:t>
      </w:r>
      <w:proofErr w:type="spellEnd"/>
      <w:r w:rsidRPr="00524435">
        <w:rPr>
          <w:snapToGrid w:val="0"/>
        </w:rPr>
        <w:t xml:space="preserve">, Rosalinda Cruz </w:t>
      </w:r>
      <w:proofErr w:type="spellStart"/>
      <w:r w:rsidRPr="00524435">
        <w:rPr>
          <w:snapToGrid w:val="0"/>
        </w:rPr>
        <w:t>Sequeira</w:t>
      </w:r>
      <w:proofErr w:type="spellEnd"/>
      <w:r w:rsidRPr="00524435">
        <w:rPr>
          <w:snapToGrid w:val="0"/>
        </w:rPr>
        <w:t xml:space="preserve">, José Francisco Ruiz </w:t>
      </w:r>
      <w:proofErr w:type="spellStart"/>
      <w:r w:rsidRPr="00524435">
        <w:rPr>
          <w:snapToGrid w:val="0"/>
        </w:rPr>
        <w:t>Gaekel</w:t>
      </w:r>
      <w:proofErr w:type="spellEnd"/>
      <w:r w:rsidRPr="00524435">
        <w:rPr>
          <w:snapToGrid w:val="0"/>
        </w:rPr>
        <w:t xml:space="preserve"> and Gustavo Enrique Bustillo Palma.</w:t>
      </w:r>
    </w:p>
    <w:bookmarkEnd w:id="60"/>
    <w:bookmarkEnd w:id="61"/>
    <w:p w14:paraId="214AA6E7" w14:textId="77777777" w:rsidR="001D3A5D" w:rsidRPr="00524435" w:rsidRDefault="001D3A5D" w:rsidP="00F275B0">
      <w:pPr>
        <w:pStyle w:val="Style2"/>
        <w:rPr>
          <w:rFonts w:cs="Arial"/>
          <w:lang w:val="en-US"/>
        </w:rPr>
      </w:pPr>
      <w:r w:rsidRPr="00524435">
        <w:rPr>
          <w:lang w:val="en-US"/>
        </w:rPr>
        <w:t xml:space="preserve">Jorge </w:t>
      </w:r>
      <w:proofErr w:type="spellStart"/>
      <w:r w:rsidRPr="00524435">
        <w:rPr>
          <w:lang w:val="en-US"/>
        </w:rPr>
        <w:t>Marcial</w:t>
      </w:r>
      <w:proofErr w:type="spellEnd"/>
      <w:r w:rsidRPr="00524435">
        <w:rPr>
          <w:lang w:val="en-US"/>
        </w:rPr>
        <w:t xml:space="preserve"> </w:t>
      </w:r>
      <w:proofErr w:type="spellStart"/>
      <w:r w:rsidRPr="00524435">
        <w:rPr>
          <w:lang w:val="en-US"/>
        </w:rPr>
        <w:t>Tzompaxtle</w:t>
      </w:r>
      <w:proofErr w:type="spellEnd"/>
      <w:r w:rsidRPr="00524435">
        <w:rPr>
          <w:lang w:val="en-US"/>
        </w:rPr>
        <w:t xml:space="preserve"> </w:t>
      </w:r>
      <w:proofErr w:type="spellStart"/>
      <w:r w:rsidRPr="00524435">
        <w:rPr>
          <w:lang w:val="en-US"/>
        </w:rPr>
        <w:t>Tecpile</w:t>
      </w:r>
      <w:proofErr w:type="spellEnd"/>
      <w:r w:rsidRPr="00524435">
        <w:rPr>
          <w:lang w:val="en-US"/>
        </w:rPr>
        <w:t xml:space="preserve"> and others v. Mexico</w:t>
      </w:r>
    </w:p>
    <w:p w14:paraId="1E28D896" w14:textId="77777777" w:rsidR="001D3A5D" w:rsidRPr="00524435" w:rsidRDefault="001D3A5D" w:rsidP="0003552D">
      <w:pPr>
        <w:pStyle w:val="ListParagraph"/>
      </w:pPr>
      <w:r w:rsidRPr="00524435">
        <w:rPr>
          <w:snapToGrid w:val="0"/>
        </w:rPr>
        <w:t xml:space="preserve">This case refers to the illegal and arbitrary detention in January 2006 of Jorge </w:t>
      </w:r>
      <w:proofErr w:type="spellStart"/>
      <w:r w:rsidRPr="00524435">
        <w:rPr>
          <w:snapToGrid w:val="0"/>
        </w:rPr>
        <w:t>Marcial</w:t>
      </w:r>
      <w:proofErr w:type="spellEnd"/>
      <w:r w:rsidRPr="00524435">
        <w:rPr>
          <w:snapToGrid w:val="0"/>
        </w:rPr>
        <w:t xml:space="preserve"> </w:t>
      </w:r>
      <w:proofErr w:type="spellStart"/>
      <w:r w:rsidRPr="00524435">
        <w:rPr>
          <w:snapToGrid w:val="0"/>
        </w:rPr>
        <w:t>Tzompaxtle</w:t>
      </w:r>
      <w:proofErr w:type="spellEnd"/>
      <w:r w:rsidRPr="00524435">
        <w:rPr>
          <w:snapToGrid w:val="0"/>
        </w:rPr>
        <w:t xml:space="preserve"> </w:t>
      </w:r>
      <w:proofErr w:type="spellStart"/>
      <w:r w:rsidRPr="00524435">
        <w:rPr>
          <w:snapToGrid w:val="0"/>
        </w:rPr>
        <w:t>Tecpile</w:t>
      </w:r>
      <w:proofErr w:type="spellEnd"/>
      <w:r w:rsidRPr="00524435">
        <w:rPr>
          <w:snapToGrid w:val="0"/>
        </w:rPr>
        <w:t xml:space="preserve">, Gerardo </w:t>
      </w:r>
      <w:proofErr w:type="spellStart"/>
      <w:r w:rsidRPr="00524435">
        <w:rPr>
          <w:snapToGrid w:val="0"/>
        </w:rPr>
        <w:t>Tzompaxtle</w:t>
      </w:r>
      <w:proofErr w:type="spellEnd"/>
      <w:r w:rsidRPr="00524435">
        <w:rPr>
          <w:snapToGrid w:val="0"/>
        </w:rPr>
        <w:t xml:space="preserve"> </w:t>
      </w:r>
      <w:proofErr w:type="spellStart"/>
      <w:r w:rsidRPr="00524435">
        <w:rPr>
          <w:snapToGrid w:val="0"/>
        </w:rPr>
        <w:t>Tecpile</w:t>
      </w:r>
      <w:proofErr w:type="spellEnd"/>
      <w:r w:rsidRPr="00524435">
        <w:rPr>
          <w:snapToGrid w:val="0"/>
        </w:rPr>
        <w:t xml:space="preserve">, and Gustavo Robles López by police officers on a highway between the cities of Veracruz and Mexico City, as well as the application of the concept of </w:t>
      </w:r>
      <w:proofErr w:type="spellStart"/>
      <w:r w:rsidRPr="00524435">
        <w:rPr>
          <w:i/>
          <w:iCs/>
          <w:snapToGrid w:val="0"/>
        </w:rPr>
        <w:t>arraigo</w:t>
      </w:r>
      <w:proofErr w:type="spellEnd"/>
      <w:r w:rsidRPr="00524435">
        <w:rPr>
          <w:snapToGrid w:val="0"/>
        </w:rPr>
        <w:t xml:space="preserve"> (precautionary detention to prevent evasion of an obligation or writ of ne exeat) and the lack of judicial guarantees in the criminal proceedings against them. </w:t>
      </w:r>
    </w:p>
    <w:p w14:paraId="2009B628" w14:textId="3D126401" w:rsidR="001D3A5D" w:rsidRPr="00524435" w:rsidRDefault="001D3A5D" w:rsidP="0003552D">
      <w:pPr>
        <w:pStyle w:val="ListParagraph"/>
      </w:pPr>
      <w:r w:rsidRPr="00524435">
        <w:rPr>
          <w:snapToGrid w:val="0"/>
        </w:rPr>
        <w:t xml:space="preserve">In its Report on the Merits, the Commission concluded that the victims were detained and searched by police officers without a warrant and that there was no evidence of any sign of a flagrante delicto situation. The Commission noted that the State did not point to the existence of objective reasons or parameters that could justify the detention, questions about their activities, or the search of the victims by police officers. Nor did the Mexican State refer to the existence of legislation that includes a requirement for police authorities to account in detail and in writing to their superiors, for the reasons that prompted a detention and subsequent search when there is neither </w:t>
      </w:r>
      <w:proofErr w:type="gramStart"/>
      <w:r w:rsidRPr="00524435">
        <w:rPr>
          <w:snapToGrid w:val="0"/>
        </w:rPr>
        <w:t>a warrant nor flagrante delicto</w:t>
      </w:r>
      <w:proofErr w:type="gramEnd"/>
      <w:r w:rsidRPr="00524435">
        <w:rPr>
          <w:snapToGrid w:val="0"/>
        </w:rPr>
        <w:t xml:space="preserve">. In view of the above, the Commission considered that the detention was illegal and arbitrary. It added that the subsequent search of the vehicle constituted an infringement of the right to privacy. The Commission also </w:t>
      </w:r>
      <w:proofErr w:type="gramStart"/>
      <w:r w:rsidRPr="00524435">
        <w:rPr>
          <w:snapToGrid w:val="0"/>
        </w:rPr>
        <w:t>took into account</w:t>
      </w:r>
      <w:proofErr w:type="gramEnd"/>
      <w:r w:rsidRPr="00524435">
        <w:rPr>
          <w:snapToGrid w:val="0"/>
        </w:rPr>
        <w:t xml:space="preserve"> the fact that the victims were not </w:t>
      </w:r>
      <w:proofErr w:type="spellStart"/>
      <w:r w:rsidR="002B0ECE" w:rsidRPr="00524435">
        <w:rPr>
          <w:snapToGrid w:val="0"/>
        </w:rPr>
        <w:t>Report</w:t>
      </w:r>
      <w:r w:rsidRPr="00524435">
        <w:rPr>
          <w:snapToGrid w:val="0"/>
        </w:rPr>
        <w:t>d</w:t>
      </w:r>
      <w:proofErr w:type="spellEnd"/>
      <w:r w:rsidRPr="00524435">
        <w:rPr>
          <w:snapToGrid w:val="0"/>
        </w:rPr>
        <w:t xml:space="preserve"> of the reasons for their detention and were not brought promptly before a judicial authority.</w:t>
      </w:r>
    </w:p>
    <w:p w14:paraId="2F9DD0D5" w14:textId="77777777" w:rsidR="001D3A5D" w:rsidRPr="00524435" w:rsidRDefault="001D3A5D" w:rsidP="0003552D">
      <w:pPr>
        <w:pStyle w:val="ListParagraph"/>
      </w:pPr>
      <w:r w:rsidRPr="00524435">
        <w:rPr>
          <w:snapToGrid w:val="0"/>
        </w:rPr>
        <w:t xml:space="preserve">The IACHR also analyzed the concept of </w:t>
      </w:r>
      <w:proofErr w:type="spellStart"/>
      <w:r w:rsidRPr="00524435">
        <w:rPr>
          <w:i/>
          <w:iCs/>
          <w:snapToGrid w:val="0"/>
        </w:rPr>
        <w:t>arraigo</w:t>
      </w:r>
      <w:proofErr w:type="spellEnd"/>
      <w:r w:rsidRPr="00524435">
        <w:rPr>
          <w:snapToGrid w:val="0"/>
        </w:rPr>
        <w:t xml:space="preserve"> and its application to the present case, </w:t>
      </w:r>
      <w:proofErr w:type="gramStart"/>
      <w:r w:rsidRPr="00524435">
        <w:rPr>
          <w:snapToGrid w:val="0"/>
        </w:rPr>
        <w:t>in light of</w:t>
      </w:r>
      <w:proofErr w:type="gramEnd"/>
      <w:r w:rsidRPr="00524435">
        <w:rPr>
          <w:snapToGrid w:val="0"/>
        </w:rPr>
        <w:t xml:space="preserve"> Inter-American standards. In this regard, the Commission established that the application of </w:t>
      </w:r>
      <w:proofErr w:type="spellStart"/>
      <w:r w:rsidRPr="00524435">
        <w:rPr>
          <w:i/>
          <w:iCs/>
          <w:snapToGrid w:val="0"/>
        </w:rPr>
        <w:t>arraigo</w:t>
      </w:r>
      <w:proofErr w:type="spellEnd"/>
      <w:r w:rsidRPr="00524435">
        <w:rPr>
          <w:snapToGrid w:val="0"/>
        </w:rPr>
        <w:t xml:space="preserve"> was a punitive and not a precautionary measure, the imposition of which is not justified in relation to persons who have not been convicted and even less so with respect to persons who are not even being criminally prosecuted. It also emphasized that in the instant case this situation violated the principle of the presumption of innocence of the victims. The Commission stated that the concept of </w:t>
      </w:r>
      <w:proofErr w:type="spellStart"/>
      <w:r w:rsidRPr="00524435">
        <w:rPr>
          <w:i/>
          <w:iCs/>
          <w:snapToGrid w:val="0"/>
        </w:rPr>
        <w:t>arraigo</w:t>
      </w:r>
      <w:proofErr w:type="spellEnd"/>
      <w:r w:rsidRPr="00524435">
        <w:rPr>
          <w:snapToGrid w:val="0"/>
        </w:rPr>
        <w:t xml:space="preserve"> is contrary to the American Convention and, in the present case, constituted an arbitrary detention since it did not have a legitimate purpose and did not meet the requirements of suitability, necessity, and proportionality. The Commission also considered that the application of preventive detention due to </w:t>
      </w:r>
      <w:proofErr w:type="spellStart"/>
      <w:r w:rsidRPr="00524435">
        <w:rPr>
          <w:i/>
          <w:iCs/>
          <w:snapToGrid w:val="0"/>
        </w:rPr>
        <w:t>arraigo</w:t>
      </w:r>
      <w:proofErr w:type="spellEnd"/>
      <w:r w:rsidRPr="00524435">
        <w:rPr>
          <w:snapToGrid w:val="0"/>
        </w:rPr>
        <w:t xml:space="preserve"> was arbitrary because it was based on alleged circumstantial evidence of liability, in which mention is even made of a presumption of liability that was not rebutted by the accused. </w:t>
      </w:r>
    </w:p>
    <w:p w14:paraId="54614CFA" w14:textId="77777777" w:rsidR="001D3A5D" w:rsidRPr="00524435" w:rsidRDefault="001D3A5D" w:rsidP="0003552D">
      <w:pPr>
        <w:pStyle w:val="ListParagraph"/>
      </w:pPr>
      <w:r w:rsidRPr="00524435">
        <w:rPr>
          <w:snapToGrid w:val="0"/>
        </w:rPr>
        <w:t xml:space="preserve">In addition, the Commission notes that the State did not dispute the allegations of the petitioner regarding the solitary confinement to which the victims were subjected on at least two occasions for seven and a half hours and one and a half days, respectively. The Commission concluded that those acts violated the personal integrity of the victims. Likewise, it found that, despite the lack of evidence of poor conditions in the house or in the penitentiary centers where the victims were held, the sum of violations derived from arbitrary deprivation of liberty and proceedings without due judicial guarantees also violated their right to psychological integrity. </w:t>
      </w:r>
    </w:p>
    <w:p w14:paraId="33D2E53E" w14:textId="77777777" w:rsidR="001D3A5D" w:rsidRPr="00524435" w:rsidRDefault="001D3A5D" w:rsidP="0003552D">
      <w:pPr>
        <w:pStyle w:val="ListParagraph"/>
      </w:pPr>
      <w:r w:rsidRPr="00524435">
        <w:rPr>
          <w:snapToGrid w:val="0"/>
        </w:rPr>
        <w:t xml:space="preserve">Finally, the Commission considered that the State violated the right to prior and detailed notification of the charges to defense counsel in the days immediately after the arrest, since during that time </w:t>
      </w:r>
      <w:r w:rsidRPr="00524435">
        <w:rPr>
          <w:snapToGrid w:val="0"/>
        </w:rPr>
        <w:lastRenderedPageBreak/>
        <w:t>relevant proceedings took place in which evidence was gathered against the victims and their preventive detention (</w:t>
      </w:r>
      <w:proofErr w:type="spellStart"/>
      <w:r w:rsidRPr="00524435">
        <w:rPr>
          <w:i/>
          <w:iCs/>
          <w:snapToGrid w:val="0"/>
        </w:rPr>
        <w:t>arraigo</w:t>
      </w:r>
      <w:proofErr w:type="spellEnd"/>
      <w:r w:rsidRPr="00524435">
        <w:rPr>
          <w:snapToGrid w:val="0"/>
        </w:rPr>
        <w:t>) was ordered.</w:t>
      </w:r>
    </w:p>
    <w:p w14:paraId="3CB14DDF" w14:textId="77777777" w:rsidR="001D3A5D" w:rsidRPr="00524435" w:rsidRDefault="001D3A5D" w:rsidP="0003552D">
      <w:pPr>
        <w:pStyle w:val="ListParagraph"/>
      </w:pPr>
      <w:r w:rsidRPr="00524435">
        <w:rPr>
          <w:snapToGrid w:val="0"/>
        </w:rPr>
        <w:t xml:space="preserve">Based on the above considerations, the IACHR concluded that the Mexican State is internationally responsible for the violation of Articles 5.1 (right to personal integrity), 7.1, 7.2, 7.3, 7.4, 7.5, and 7.6 (right to personal liberty); 8.1, 8.2, 8.2 b), 8.2 d), and 8.2 e) (right to judicial guarantees); 11.2 (right to privacy); and 25.1 (right to judicial protection) of the American Convention on Human Rights, in conjunction with the obligations established in Articles 1.1 and 2 of the same instrument. </w:t>
      </w:r>
    </w:p>
    <w:p w14:paraId="56F7DED3" w14:textId="5C781C57" w:rsidR="001D3A5D" w:rsidRPr="003F238D" w:rsidRDefault="001D3A5D" w:rsidP="00F275B0">
      <w:pPr>
        <w:pStyle w:val="Style2"/>
        <w:rPr>
          <w:rFonts w:cs="Arial"/>
          <w:lang w:val="es-US"/>
        </w:rPr>
      </w:pPr>
      <w:r w:rsidRPr="003F238D">
        <w:rPr>
          <w:lang w:val="es-US"/>
        </w:rPr>
        <w:t xml:space="preserve">Daniel García Rodríguez and Reyes </w:t>
      </w:r>
      <w:proofErr w:type="spellStart"/>
      <w:r w:rsidRPr="003F238D">
        <w:rPr>
          <w:lang w:val="es-US"/>
        </w:rPr>
        <w:t>Alpizar</w:t>
      </w:r>
      <w:proofErr w:type="spellEnd"/>
      <w:r w:rsidRPr="003F238D">
        <w:rPr>
          <w:lang w:val="es-US"/>
        </w:rPr>
        <w:t xml:space="preserve"> </w:t>
      </w:r>
      <w:proofErr w:type="spellStart"/>
      <w:r w:rsidRPr="003F238D">
        <w:rPr>
          <w:lang w:val="es-US"/>
        </w:rPr>
        <w:t>Ortíz</w:t>
      </w:r>
      <w:proofErr w:type="spellEnd"/>
      <w:r w:rsidRPr="003F238D">
        <w:rPr>
          <w:lang w:val="es-US"/>
        </w:rPr>
        <w:t xml:space="preserve"> v. </w:t>
      </w:r>
      <w:proofErr w:type="spellStart"/>
      <w:r w:rsidRPr="003F238D">
        <w:rPr>
          <w:lang w:val="es-US"/>
        </w:rPr>
        <w:t>Mexico</w:t>
      </w:r>
      <w:proofErr w:type="spellEnd"/>
    </w:p>
    <w:p w14:paraId="7E2C3A36" w14:textId="77777777" w:rsidR="001D3A5D" w:rsidRPr="00524435" w:rsidRDefault="001D3A5D" w:rsidP="0003552D">
      <w:pPr>
        <w:pStyle w:val="ListParagraph"/>
      </w:pPr>
      <w:r w:rsidRPr="00524435">
        <w:t xml:space="preserve">The case relates to Mexico's international responsibility for the torture and violations of due process and personal liberty against Daniel García Rodríguez and Reyes </w:t>
      </w:r>
      <w:proofErr w:type="spellStart"/>
      <w:r w:rsidRPr="00524435">
        <w:t>Alpízar</w:t>
      </w:r>
      <w:proofErr w:type="spellEnd"/>
      <w:r w:rsidRPr="00524435">
        <w:t xml:space="preserve"> </w:t>
      </w:r>
      <w:proofErr w:type="spellStart"/>
      <w:r w:rsidRPr="00524435">
        <w:t>Ortíz</w:t>
      </w:r>
      <w:proofErr w:type="spellEnd"/>
      <w:r w:rsidRPr="00524435">
        <w:t xml:space="preserve">, who were held in pretrial detention for more than 17 years. </w:t>
      </w:r>
    </w:p>
    <w:p w14:paraId="01C22999" w14:textId="7ECA6F4D" w:rsidR="001D3A5D" w:rsidRPr="00524435" w:rsidRDefault="001D3A5D" w:rsidP="0003552D">
      <w:pPr>
        <w:pStyle w:val="ListParagraph"/>
      </w:pPr>
      <w:r w:rsidRPr="00524435">
        <w:t xml:space="preserve">In its Report on the Merits, the Commission observed that the victims were detained without being shown a warrant issued prior to their detention and without compliance with the conditions established in the Code of Criminal Procedures. In this regard, the Commission concluded that Daniel García and Reyes </w:t>
      </w:r>
      <w:proofErr w:type="spellStart"/>
      <w:r w:rsidRPr="00524435">
        <w:t>Alpízar</w:t>
      </w:r>
      <w:proofErr w:type="spellEnd"/>
      <w:r w:rsidRPr="00524435">
        <w:t xml:space="preserve"> were only formally </w:t>
      </w:r>
      <w:proofErr w:type="spellStart"/>
      <w:r w:rsidR="002B0ECE" w:rsidRPr="00524435">
        <w:t>Report</w:t>
      </w:r>
      <w:r w:rsidRPr="00524435">
        <w:t>d</w:t>
      </w:r>
      <w:proofErr w:type="spellEnd"/>
      <w:r w:rsidRPr="00524435">
        <w:t xml:space="preserve"> of the reasons for their detention and the charges against them when they were brought before a judge, 45 and 34 days after their deprivation of liberty, during which time they were detained under </w:t>
      </w:r>
      <w:proofErr w:type="spellStart"/>
      <w:r w:rsidRPr="00524435">
        <w:rPr>
          <w:i/>
          <w:iCs/>
        </w:rPr>
        <w:t>arraigo</w:t>
      </w:r>
      <w:proofErr w:type="spellEnd"/>
      <w:r w:rsidRPr="00524435">
        <w:rPr>
          <w:i/>
          <w:iCs/>
        </w:rPr>
        <w:t xml:space="preserve"> (preventive detention)</w:t>
      </w:r>
      <w:r w:rsidRPr="00524435">
        <w:t xml:space="preserve">. </w:t>
      </w:r>
    </w:p>
    <w:p w14:paraId="10C28F5A" w14:textId="22683F2F" w:rsidR="001D3A5D" w:rsidRPr="00524435" w:rsidRDefault="001D3A5D" w:rsidP="0003552D">
      <w:pPr>
        <w:pStyle w:val="ListParagraph"/>
      </w:pPr>
      <w:r w:rsidRPr="00524435">
        <w:t xml:space="preserve">The Commission observed that, at the time of the </w:t>
      </w:r>
      <w:r w:rsidR="007E4DFF" w:rsidRPr="00524435">
        <w:t xml:space="preserve">facts, </w:t>
      </w:r>
      <w:proofErr w:type="spellStart"/>
      <w:r w:rsidR="007E4DFF" w:rsidRPr="00524435">
        <w:t>arraigo</w:t>
      </w:r>
      <w:proofErr w:type="spellEnd"/>
      <w:r w:rsidRPr="00524435">
        <w:t xml:space="preserve"> was provided for by the legislation of the State of Mexico and granted the Public Prosecutors' Office, within the scope of an investigation, power to hold individuals for a maximum of 60 days while an investigation was conducted before formally charging them with any crime. In the instant case, the Commission established that the application of </w:t>
      </w:r>
      <w:proofErr w:type="spellStart"/>
      <w:r w:rsidRPr="00524435">
        <w:rPr>
          <w:i/>
          <w:iCs/>
        </w:rPr>
        <w:t>arraigo</w:t>
      </w:r>
      <w:proofErr w:type="spellEnd"/>
      <w:r w:rsidRPr="00524435">
        <w:t xml:space="preserve"> constituted a punitive and not a precautionary measure, and therefore an arbitrary deprivation of liberty that violated the principle of presumption of innocence. Likewise, it concluded that the preventive detention after the </w:t>
      </w:r>
      <w:proofErr w:type="spellStart"/>
      <w:r w:rsidRPr="00524435">
        <w:rPr>
          <w:i/>
          <w:iCs/>
        </w:rPr>
        <w:t>arraigo</w:t>
      </w:r>
      <w:proofErr w:type="spellEnd"/>
      <w:r w:rsidRPr="00524435">
        <w:t xml:space="preserve">, which was extended for 17 years, was arbitrary since it had punitive effects amounting to an anticipated sentence, without the victims having an effective remedy to analyze its reasonableness in accordance with its procedural purposes. </w:t>
      </w:r>
    </w:p>
    <w:p w14:paraId="13022F17" w14:textId="5EE66F1A" w:rsidR="001D3A5D" w:rsidRPr="00524435" w:rsidRDefault="001D3A5D" w:rsidP="0003552D">
      <w:pPr>
        <w:pStyle w:val="ListParagraph"/>
      </w:pPr>
      <w:r w:rsidRPr="00524435">
        <w:t xml:space="preserve">In addition, with respect to the allegations of torture, the Commission determined that the State did not provide a satisfactory explanation to refute these allegations and the evidence of the occurrence of torture. Based on </w:t>
      </w:r>
      <w:r w:rsidR="007E4DFF" w:rsidRPr="00524435">
        <w:t>this and</w:t>
      </w:r>
      <w:r w:rsidRPr="00524435">
        <w:t xml:space="preserve"> </w:t>
      </w:r>
      <w:proofErr w:type="gramStart"/>
      <w:r w:rsidRPr="00524435">
        <w:t>taking into account</w:t>
      </w:r>
      <w:proofErr w:type="gramEnd"/>
      <w:r w:rsidRPr="00524435">
        <w:t xml:space="preserve"> that its purpose was allegedly to break their psychological resistance and force the victims to self-incriminate themselves or to accuse certain persons of criminal acts, the Commission considered that the victims were subjected to torture. Furthermore, given that evidence obtained under torture was not excluded until it was duly investigated and disproved, the Commission concluded that the State violated the rule of exclusion of evidence obtained under duress.</w:t>
      </w:r>
    </w:p>
    <w:p w14:paraId="55D54318" w14:textId="77777777" w:rsidR="001D3A5D" w:rsidRPr="00524435" w:rsidRDefault="001D3A5D" w:rsidP="0003552D">
      <w:pPr>
        <w:pStyle w:val="ListParagraph"/>
      </w:pPr>
      <w:r w:rsidRPr="00524435">
        <w:t xml:space="preserve">The Commission also concluded that the right to defense was violated since, inter alia, the victims were unable to present the evidence they considered vital during the criminal proceedings and the judge in the case did not take steps to ensure the submission of information or the appearance of witnesses needed to ascertain the truth.  The Commission also established that during the investigation and the criminal proceedings, and without the victims having been convicted in a final judgment, they were presented by the Public Prosecutors' Office as guilty, in violation of the principle of presumption of innocence. Finally, the Commission considered that the State did not comply with its obligation to try the victims within a reasonable </w:t>
      </w:r>
      <w:proofErr w:type="gramStart"/>
      <w:r w:rsidRPr="00524435">
        <w:t>period of time</w:t>
      </w:r>
      <w:proofErr w:type="gramEnd"/>
      <w:r w:rsidRPr="00524435">
        <w:t>.</w:t>
      </w:r>
    </w:p>
    <w:p w14:paraId="717BE355" w14:textId="77777777" w:rsidR="001D3A5D" w:rsidRPr="00524435" w:rsidRDefault="001D3A5D" w:rsidP="00F275B0">
      <w:pPr>
        <w:pStyle w:val="Style2"/>
        <w:rPr>
          <w:bCs/>
          <w:lang w:val="en-US"/>
        </w:rPr>
      </w:pPr>
      <w:r w:rsidRPr="00524435">
        <w:rPr>
          <w:lang w:val="en-US"/>
        </w:rPr>
        <w:t xml:space="preserve">Fabio </w:t>
      </w:r>
      <w:proofErr w:type="spellStart"/>
      <w:r w:rsidRPr="00524435">
        <w:rPr>
          <w:lang w:val="en-US"/>
        </w:rPr>
        <w:t>Gadea</w:t>
      </w:r>
      <w:proofErr w:type="spellEnd"/>
      <w:r w:rsidRPr="00524435">
        <w:rPr>
          <w:lang w:val="en-US"/>
        </w:rPr>
        <w:t xml:space="preserve"> Mantilla v. Nicaragua</w:t>
      </w:r>
    </w:p>
    <w:p w14:paraId="38CD1822" w14:textId="77777777" w:rsidR="001D3A5D" w:rsidRPr="00524435" w:rsidRDefault="001D3A5D" w:rsidP="0003552D">
      <w:pPr>
        <w:pStyle w:val="ListParagraph"/>
      </w:pPr>
      <w:r w:rsidRPr="00524435">
        <w:t xml:space="preserve">This case has to do with the international responsibility of the State for violation of the political rights and judicial protection of </w:t>
      </w:r>
      <w:r w:rsidRPr="00524435">
        <w:rPr>
          <w:color w:val="000000" w:themeColor="text1"/>
        </w:rPr>
        <w:t xml:space="preserve">Fabio </w:t>
      </w:r>
      <w:proofErr w:type="spellStart"/>
      <w:r w:rsidRPr="00524435">
        <w:rPr>
          <w:color w:val="000000" w:themeColor="text1"/>
        </w:rPr>
        <w:t>Gadea</w:t>
      </w:r>
      <w:proofErr w:type="spellEnd"/>
      <w:r w:rsidRPr="00524435">
        <w:rPr>
          <w:color w:val="000000" w:themeColor="text1"/>
        </w:rPr>
        <w:t xml:space="preserve"> Mantilla in connection with all his political participation </w:t>
      </w:r>
      <w:r w:rsidRPr="00524435">
        <w:rPr>
          <w:color w:val="000000" w:themeColor="text1"/>
        </w:rPr>
        <w:lastRenderedPageBreak/>
        <w:t>as a presidential candidate in the 2011 electoral process</w:t>
      </w:r>
      <w:r w:rsidRPr="00524435">
        <w:t xml:space="preserve">. On March 9, </w:t>
      </w:r>
      <w:proofErr w:type="gramStart"/>
      <w:r w:rsidRPr="00524435">
        <w:t>2011</w:t>
      </w:r>
      <w:proofErr w:type="gramEnd"/>
      <w:r w:rsidRPr="00524435">
        <w:t xml:space="preserve"> Fabio </w:t>
      </w:r>
      <w:proofErr w:type="spellStart"/>
      <w:r w:rsidRPr="00524435">
        <w:t>Gadea</w:t>
      </w:r>
      <w:proofErr w:type="spellEnd"/>
      <w:r w:rsidRPr="00524435">
        <w:t xml:space="preserve"> Mantilla registered his candidacy before the Supreme Electoral Council for the position of president. Subsequently, that body published the final list of candidates, which included both Mr. </w:t>
      </w:r>
      <w:proofErr w:type="spellStart"/>
      <w:r w:rsidRPr="00524435">
        <w:t>Gadea</w:t>
      </w:r>
      <w:proofErr w:type="spellEnd"/>
      <w:r w:rsidRPr="00524435">
        <w:t xml:space="preserve"> and President Ortega. Considering that President Ortega's registration was illegal, the victim and other candidates filed a challenge before the Supreme Electoral Council, which was declared inadmissible on April 4, 2011. The victim could not file an appeal to obtain a judicial review of this decision since the Constitution established that the resolutions of the Supreme Council in electoral matters could not be appealed. On November 6, 2011, presidential elections were held in Nicaragua in which President Ortega was reelected with 62.64% of the votes and Mr. </w:t>
      </w:r>
      <w:proofErr w:type="spellStart"/>
      <w:r w:rsidRPr="00524435">
        <w:t>Gadea</w:t>
      </w:r>
      <w:proofErr w:type="spellEnd"/>
      <w:r w:rsidRPr="00524435">
        <w:t xml:space="preserve"> came second.</w:t>
      </w:r>
    </w:p>
    <w:p w14:paraId="2F23ABB1" w14:textId="77777777" w:rsidR="001D3A5D" w:rsidRPr="00524435" w:rsidRDefault="001D3A5D" w:rsidP="0003552D">
      <w:pPr>
        <w:pStyle w:val="ListParagraph"/>
      </w:pPr>
      <w:r w:rsidRPr="00524435">
        <w:t xml:space="preserve">In its Report on the Merits, the Commission considered it proven that there is a general context in Nicaragua of concentration of power in the Executive Branch. </w:t>
      </w:r>
      <w:proofErr w:type="gramStart"/>
      <w:r w:rsidRPr="00524435">
        <w:t>Despite the fact that</w:t>
      </w:r>
      <w:proofErr w:type="gramEnd"/>
      <w:r w:rsidRPr="00524435">
        <w:t xml:space="preserve"> Article 147 of the Constitution prohibited presidential reelection after holding the presidency for two terms, in October 2009, in response to an amparo appeal filed by the President and other persons, the Constitutional Chamber of the Supreme Court of Justice determined the inapplicability of said article for violating the principle of equality, and the plenary of said body determined the inapplicability </w:t>
      </w:r>
      <w:proofErr w:type="spellStart"/>
      <w:r w:rsidRPr="00524435">
        <w:rPr>
          <w:i/>
        </w:rPr>
        <w:t>erga</w:t>
      </w:r>
      <w:proofErr w:type="spellEnd"/>
      <w:r w:rsidRPr="00524435">
        <w:rPr>
          <w:i/>
        </w:rPr>
        <w:t xml:space="preserve"> omnes</w:t>
      </w:r>
      <w:r w:rsidRPr="00524435">
        <w:t xml:space="preserve"> of the aforementioned constitutional norm. At the same time, the Commission noted that various bodies that conducted electoral observation in Nicaragua in 2011 pointed out structural issues in the process. In particular, the European Union described the process as lacking neutrality and transparency, led "by an Electoral Council with scant independence and impartiality that did not fulfill its duty of transparency and collaboration with all parties." Although in the instant case it is not appropriate to determine </w:t>
      </w:r>
      <w:proofErr w:type="gramStart"/>
      <w:r w:rsidRPr="00524435">
        <w:t>whether or not</w:t>
      </w:r>
      <w:proofErr w:type="gramEnd"/>
      <w:r w:rsidRPr="00524435">
        <w:t xml:space="preserve"> reelection is a human right, the Commission emphasized that indefinite reelection, or extended periods of presidential office by the same person in certain contexts where there are no adequate safeguards or guarantees, may pose certain risks to the system of representative democracy, a fundamental pillar of the inter-American system.</w:t>
      </w:r>
    </w:p>
    <w:p w14:paraId="067E68E4" w14:textId="45A90BA2" w:rsidR="001D3A5D" w:rsidRPr="00524435" w:rsidRDefault="001D3A5D" w:rsidP="0003552D">
      <w:pPr>
        <w:pStyle w:val="ListParagraph"/>
      </w:pPr>
      <w:r w:rsidRPr="00524435">
        <w:t xml:space="preserve">The Commission noted that Article 23 of the American Convention recognizes political rights and protects political participation through the right to active suffrage, as well as the right to passive suffrage, whereby the latter is understood to mean the right to run for elected office, as well as the right to have access, under general conditions of equality, to the public service of one’s country. This article not only establishes that citizens must enjoy rights; it also adds the term “opportunities.” The latter term implies the obligation to guarantee with positive measures that every person who formally holds political rights has a real opportunity to exercise them. In addition, the Commission established that the authenticity of elections encompasses several dimensions. On the one hand, the general conditions in which the electoral process takes </w:t>
      </w:r>
      <w:r w:rsidR="009D687A" w:rsidRPr="00524435">
        <w:t>place,</w:t>
      </w:r>
      <w:r w:rsidRPr="00524435">
        <w:t xml:space="preserve"> and, on the other hand, those related to the legal and institutional system that organizes the elections and executes the actions inherent to them</w:t>
      </w:r>
      <w:proofErr w:type="gramStart"/>
      <w:r w:rsidRPr="00524435">
        <w:t>, that is to say, everything</w:t>
      </w:r>
      <w:proofErr w:type="gramEnd"/>
      <w:r w:rsidRPr="00524435">
        <w:t xml:space="preserve"> directly and immediately related to the casting of the vote.</w:t>
      </w:r>
    </w:p>
    <w:p w14:paraId="3A8AA029" w14:textId="77777777" w:rsidR="001D3A5D" w:rsidRPr="00524435" w:rsidRDefault="001D3A5D" w:rsidP="0003552D">
      <w:pPr>
        <w:pStyle w:val="ListParagraph"/>
      </w:pPr>
      <w:r w:rsidRPr="00524435">
        <w:t xml:space="preserve">Based on these considerations, the Commission’s understanding is that, </w:t>
      </w:r>
      <w:proofErr w:type="gramStart"/>
      <w:r w:rsidRPr="00524435">
        <w:t>in order for</w:t>
      </w:r>
      <w:proofErr w:type="gramEnd"/>
      <w:r w:rsidRPr="00524435">
        <w:t xml:space="preserve"> elections to comply with the requirements of Article 23 of the Convention, it is essential that States adopt measures to ensure appropriate general conditions for the electoral contest. Likewise, it recognized that by complying with the obligations needed to guarantee the authenticity of the elections, the obligations deriving from political rights are being met not only from an active perspective, but also from a passive perspective, because equity in the electoral contest contributes to the observance of the right to participate in conditions of equality.</w:t>
      </w:r>
    </w:p>
    <w:p w14:paraId="732F1A9C" w14:textId="77777777" w:rsidR="001D3A5D" w:rsidRPr="00524435" w:rsidRDefault="001D3A5D" w:rsidP="0003552D">
      <w:pPr>
        <w:pStyle w:val="ListParagraph"/>
      </w:pPr>
      <w:r w:rsidRPr="00524435">
        <w:t xml:space="preserve">In its Report on the Merits, the Commission examined whether Mr. </w:t>
      </w:r>
      <w:proofErr w:type="spellStart"/>
      <w:r w:rsidRPr="00524435">
        <w:t>Gadea's</w:t>
      </w:r>
      <w:proofErr w:type="spellEnd"/>
      <w:r w:rsidRPr="00524435">
        <w:t xml:space="preserve"> right to participate under equal conditions in the 2011 national elections was violated, </w:t>
      </w:r>
      <w:proofErr w:type="gramStart"/>
      <w:r w:rsidRPr="00524435">
        <w:t>taking into account</w:t>
      </w:r>
      <w:proofErr w:type="gramEnd"/>
      <w:r w:rsidRPr="00524435">
        <w:t xml:space="preserve"> the circumstances in which the electoral process took place. The Commission considered it proven that President Ortega, who was in office during the electoral process, participated from an advantageous, higher position. In reaching that conclusion, the Commission </w:t>
      </w:r>
      <w:proofErr w:type="gramStart"/>
      <w:r w:rsidRPr="00524435">
        <w:t>took into account</w:t>
      </w:r>
      <w:proofErr w:type="gramEnd"/>
      <w:r w:rsidRPr="00524435">
        <w:t xml:space="preserve"> the general context of concentration of power in the hands of the Executive Branch as accredited by the IACHR at the time of the 2011 elections, which resulted in allegations of lack of independence and impartiality of the Supreme Court of Justice, the Supreme Electoral Council, and appointments of persons related to the Executive Branch in various oversight bodies. The Commission also </w:t>
      </w:r>
      <w:proofErr w:type="gramStart"/>
      <w:r w:rsidRPr="00524435">
        <w:t>took into account</w:t>
      </w:r>
      <w:proofErr w:type="gramEnd"/>
      <w:r w:rsidRPr="00524435">
        <w:t xml:space="preserve"> the irregularities detected in the electoral process that translated into advantages through the use of additional public resources and means for President Ortega, such as increased electoral propaganda in his favor in the media and the closing of slots in State channels for the other political parties. </w:t>
      </w:r>
    </w:p>
    <w:p w14:paraId="711CCB14" w14:textId="77777777" w:rsidR="001D3A5D" w:rsidRPr="00524435" w:rsidRDefault="001D3A5D" w:rsidP="0003552D">
      <w:pPr>
        <w:pStyle w:val="ListParagraph"/>
      </w:pPr>
      <w:r w:rsidRPr="00524435">
        <w:lastRenderedPageBreak/>
        <w:t xml:space="preserve">The Commission concluded that those factors demonstrate the existence of a violation of Mr. </w:t>
      </w:r>
      <w:proofErr w:type="spellStart"/>
      <w:r w:rsidRPr="00524435">
        <w:t>Gadea's</w:t>
      </w:r>
      <w:proofErr w:type="spellEnd"/>
      <w:r w:rsidRPr="00524435">
        <w:t xml:space="preserve"> right to participate in the electoral process under equal conditions, in view of the advantages generated by the State itself for the incumbent President, who participated in the process from a higher, more advantageous position. The IACHR pointed out that the violation of the right to participate under equal conditions in an electoral contest may affect not only individual rights, but also the collective dimension of political rights, that is, the will of voters as expressed through universal suffrage. That is because said violation may impair democratic fairness by generating undue advantages for certain candidates over the other participants who submit their candidacy to popular election.  </w:t>
      </w:r>
    </w:p>
    <w:p w14:paraId="78A7BA92" w14:textId="6DA5A12D" w:rsidR="001D3A5D" w:rsidRPr="00524435" w:rsidRDefault="001D3A5D" w:rsidP="0003552D">
      <w:pPr>
        <w:pStyle w:val="ListParagraph"/>
      </w:pPr>
      <w:r w:rsidRPr="00524435">
        <w:t xml:space="preserve">Finally, the Commission considered that the possibility of judicially challenging the decision of the Supreme Electoral Council of April 4, </w:t>
      </w:r>
      <w:proofErr w:type="gramStart"/>
      <w:r w:rsidRPr="00524435">
        <w:t>2011</w:t>
      </w:r>
      <w:proofErr w:type="gramEnd"/>
      <w:r w:rsidRPr="00524435">
        <w:t xml:space="preserve"> was of particular importance considering the text of the Constitution, which would indicate that President Ortega was prohibited from participating in the electoral </w:t>
      </w:r>
      <w:r w:rsidR="00377058" w:rsidRPr="00524435">
        <w:t>contest and</w:t>
      </w:r>
      <w:r w:rsidRPr="00524435">
        <w:t xml:space="preserve"> considering the allegations of lack of impartiality of the Supreme Electoral Council</w:t>
      </w:r>
      <w:r w:rsidR="009D687A" w:rsidRPr="00524435">
        <w:t xml:space="preserve"> </w:t>
      </w:r>
      <w:r w:rsidRPr="00524435">
        <w:t xml:space="preserve">and the position that the victim occupied in the electoral process. </w:t>
      </w:r>
    </w:p>
    <w:p w14:paraId="55AD5A11" w14:textId="43578E8E" w:rsidR="001D3A5D" w:rsidRPr="00524435" w:rsidRDefault="001D3A5D" w:rsidP="0003552D">
      <w:pPr>
        <w:pStyle w:val="ListParagraph"/>
      </w:pPr>
      <w:r w:rsidRPr="00524435">
        <w:t>Based on those findings, the Commission concluded that the Nicaraguan State is responsible for violating the rights established in Articles 23.1 (c) (political rights) and 25.1 (judicial protection) of the American Convention on Human Rights, in conjunction with the obligations established in articles 1.1 and 2 thereof.</w:t>
      </w:r>
    </w:p>
    <w:p w14:paraId="1104C6A3" w14:textId="199B6532" w:rsidR="002D2A24" w:rsidRPr="00524435" w:rsidRDefault="002D2A24" w:rsidP="00F275B0">
      <w:pPr>
        <w:pStyle w:val="Style2"/>
        <w:rPr>
          <w:lang w:val="en-US"/>
        </w:rPr>
      </w:pPr>
      <w:r w:rsidRPr="00524435">
        <w:rPr>
          <w:lang w:val="en-US"/>
        </w:rPr>
        <w:t xml:space="preserve">Rama and Kriol Peoples, Monkey Point Community, and Black Creole Indigenous Community of </w:t>
      </w:r>
      <w:proofErr w:type="spellStart"/>
      <w:r w:rsidRPr="00524435">
        <w:rPr>
          <w:lang w:val="en-US"/>
        </w:rPr>
        <w:t>Bluefields</w:t>
      </w:r>
      <w:proofErr w:type="spellEnd"/>
      <w:r w:rsidRPr="00524435">
        <w:rPr>
          <w:lang w:val="en-US"/>
        </w:rPr>
        <w:t>, and their members v. Nicaragua</w:t>
      </w:r>
    </w:p>
    <w:p w14:paraId="0116659F" w14:textId="042AA052" w:rsidR="002D2A24" w:rsidRPr="00524435" w:rsidRDefault="002D2A24" w:rsidP="0003552D">
      <w:pPr>
        <w:pStyle w:val="ListParagraph"/>
      </w:pPr>
      <w:r w:rsidRPr="00524435">
        <w:t xml:space="preserve">The case is related to the international responsibility of the State for the violation of several rights of the Rama and Kriol peoples, including the nine communities that make up the territory of these peoples, as well as the Black Creole Indigenous Community of </w:t>
      </w:r>
      <w:proofErr w:type="spellStart"/>
      <w:r w:rsidRPr="00524435">
        <w:t>Bluefields</w:t>
      </w:r>
      <w:proofErr w:type="spellEnd"/>
      <w:r w:rsidRPr="00524435">
        <w:t>, and its members.</w:t>
      </w:r>
    </w:p>
    <w:p w14:paraId="53452B59" w14:textId="71C0FD23" w:rsidR="002D2A24" w:rsidRPr="00524435" w:rsidRDefault="002D2A24" w:rsidP="0003552D">
      <w:pPr>
        <w:pStyle w:val="ListParagraph"/>
      </w:pPr>
      <w:r w:rsidRPr="00524435">
        <w:t xml:space="preserve">The Rama and Kriol people are made up of nine indigenous communities, six of the Rama people and three of the Kriol people, who live in the Autonomous Region of the Southern Caribbean Coast (RACCS) and in the Department of Río San Juan, in southeastern Nicaragua. The </w:t>
      </w:r>
      <w:proofErr w:type="spellStart"/>
      <w:r w:rsidRPr="00524435">
        <w:t>Comunidad</w:t>
      </w:r>
      <w:proofErr w:type="spellEnd"/>
      <w:r w:rsidRPr="00524435">
        <w:t xml:space="preserve"> Negra Creole </w:t>
      </w:r>
      <w:proofErr w:type="spellStart"/>
      <w:r w:rsidRPr="00524435">
        <w:t>Indígena</w:t>
      </w:r>
      <w:proofErr w:type="spellEnd"/>
      <w:r w:rsidRPr="00524435">
        <w:t xml:space="preserve"> de </w:t>
      </w:r>
      <w:proofErr w:type="spellStart"/>
      <w:r w:rsidRPr="00524435">
        <w:t>Bluefields</w:t>
      </w:r>
      <w:proofErr w:type="spellEnd"/>
      <w:r w:rsidRPr="00524435">
        <w:t xml:space="preserve"> (CNCIB or </w:t>
      </w:r>
      <w:proofErr w:type="spellStart"/>
      <w:r w:rsidRPr="00524435">
        <w:t>Bluefields</w:t>
      </w:r>
      <w:proofErr w:type="spellEnd"/>
      <w:r w:rsidRPr="00524435">
        <w:t xml:space="preserve"> Community) is the largest Afro-descendant community in Nicaragua. Its history is linked to the syncretism of indigenous and Afro-descendant societies on the Caribbean Coast. The economy of these peoples is largely subsistence and depends on the natural resources of their traditionally and collectively shared territories. Historically, these indigenous and Afro-descendant peoples and communities have demanded recognition, </w:t>
      </w:r>
      <w:proofErr w:type="gramStart"/>
      <w:r w:rsidRPr="00524435">
        <w:t>titling</w:t>
      </w:r>
      <w:proofErr w:type="gramEnd"/>
      <w:r w:rsidRPr="00524435">
        <w:t xml:space="preserve"> and demarcation of their traditional territory, and have sought its protection from initiatives that threaten their physical and cultural integrity.</w:t>
      </w:r>
    </w:p>
    <w:p w14:paraId="1F9CE414" w14:textId="48F7D9C8" w:rsidR="002D2A24" w:rsidRPr="00524435" w:rsidRDefault="002D2A24" w:rsidP="0003552D">
      <w:pPr>
        <w:pStyle w:val="ListParagraph"/>
      </w:pPr>
      <w:r w:rsidRPr="00524435">
        <w:t xml:space="preserve">In December 2009, the National Commission for Demarcation and Titling (CONADETI) issued the "Title of Full Dominion over Communal Property" of the Rama and Kriol Territory, made up of nine communities, and established a special communal property regime over the area identified as a Conservation and Preservation Zone. On the other hand, in 2006 the </w:t>
      </w:r>
      <w:proofErr w:type="spellStart"/>
      <w:r w:rsidRPr="00524435">
        <w:t>Bluefields</w:t>
      </w:r>
      <w:proofErr w:type="spellEnd"/>
      <w:r w:rsidRPr="00524435">
        <w:t xml:space="preserve"> Community (CNCIB) initiated the administrative process of demarcation and titling of its territories in the framework of which a diagnosis was carried out in 2012 that concluded that the territory comprises a land and marine area of 2,119,650 hectares. On March 31, 2016, CONADETI granted a "Communal Property Title" of full dominion in favor of the CNCIB over a total area, terrestrial and marine, of 155,159.0931 hectares.</w:t>
      </w:r>
    </w:p>
    <w:p w14:paraId="60E6A409" w14:textId="3719549A" w:rsidR="002D2A24" w:rsidRPr="00524435" w:rsidRDefault="002D2A24" w:rsidP="0003552D">
      <w:pPr>
        <w:pStyle w:val="ListParagraph"/>
      </w:pPr>
      <w:r w:rsidRPr="00524435">
        <w:t xml:space="preserve">On the other hand, in 2013 the South Atlantic Autonomous Regional Council (CRAAS) approved the authorization by the State of Nicaragua of the mega project Grand Interoceanic Canal of Nicaragua (GCIN). Said project had been approved the previous year through Law 840, which declared the construction of the canal to be of national interest and granted a concession in favor of the Hong Kong Nicaragua Development Corporation to operate the project for fifty years, extendable for a similar term. In 2014 the Government announced that the GCIN route would cross the Rama and Kriol territory and would involve the construction of a </w:t>
      </w:r>
      <w:proofErr w:type="gramStart"/>
      <w:r w:rsidRPr="00524435">
        <w:t>deep water</w:t>
      </w:r>
      <w:proofErr w:type="gramEnd"/>
      <w:r w:rsidRPr="00524435">
        <w:t xml:space="preserve"> port within the maritime and land territory.</w:t>
      </w:r>
    </w:p>
    <w:p w14:paraId="0B2FE622" w14:textId="6AB6C993" w:rsidR="002D2A24" w:rsidRPr="00524435" w:rsidRDefault="002D2A24" w:rsidP="0003552D">
      <w:pPr>
        <w:pStyle w:val="ListParagraph"/>
      </w:pPr>
      <w:r w:rsidRPr="00524435">
        <w:lastRenderedPageBreak/>
        <w:t xml:space="preserve">On July 17, 2014, the Government of the </w:t>
      </w:r>
      <w:proofErr w:type="gramStart"/>
      <w:r w:rsidRPr="00524435">
        <w:t>Rama</w:t>
      </w:r>
      <w:proofErr w:type="gramEnd"/>
      <w:r w:rsidRPr="00524435">
        <w:t xml:space="preserve"> and Kriol Peoples (GTR-K) requested information from the Nicaraguan State on the GCIN project and asked to hold a dialogue prior to the consultation procedure. In January 2015, meetings were held between representatives of a Nicaraguan Government Commission for Free and </w:t>
      </w:r>
      <w:proofErr w:type="spellStart"/>
      <w:r w:rsidR="002B0ECE" w:rsidRPr="00524435">
        <w:t>Report</w:t>
      </w:r>
      <w:r w:rsidRPr="00524435">
        <w:t>d</w:t>
      </w:r>
      <w:proofErr w:type="spellEnd"/>
      <w:r w:rsidRPr="00524435">
        <w:t xml:space="preserve"> Prior Consultation (GRUN) and members of the RTG-K, in the framework of which a consultation plan was adopted. This plan approved "the implementation of the consultation until consent was obtained". The Government, for its part, undertook not to expropriate the GRT-K's lands or confiscate its natural resources. In 2016, the Territorial Assembly of the Rama and Kriol People approved a Consent Agreement to lease 263 km2 of the communities' territory indefinitely in favor of the Government Commission in charge of the GCIN. Some of the members of the GTR-K publicly denounced that they had been pressured to sign the minutes of approval of the agreement.</w:t>
      </w:r>
    </w:p>
    <w:p w14:paraId="479C594D" w14:textId="2EC91E20" w:rsidR="002D2A24" w:rsidRPr="00524435" w:rsidRDefault="002D2A24" w:rsidP="0003552D">
      <w:pPr>
        <w:pStyle w:val="ListParagraph"/>
      </w:pPr>
      <w:r w:rsidRPr="00524435">
        <w:t>In its Merits Report, the IACHR analyzed the international responsibility of the State of Nicaragua in relation to the following aspects in dispute: (</w:t>
      </w:r>
      <w:proofErr w:type="spellStart"/>
      <w:r w:rsidRPr="00524435">
        <w:t>i</w:t>
      </w:r>
      <w:proofErr w:type="spellEnd"/>
      <w:r w:rsidRPr="00524435">
        <w:t>) obligations regarding territory; (ii) obligations regarding projects; (iii) interference with the self-determination of traditional authorities; (iv) judicial guarantees and judicial protection; and (v) equality before the law.</w:t>
      </w:r>
    </w:p>
    <w:p w14:paraId="541ACC98" w14:textId="2C1A5038" w:rsidR="002D2A24" w:rsidRPr="00524435" w:rsidRDefault="002D2A24" w:rsidP="0003552D">
      <w:pPr>
        <w:pStyle w:val="ListParagraph"/>
      </w:pPr>
      <w:r w:rsidRPr="00524435">
        <w:t xml:space="preserve">Regarding the first point, the Commission observed that in 2016, the CNCIB was granted a communal property title for an area representing 7% of the area identified as historically occupied, which includes wetlands and marshlands. It also noted that, parallel to the titling procedure, state authorities carried out actions that interfered with the free election of the traditional authorities of the Community. These actions led to persons promoted and certified by the state authority representing the Community in the titling procedure and accepting, on its behalf, a title significantly less than that identified as historically occupied. It also noted that the traditional territory of the CNCIB was the object of repeated state plans for the construction of different projects. Based on this, the IACHR concluded that the State of Nicaragua failed to comply with its obligation to title, demarcate, </w:t>
      </w:r>
      <w:proofErr w:type="gramStart"/>
      <w:r w:rsidRPr="00524435">
        <w:t>delimit</w:t>
      </w:r>
      <w:proofErr w:type="gramEnd"/>
      <w:r w:rsidRPr="00524435">
        <w:t xml:space="preserve"> and sanitize the territory of the CNCIB, which was aggravated by its lack of protection against the implementation of projects and interference with traditional authorities.</w:t>
      </w:r>
    </w:p>
    <w:p w14:paraId="2327B318" w14:textId="13D62C19" w:rsidR="002D2A24" w:rsidRPr="00524435" w:rsidRDefault="002D2A24" w:rsidP="0003552D">
      <w:pPr>
        <w:pStyle w:val="ListParagraph"/>
      </w:pPr>
      <w:r w:rsidRPr="00524435">
        <w:t xml:space="preserve">With respect to the Rama and Kriol People, the Commission established that, although in December 2009 the State recognized the collective ownership of their territory by granting them a freehold title, the regularization of the same is still pending. It noted that the Rama and Kriol People have not been able to use and enjoy their lands peacefully. This, in the opinion of the IACHR, implied the State's failure to comply with the </w:t>
      </w:r>
      <w:proofErr w:type="gramStart"/>
      <w:r w:rsidRPr="00524435">
        <w:t>duties</w:t>
      </w:r>
      <w:proofErr w:type="gramEnd"/>
      <w:r w:rsidRPr="00524435">
        <w:t xml:space="preserve"> correlative to territorial rights, referring mainly to the lack of effective protection of the territory against occupation and dispossession by third parties, and to guarantee the regulation of the land.</w:t>
      </w:r>
    </w:p>
    <w:p w14:paraId="450E6B52" w14:textId="58ABB7B3" w:rsidR="002D2A24" w:rsidRPr="00524435" w:rsidRDefault="00750A3C" w:rsidP="0003552D">
      <w:pPr>
        <w:pStyle w:val="ListParagraph"/>
      </w:pPr>
      <w:r w:rsidRPr="00524435">
        <w:t>T</w:t>
      </w:r>
      <w:r w:rsidR="002D2A24" w:rsidRPr="00524435">
        <w:t xml:space="preserve">he Commission </w:t>
      </w:r>
      <w:r w:rsidRPr="00524435">
        <w:t xml:space="preserve">also </w:t>
      </w:r>
      <w:r w:rsidR="002D2A24" w:rsidRPr="00524435">
        <w:t xml:space="preserve">established that the GCIN directly affects both the CNCIB and the Rama and Kriol </w:t>
      </w:r>
      <w:proofErr w:type="gramStart"/>
      <w:r w:rsidR="002D2A24" w:rsidRPr="00524435">
        <w:t>People, and</w:t>
      </w:r>
      <w:proofErr w:type="gramEnd"/>
      <w:r w:rsidR="002D2A24" w:rsidRPr="00524435">
        <w:t xml:space="preserve"> analyzed the two points in controversy related to: (</w:t>
      </w:r>
      <w:proofErr w:type="spellStart"/>
      <w:r w:rsidR="002D2A24" w:rsidRPr="00524435">
        <w:t>i</w:t>
      </w:r>
      <w:proofErr w:type="spellEnd"/>
      <w:r w:rsidR="002D2A24" w:rsidRPr="00524435">
        <w:t xml:space="preserve">) the compatibility of Law 840 and the CRAAS Resolution with the right to consultation; and (ii) compliance with the specific guarantees of the right to consultation and consent, the elaboration of EIAs, and the granting of shared benefits. The IACHR observed that although Nicaragua has a legal framework that recognizes and protects the rights to self-determination and collective property of indigenous and ethnic peoples, it has not demonstrated that its legislation reflects the guarantees of the right to free, prior and </w:t>
      </w:r>
      <w:proofErr w:type="spellStart"/>
      <w:r w:rsidR="002B0ECE" w:rsidRPr="00524435">
        <w:t>Report</w:t>
      </w:r>
      <w:r w:rsidR="002D2A24" w:rsidRPr="00524435">
        <w:t>d</w:t>
      </w:r>
      <w:proofErr w:type="spellEnd"/>
      <w:r w:rsidR="002D2A24" w:rsidRPr="00524435">
        <w:t xml:space="preserve"> consultation of indigenous peoples </w:t>
      </w:r>
      <w:proofErr w:type="gramStart"/>
      <w:r w:rsidR="002D2A24" w:rsidRPr="00524435">
        <w:t>in order to</w:t>
      </w:r>
      <w:proofErr w:type="gramEnd"/>
      <w:r w:rsidR="002D2A24" w:rsidRPr="00524435">
        <w:t xml:space="preserve"> obtain their consent to measures that directly affect them.</w:t>
      </w:r>
    </w:p>
    <w:p w14:paraId="55380D31" w14:textId="31BA4845" w:rsidR="002D2A24" w:rsidRPr="00524435" w:rsidRDefault="002D2A24" w:rsidP="0003552D">
      <w:pPr>
        <w:pStyle w:val="ListParagraph"/>
      </w:pPr>
      <w:r w:rsidRPr="00524435">
        <w:t>On the other hand, the Commission analyzed whether the consultation project to obtain the consent of the Rama and Kriol people was carried out in compliance with international obligations. The Commission observed the existence of a series of elements contrary to the free nature of the consultation, such as interference in the free election of the traditional authorities, coercion of leaders and traditional authorities, as well as pressure and division of members of the territory. It concluded that the actions of the State were characterized by the denial of information about the project, the refusal to guarantee a culturally appropriate process, the disregard and promotion of decisions contrary to the norms of the people, as well as the generation of a climate of division and uncertainty among the communities.</w:t>
      </w:r>
    </w:p>
    <w:p w14:paraId="625EF9EC" w14:textId="142DC7A2" w:rsidR="002D2A24" w:rsidRPr="00524435" w:rsidRDefault="002D2A24" w:rsidP="0003552D">
      <w:pPr>
        <w:pStyle w:val="ListParagraph"/>
      </w:pPr>
      <w:r w:rsidRPr="00524435">
        <w:t xml:space="preserve">The Commission also analyzed whether the acts or omissions of the State regarding the election and certification of communal and territorial authorities constituted undue interference in the right to </w:t>
      </w:r>
      <w:r w:rsidRPr="00524435">
        <w:lastRenderedPageBreak/>
        <w:t xml:space="preserve">autonomy or self-government of indigenous peoples. The IACHR noted that the Nicaraguan legal system contains a specific regime for exercising the right to autonomy of indigenous and Afro-descendant peoples, within the constitutional framework. However, it noted that since 2013, CRACCS authorities and officials refused to certify territorial or communal authorities elected in accordance with their internal rules which prevented them from exercising the position for which they were elected. The IACHR considered that this was evidence of undue interference in the free exercise of the right to elect their own authorities. The Commission also concluded that the State failed to comply with its obligation to protect and ensure the human rights of these peoples and communities, which has allowed the dispossession of their territories. </w:t>
      </w:r>
      <w:proofErr w:type="gramStart"/>
      <w:r w:rsidRPr="00524435">
        <w:t>In particular, it</w:t>
      </w:r>
      <w:proofErr w:type="gramEnd"/>
      <w:r w:rsidRPr="00524435">
        <w:t xml:space="preserve"> highlighted that between 2013 and 2019, they filed multiple legal actions between appeals for unconstitutionality, writs of amparo and habeas corpus, which were systematically rejected, or have not been decided. This led to the remedies filed proving illusory and useless for the protection of human rights, both collective and individual.  </w:t>
      </w:r>
    </w:p>
    <w:p w14:paraId="70A6CCDD" w14:textId="28420037" w:rsidR="002D2A24" w:rsidRPr="00524435" w:rsidRDefault="002D2A24" w:rsidP="0003552D">
      <w:pPr>
        <w:pStyle w:val="ListParagraph"/>
      </w:pPr>
      <w:r w:rsidRPr="00524435">
        <w:t xml:space="preserve">On the other hand, the Commission concluded that, in addition to the component of prevention of environmental damage, the right to a healthy environment was also harmed by the lack of access to information, effective participation and access to justice of the communities affected by the project. It also considered that there was a lack of equal protection of the rights of the victims, which was manifested, among others, in the total omission of the State to pronounce in any of the rulings brought to its attention, on the collective rights of the indigenous and tribal peoples seriously threatened or violated. Finally, it established that the right to a healthy environment has also been harmed by the lack of access to information, effective </w:t>
      </w:r>
      <w:proofErr w:type="gramStart"/>
      <w:r w:rsidRPr="00524435">
        <w:t>participation</w:t>
      </w:r>
      <w:proofErr w:type="gramEnd"/>
      <w:r w:rsidRPr="00524435">
        <w:t xml:space="preserve"> and access to justice of the communities affected by the project.</w:t>
      </w:r>
    </w:p>
    <w:p w14:paraId="4A0E3D56" w14:textId="2260CFE2" w:rsidR="002D2A24" w:rsidRPr="00524435" w:rsidRDefault="002D2A24" w:rsidP="0003552D">
      <w:pPr>
        <w:pStyle w:val="ListParagraph"/>
      </w:pPr>
      <w:r w:rsidRPr="00524435">
        <w:t xml:space="preserve">Based on these findings, the Commission concluded that the State of Nicaragua is responsible for the violation of the rights to property, political rights, equal protection before the law, judicial guarantees, judicial protection and the right to a healthy environment established in Articles 8, 21, 23, 24, 25 and 26 of the American Convention, in relation to its Articles 1.1 and 2, to the detriment of the Rama and Kriol peoples, including the nine communities that make up the territory of said peoples, as well as the Black Creole Indigenous Community of </w:t>
      </w:r>
      <w:proofErr w:type="spellStart"/>
      <w:r w:rsidRPr="00524435">
        <w:t>Bluefields</w:t>
      </w:r>
      <w:proofErr w:type="spellEnd"/>
      <w:r w:rsidRPr="00524435">
        <w:t>, and its members.</w:t>
      </w:r>
    </w:p>
    <w:p w14:paraId="1DF2B32A" w14:textId="617A7012" w:rsidR="001D3A5D" w:rsidRPr="00524435" w:rsidRDefault="001D3A5D" w:rsidP="00F275B0">
      <w:pPr>
        <w:pStyle w:val="Style2"/>
        <w:rPr>
          <w:lang w:val="en-US"/>
        </w:rPr>
      </w:pPr>
      <w:r w:rsidRPr="00524435">
        <w:rPr>
          <w:lang w:val="en-US"/>
        </w:rPr>
        <w:t xml:space="preserve">Santiago </w:t>
      </w:r>
      <w:proofErr w:type="spellStart"/>
      <w:r w:rsidRPr="00524435">
        <w:rPr>
          <w:lang w:val="en-US"/>
        </w:rPr>
        <w:t>Leguizamón</w:t>
      </w:r>
      <w:proofErr w:type="spellEnd"/>
      <w:r w:rsidRPr="00524435">
        <w:rPr>
          <w:lang w:val="en-US"/>
        </w:rPr>
        <w:t xml:space="preserve"> </w:t>
      </w:r>
      <w:proofErr w:type="spellStart"/>
      <w:r w:rsidRPr="00524435">
        <w:rPr>
          <w:lang w:val="en-US"/>
        </w:rPr>
        <w:t>Zaván</w:t>
      </w:r>
      <w:proofErr w:type="spellEnd"/>
      <w:r w:rsidRPr="00524435">
        <w:rPr>
          <w:lang w:val="en-US"/>
        </w:rPr>
        <w:t xml:space="preserve"> and family v. Paraguay </w:t>
      </w:r>
    </w:p>
    <w:p w14:paraId="02D011BA" w14:textId="77777777" w:rsidR="001D3A5D" w:rsidRPr="00524435" w:rsidRDefault="001D3A5D" w:rsidP="0003552D">
      <w:pPr>
        <w:pStyle w:val="ListParagraph"/>
      </w:pPr>
      <w:r w:rsidRPr="00524435">
        <w:t xml:space="preserve">This case refers to the death on April 26, </w:t>
      </w:r>
      <w:proofErr w:type="gramStart"/>
      <w:r w:rsidRPr="00524435">
        <w:t>1991</w:t>
      </w:r>
      <w:proofErr w:type="gramEnd"/>
      <w:r w:rsidRPr="00524435">
        <w:t xml:space="preserve"> of Santiago </w:t>
      </w:r>
      <w:proofErr w:type="spellStart"/>
      <w:r w:rsidRPr="00524435">
        <w:t>Leguizamón</w:t>
      </w:r>
      <w:proofErr w:type="spellEnd"/>
      <w:r w:rsidRPr="00524435">
        <w:t xml:space="preserve">, an important and well-known journalist and human rights defender from Pedro Juan Caballero, one of the most violent areas of Paraguay on the border with Brazil, for reasons that were allegedly linked to his profession, as well as to the failure of the State to adopt adequate and timely measures to protect him and prevent the occurrence of the events in question. It also addresses the lack of an effective and diligent investigation into what happened, consistent with applicable international standards, and the impunity surrounding the case. </w:t>
      </w:r>
    </w:p>
    <w:p w14:paraId="0344BA48" w14:textId="25924D4C" w:rsidR="001D3A5D" w:rsidRPr="00524435" w:rsidRDefault="001D3A5D" w:rsidP="0003552D">
      <w:pPr>
        <w:pStyle w:val="ListParagraph"/>
      </w:pPr>
      <w:r w:rsidRPr="00524435">
        <w:t>In its Report on the Merits, the Commission stressed that journalism is one of the most important manifestations of freedom of expression and information.</w:t>
      </w:r>
      <w:r w:rsidRPr="00524435">
        <w:rPr>
          <w:color w:val="000000"/>
          <w:bdr w:val="nil"/>
        </w:rPr>
        <w:t xml:space="preserve"> It also highlighted the transcendental role played by journalism in keeping society </w:t>
      </w:r>
      <w:proofErr w:type="spellStart"/>
      <w:r w:rsidR="002B0ECE" w:rsidRPr="00524435">
        <w:rPr>
          <w:color w:val="000000"/>
          <w:bdr w:val="nil"/>
        </w:rPr>
        <w:t>Report</w:t>
      </w:r>
      <w:r w:rsidRPr="00524435">
        <w:rPr>
          <w:color w:val="000000"/>
          <w:bdr w:val="nil"/>
        </w:rPr>
        <w:t>d</w:t>
      </w:r>
      <w:proofErr w:type="spellEnd"/>
      <w:r w:rsidRPr="00524435">
        <w:rPr>
          <w:color w:val="000000"/>
          <w:bdr w:val="nil"/>
        </w:rPr>
        <w:t xml:space="preserve"> about what is happening and its different interpretations, a necessary condition for robust, </w:t>
      </w:r>
      <w:proofErr w:type="spellStart"/>
      <w:r w:rsidR="002B0ECE" w:rsidRPr="00524435">
        <w:rPr>
          <w:color w:val="000000"/>
          <w:bdr w:val="nil"/>
        </w:rPr>
        <w:t>Report</w:t>
      </w:r>
      <w:r w:rsidRPr="00524435">
        <w:rPr>
          <w:color w:val="000000"/>
          <w:bdr w:val="nil"/>
        </w:rPr>
        <w:t>d</w:t>
      </w:r>
      <w:proofErr w:type="spellEnd"/>
      <w:r w:rsidRPr="00524435">
        <w:rPr>
          <w:color w:val="000000"/>
          <w:bdr w:val="nil"/>
        </w:rPr>
        <w:t>, and vigorous public debate. For that reason, journalists and media workers may find themselves in a situation of heightened vulnerability due to the role they play in society, which on many occasions places their lives and personal integrity at risk.</w:t>
      </w:r>
    </w:p>
    <w:p w14:paraId="7EAB07FD" w14:textId="3E569A1D" w:rsidR="001D3A5D" w:rsidRPr="00524435" w:rsidRDefault="001D3A5D" w:rsidP="0003552D">
      <w:pPr>
        <w:pStyle w:val="ListParagraph"/>
      </w:pPr>
      <w:r w:rsidRPr="00524435">
        <w:t xml:space="preserve">The Commission analyzed the violation of the right to life from the point of view of the State’s duty to protect and prevent, as a component of its obligation to guarantee the right to life, </w:t>
      </w:r>
      <w:proofErr w:type="gramStart"/>
      <w:r w:rsidRPr="00524435">
        <w:t>due to the fact that</w:t>
      </w:r>
      <w:proofErr w:type="gramEnd"/>
      <w:r w:rsidRPr="00524435">
        <w:t xml:space="preserve"> the murder of the journalist was allegedly carried out by non-State actors. For the Commission, there were sufficient and consistent factors that allowed it to conclude that the murder of Santiago </w:t>
      </w:r>
      <w:proofErr w:type="spellStart"/>
      <w:r w:rsidRPr="00524435">
        <w:t>Leguizamón</w:t>
      </w:r>
      <w:proofErr w:type="spellEnd"/>
      <w:r w:rsidRPr="00524435">
        <w:t xml:space="preserve"> was linked to his journalistic work, particularly because he was investigating issues of grave public concern, in which major power groups were involved in a violent area of Paraguay ridden with organized crime. The Commission also </w:t>
      </w:r>
      <w:proofErr w:type="gramStart"/>
      <w:r w:rsidRPr="00524435">
        <w:t>took into account</w:t>
      </w:r>
      <w:proofErr w:type="gramEnd"/>
      <w:r w:rsidRPr="00524435">
        <w:t xml:space="preserve"> that the journalist received a series of threats, including death threats, in response to the type of investigations he conducted and the articles he published, which placed him in a situation of real and immediate risk. The Commission concluded that the State was aware of the risk faced by Santiago </w:t>
      </w:r>
      <w:proofErr w:type="spellStart"/>
      <w:r w:rsidRPr="00524435">
        <w:t>Leguizamón</w:t>
      </w:r>
      <w:proofErr w:type="spellEnd"/>
      <w:r w:rsidRPr="00524435">
        <w:t xml:space="preserve"> </w:t>
      </w:r>
      <w:r w:rsidRPr="00524435">
        <w:lastRenderedPageBreak/>
        <w:t xml:space="preserve">and that, in spite of that, it did not conduct a risk analysis, did not it provide him with timely information on the measures available to him, especially given the journalist's lack of confidence in the effectiveness of the measures that the State could adopt, and did not adopt timely and necessary protection measures to prevent the journalist’s death. </w:t>
      </w:r>
      <w:proofErr w:type="gramStart"/>
      <w:r w:rsidRPr="00524435">
        <w:t>In light of</w:t>
      </w:r>
      <w:proofErr w:type="gramEnd"/>
      <w:r w:rsidRPr="00524435">
        <w:t xml:space="preserve"> the above, the IACHR concluded that the State of Paraguay is internationally responsible for the death of the journalist because it did not act in accordance with its duty to prevent and </w:t>
      </w:r>
      <w:r w:rsidR="009D687A" w:rsidRPr="00524435">
        <w:t>protect and</w:t>
      </w:r>
      <w:r w:rsidRPr="00524435">
        <w:t xml:space="preserve"> did not guarantee his right to freedom of expression. </w:t>
      </w:r>
    </w:p>
    <w:p w14:paraId="025E6FB8" w14:textId="77777777" w:rsidR="001D3A5D" w:rsidRPr="00524435" w:rsidRDefault="001D3A5D" w:rsidP="0003552D">
      <w:pPr>
        <w:pStyle w:val="ListParagraph"/>
      </w:pPr>
      <w:r w:rsidRPr="00524435">
        <w:t xml:space="preserve">The Commission also concluded that the investigation and criminal proceedings did not meet the standards of due diligence and reasonable time, nor did they follow a logical line of inquiry linked to the victim's journalistic work that sought to identify and investigate all possible perpetrators and instigators of the crime. The IACHR also highlighted the lack of due diligence and unjustified delays in international cooperation requests to Brazil, </w:t>
      </w:r>
      <w:proofErr w:type="gramStart"/>
      <w:r w:rsidRPr="00524435">
        <w:t>due to the fact that</w:t>
      </w:r>
      <w:proofErr w:type="gramEnd"/>
      <w:r w:rsidRPr="00524435">
        <w:t xml:space="preserve"> the murder took place in a border area and several of the alleged perpetrators are allegedly in Brazil, with no possibility of their being extradited. The Commission highlighted the importance of creating investigation protocols for crimes committed against freedom of expression that follow minimum criteria and establish the obligation to exhaust logical lines of inquiry related to such work.  In that regard, the IACHR concluded that the State of Paraguay violated the right to judicial guarantees and judicial protection to the detriment of Santiago </w:t>
      </w:r>
      <w:proofErr w:type="spellStart"/>
      <w:r w:rsidRPr="00524435">
        <w:t>Leguizamón's</w:t>
      </w:r>
      <w:proofErr w:type="spellEnd"/>
      <w:r w:rsidRPr="00524435">
        <w:t xml:space="preserve"> family.</w:t>
      </w:r>
    </w:p>
    <w:p w14:paraId="7BF08696" w14:textId="77777777" w:rsidR="001D3A5D" w:rsidRPr="00524435" w:rsidRDefault="001D3A5D" w:rsidP="0003552D">
      <w:pPr>
        <w:pStyle w:val="ListParagraph"/>
      </w:pPr>
      <w:r w:rsidRPr="00524435">
        <w:rPr>
          <w:bdr w:val="nil"/>
        </w:rPr>
        <w:t xml:space="preserve">Finally, the IACHR declared the State responsible for violation of the right to psychological and moral integrity, to the detriment of the journalist's family, due to the suffering and affliction caused by the </w:t>
      </w:r>
      <w:proofErr w:type="gramStart"/>
      <w:r w:rsidRPr="00524435">
        <w:rPr>
          <w:bdr w:val="nil"/>
        </w:rPr>
        <w:t>aforementioned violations</w:t>
      </w:r>
      <w:proofErr w:type="gramEnd"/>
      <w:r w:rsidRPr="00524435">
        <w:rPr>
          <w:bdr w:val="nil"/>
        </w:rPr>
        <w:t>.</w:t>
      </w:r>
    </w:p>
    <w:p w14:paraId="556810CB" w14:textId="77777777" w:rsidR="001D3A5D" w:rsidRPr="00524435" w:rsidRDefault="001D3A5D" w:rsidP="00F275B0">
      <w:pPr>
        <w:pStyle w:val="Style2"/>
        <w:rPr>
          <w:bCs/>
          <w:lang w:val="en-US"/>
        </w:rPr>
      </w:pPr>
      <w:r w:rsidRPr="00524435">
        <w:rPr>
          <w:lang w:val="en-US"/>
        </w:rPr>
        <w:t xml:space="preserve">Nissen </w:t>
      </w:r>
      <w:proofErr w:type="spellStart"/>
      <w:r w:rsidRPr="00524435">
        <w:rPr>
          <w:lang w:val="en-US"/>
        </w:rPr>
        <w:t>Pessolani</w:t>
      </w:r>
      <w:proofErr w:type="spellEnd"/>
      <w:r w:rsidRPr="00524435">
        <w:rPr>
          <w:lang w:val="en-US"/>
        </w:rPr>
        <w:t xml:space="preserve"> v. Paraguay</w:t>
      </w:r>
    </w:p>
    <w:p w14:paraId="145926AC" w14:textId="77777777" w:rsidR="001D3A5D" w:rsidRPr="00524435" w:rsidRDefault="001D3A5D" w:rsidP="0003552D">
      <w:pPr>
        <w:pStyle w:val="ListParagraph"/>
      </w:pPr>
      <w:r w:rsidRPr="00524435">
        <w:t xml:space="preserve">This case refers to the responsibility of the State of Paraguay for the violation of judicial guarantees for Mr. Alejandro Nissen </w:t>
      </w:r>
      <w:proofErr w:type="spellStart"/>
      <w:r w:rsidRPr="00524435">
        <w:t>Pessolani</w:t>
      </w:r>
      <w:proofErr w:type="spellEnd"/>
      <w:r w:rsidRPr="00524435">
        <w:t xml:space="preserve"> in connection with the proceedings against him by the Jury for the Impeachment of Magistrates (JEM), which ordered his dismissal from the position of Criminal Prosecutor.</w:t>
      </w:r>
    </w:p>
    <w:p w14:paraId="3B2D4FAE" w14:textId="77777777" w:rsidR="001D3A5D" w:rsidRPr="00524435" w:rsidRDefault="001D3A5D" w:rsidP="0003552D">
      <w:pPr>
        <w:pStyle w:val="ListParagraph"/>
      </w:pPr>
      <w:r w:rsidRPr="00524435">
        <w:t>Mr. Nissen was a prosecutor in the city of Asunción and was mainly involved in investigations related to corruption cases. In March 2002, a complaint was filed against him alleging malfeasance in office. The Impeachment Jury issued a conviction ordering his removal from office in April 2003, and in 2004 the Supreme Court of Justice rejected an unconstitutionality action filed by the alleged victim.</w:t>
      </w:r>
    </w:p>
    <w:p w14:paraId="54568CB8" w14:textId="77777777" w:rsidR="001D3A5D" w:rsidRPr="00524435" w:rsidRDefault="001D3A5D" w:rsidP="0003552D">
      <w:pPr>
        <w:pStyle w:val="ListParagraph"/>
      </w:pPr>
      <w:r w:rsidRPr="00524435">
        <w:t>In its Report on the Merits, the IACHR analyzed the following components of the judicial guarantees applicable to disciplinary proceedings against prosecutors: (</w:t>
      </w:r>
      <w:proofErr w:type="spellStart"/>
      <w:r w:rsidRPr="00524435">
        <w:t>i</w:t>
      </w:r>
      <w:proofErr w:type="spellEnd"/>
      <w:r w:rsidRPr="00524435">
        <w:t xml:space="preserve">) the right to a competent, independent, and impartial judge; (ii) the right of defense and the principle of congruence; (iii) the right to have duly substantiated rulings, the principle of legality, and the right to freedom of expression; and (iv) the right to appeal the judgment and to judicial protection. </w:t>
      </w:r>
    </w:p>
    <w:p w14:paraId="176145C3" w14:textId="77777777" w:rsidR="001D3A5D" w:rsidRPr="00524435" w:rsidRDefault="001D3A5D" w:rsidP="0003552D">
      <w:pPr>
        <w:pStyle w:val="ListParagraph"/>
      </w:pPr>
      <w:r w:rsidRPr="00524435">
        <w:t xml:space="preserve">The Commission established that there is not enough information to indicate that the members of the Impeachment Jury had a subordinate or dependent relationship with the parties in the process, or that they lacked guarantees of stability that would result in a lack of independence, or to determine that the guarantee of impartiality had been violated. </w:t>
      </w:r>
    </w:p>
    <w:p w14:paraId="09BE184B" w14:textId="77777777" w:rsidR="001D3A5D" w:rsidRPr="00524435" w:rsidRDefault="001D3A5D" w:rsidP="0003552D">
      <w:pPr>
        <w:pStyle w:val="ListParagraph"/>
      </w:pPr>
      <w:r w:rsidRPr="00524435">
        <w:t>Regarding the right to defense and the principle of congruence, the Commission found that the judgment handed down by the JEM modified the factual basis of the accusation filed against Mr. Nissen by incorporating new facts in relation to two grounds, so that the victim was unable to exercise any defense in that regard. The Commission noted that this substantial modification made it possible to impose the maximum penalty against Mr. Nissen, which is what happened. In addition, the Commission considered that the legal deadlines established for the Jury's judgment were not met.</w:t>
      </w:r>
    </w:p>
    <w:p w14:paraId="5CB6AF8A" w14:textId="77777777" w:rsidR="001D3A5D" w:rsidRPr="00524435" w:rsidRDefault="001D3A5D" w:rsidP="0003552D">
      <w:pPr>
        <w:pStyle w:val="ListParagraph"/>
      </w:pPr>
      <w:r w:rsidRPr="00524435">
        <w:t xml:space="preserve">With respect to the principle of legality, due substantiation, and freedom of expression, the Commission noted that the victim was dismissed from his position, in accordance with the grounds set forth in </w:t>
      </w:r>
      <w:r w:rsidRPr="00524435">
        <w:lastRenderedPageBreak/>
        <w:t>Article 14.n  of Law No. 1084, which punishes providing information or making statements or comments to the press or to third parties about the trials he was conducting, when they may disrupt their processing or affect the honor, reputation, or presumption of innocence established in the National Constitution; or engaging in disputes about trials underway.</w:t>
      </w:r>
    </w:p>
    <w:p w14:paraId="6779271C" w14:textId="77777777" w:rsidR="001D3A5D" w:rsidRPr="00524435" w:rsidRDefault="001D3A5D" w:rsidP="0003552D">
      <w:pPr>
        <w:pStyle w:val="ListParagraph"/>
      </w:pPr>
      <w:r w:rsidRPr="00524435">
        <w:t xml:space="preserve">The Commission reiterated that, for a restriction of freedom of expression to be permissible, it must comply with the three basic conditions established in Article 13(2) of the American Convention. </w:t>
      </w:r>
      <w:proofErr w:type="gramStart"/>
      <w:r w:rsidRPr="00524435">
        <w:t>That is to say, it</w:t>
      </w:r>
      <w:proofErr w:type="gramEnd"/>
      <w:r w:rsidRPr="00524435">
        <w:t xml:space="preserve"> must be clearly and precisely defined in a law; pursue a legitimate objective justified by the Convention; and be necessary in a democratic society for the achievement of the ends sought, suitable for achieving the objective sought, and strictly proportional to the end pursued.</w:t>
      </w:r>
    </w:p>
    <w:p w14:paraId="2DDE3F2E" w14:textId="77777777" w:rsidR="001D3A5D" w:rsidRPr="00524435" w:rsidRDefault="001D3A5D" w:rsidP="0003552D">
      <w:pPr>
        <w:pStyle w:val="ListParagraph"/>
      </w:pPr>
      <w:r w:rsidRPr="00524435">
        <w:t xml:space="preserve">The Commission concluded, first, that Article 14.n of Law No. 1084/97, which was used to punish the victim, was formulated in vague and ambiguous terms, in a manner incompatible with the principle of legality. It also pointed out that the decision that removed him from office did not specifically and clearly identify the facts and evidence, which is incompatible with the duty to provide substantiation, since it prevented an adequate understanding of the assessment made by the JEM and of the reasons that led to the dismissal. </w:t>
      </w:r>
    </w:p>
    <w:p w14:paraId="422A91AA" w14:textId="43E1FAC8" w:rsidR="001D3A5D" w:rsidRPr="00524435" w:rsidRDefault="001D3A5D" w:rsidP="0003552D">
      <w:pPr>
        <w:pStyle w:val="ListParagraph"/>
      </w:pPr>
      <w:r w:rsidRPr="00524435">
        <w:t xml:space="preserve">Secondly, the Commission considered that the broad </w:t>
      </w:r>
      <w:r w:rsidR="009D687A" w:rsidRPr="00524435">
        <w:t>scope of</w:t>
      </w:r>
      <w:r w:rsidRPr="00524435">
        <w:t xml:space="preserve"> the rule applied did not allow for an adequate balance to be struck between the right to freedom of expression and the obligation of prosecutors to respect the confidentiality and prudence needed to protect the independence of their function. Third, the Commission found that the JEM did not identify in its decision which statements were made by the victim, the dates on which they were made, or the contexts and media in which they were made, and how they would violate the rights of the persons involved in the investigations carried out by Mr. Nissen </w:t>
      </w:r>
      <w:proofErr w:type="spellStart"/>
      <w:r w:rsidRPr="00524435">
        <w:t>Pessolani</w:t>
      </w:r>
      <w:proofErr w:type="spellEnd"/>
      <w:r w:rsidRPr="00524435">
        <w:t xml:space="preserve">. </w:t>
      </w:r>
    </w:p>
    <w:p w14:paraId="76230B4F" w14:textId="77777777" w:rsidR="001D3A5D" w:rsidRPr="00524435" w:rsidRDefault="001D3A5D" w:rsidP="0003552D">
      <w:pPr>
        <w:pStyle w:val="ListParagraph"/>
      </w:pPr>
      <w:r w:rsidRPr="00524435">
        <w:t xml:space="preserve">Finally, the Commission emphasized that the scant grounds provided for the decision to penalize him did not make it possible to prove that the restriction on freedom of expression was legitimate, appropriate, necessary, and strictly proportional to the purpose pursued. Consequently, the Commission concluded that an arbitrary restriction was imposed on the exercise of freedom of expression, through the imposition of a subsequent liability that failed to comply with the requirements of the Convention. Based on these grounds, the Commission established that the State of Paraguay violated Mr. Nissen </w:t>
      </w:r>
      <w:proofErr w:type="spellStart"/>
      <w:r w:rsidRPr="00524435">
        <w:t>Pessolani's</w:t>
      </w:r>
      <w:proofErr w:type="spellEnd"/>
      <w:r w:rsidRPr="00524435">
        <w:t xml:space="preserve"> rights to substantiated decisions, to the principle of legality, and to freedom of expression.</w:t>
      </w:r>
    </w:p>
    <w:p w14:paraId="3975CCC3" w14:textId="77777777" w:rsidR="001D3A5D" w:rsidRPr="00524435" w:rsidRDefault="001D3A5D" w:rsidP="0003552D">
      <w:pPr>
        <w:pStyle w:val="ListParagraph"/>
      </w:pPr>
      <w:r w:rsidRPr="00524435">
        <w:t xml:space="preserve">In addition, in relation to the right to appeal the decision and seek judicial protection, the Commission observed that the appeal for reconsideration and clarification, provided for in the regulations, did not allow for a comprehensive review of the JEM's decisions. Furthermore, the Commission considered that although Mr. Nissen </w:t>
      </w:r>
      <w:proofErr w:type="spellStart"/>
      <w:r w:rsidRPr="00524435">
        <w:t>Pessolani</w:t>
      </w:r>
      <w:proofErr w:type="spellEnd"/>
      <w:r w:rsidRPr="00524435">
        <w:t xml:space="preserve"> filed an unconstitutionality action, that remedy was ineffective for protecting the victim's rights. </w:t>
      </w:r>
    </w:p>
    <w:p w14:paraId="773D2070" w14:textId="5D0006D4" w:rsidR="001D3A5D" w:rsidRPr="00524435" w:rsidRDefault="00510456" w:rsidP="0003552D">
      <w:pPr>
        <w:pStyle w:val="ListParagraph"/>
      </w:pPr>
      <w:r w:rsidRPr="00524435">
        <w:t>Finally, the</w:t>
      </w:r>
      <w:r w:rsidR="001D3A5D" w:rsidRPr="00524435">
        <w:t xml:space="preserve"> Commission reiterated that arbitrary impairment of the tenure of judges violates the right to judicial </w:t>
      </w:r>
      <w:r w:rsidR="00377058" w:rsidRPr="00524435">
        <w:t>independence in</w:t>
      </w:r>
      <w:r w:rsidR="001D3A5D" w:rsidRPr="00524435">
        <w:t xml:space="preserve"> conjunction with the right to have tenured access under general conditions of equality to the public service of one’s country established in Article 23(1)(c). It also recalled that the guarantees of enhanced stability for judges are also applicable to prosecutors </w:t>
      </w:r>
      <w:proofErr w:type="gramStart"/>
      <w:r w:rsidR="001D3A5D" w:rsidRPr="00524435">
        <w:t>in order to</w:t>
      </w:r>
      <w:proofErr w:type="gramEnd"/>
      <w:r w:rsidR="001D3A5D" w:rsidRPr="00524435">
        <w:t xml:space="preserve"> guarantee their independence in the exercise of their duties. Based on </w:t>
      </w:r>
      <w:proofErr w:type="gramStart"/>
      <w:r w:rsidR="001D3A5D" w:rsidRPr="00524435">
        <w:t>that, and</w:t>
      </w:r>
      <w:proofErr w:type="gramEnd"/>
      <w:r w:rsidR="001D3A5D" w:rsidRPr="00524435">
        <w:t xml:space="preserve"> taking into account the violations established in the disciplinary proceedings against Mr. Nissen </w:t>
      </w:r>
      <w:proofErr w:type="spellStart"/>
      <w:r w:rsidR="001D3A5D" w:rsidRPr="00524435">
        <w:t>Pessolani</w:t>
      </w:r>
      <w:proofErr w:type="spellEnd"/>
      <w:r w:rsidR="001D3A5D" w:rsidRPr="00524435">
        <w:t xml:space="preserve">, the Commission concluded that the State violated the victim's right to equal access to public office. </w:t>
      </w:r>
    </w:p>
    <w:p w14:paraId="01E41245" w14:textId="1F268352" w:rsidR="001D3A5D" w:rsidRPr="00524435" w:rsidRDefault="001D3A5D" w:rsidP="001332F8">
      <w:pPr>
        <w:pStyle w:val="Style2"/>
        <w:rPr>
          <w:lang w:val="en-US"/>
        </w:rPr>
      </w:pPr>
      <w:r w:rsidRPr="00524435">
        <w:rPr>
          <w:lang w:val="en-US"/>
        </w:rPr>
        <w:t xml:space="preserve">Humberto </w:t>
      </w:r>
      <w:proofErr w:type="spellStart"/>
      <w:r w:rsidRPr="00524435">
        <w:rPr>
          <w:lang w:val="en-US"/>
        </w:rPr>
        <w:t>Cajahuanca</w:t>
      </w:r>
      <w:proofErr w:type="spellEnd"/>
      <w:r w:rsidRPr="00524435">
        <w:rPr>
          <w:lang w:val="en-US"/>
        </w:rPr>
        <w:t xml:space="preserve"> Vásquez v. Peru</w:t>
      </w:r>
    </w:p>
    <w:p w14:paraId="259D8E8D" w14:textId="77777777" w:rsidR="001D3A5D" w:rsidRPr="00524435" w:rsidRDefault="001D3A5D" w:rsidP="0003552D">
      <w:pPr>
        <w:pStyle w:val="ListParagraph"/>
      </w:pPr>
      <w:r w:rsidRPr="00524435">
        <w:t xml:space="preserve">This case concerns the international responsibility of the State for the violation of Mr. </w:t>
      </w:r>
      <w:proofErr w:type="spellStart"/>
      <w:r w:rsidRPr="00524435">
        <w:t>Cajahuanca's</w:t>
      </w:r>
      <w:proofErr w:type="spellEnd"/>
      <w:r w:rsidRPr="00524435">
        <w:t xml:space="preserve"> judicial guarantees in connection with a disciplinary proceeding against him, which led to his removal from his position as a judge of the Superior Court of Justice of Huánuco. </w:t>
      </w:r>
    </w:p>
    <w:p w14:paraId="28727485" w14:textId="77777777" w:rsidR="001D3A5D" w:rsidRPr="00524435" w:rsidRDefault="001D3A5D" w:rsidP="0003552D">
      <w:pPr>
        <w:pStyle w:val="ListParagraph"/>
      </w:pPr>
      <w:r w:rsidRPr="00524435">
        <w:lastRenderedPageBreak/>
        <w:t xml:space="preserve">The National Judicial Council (CNM) initiated proceedings against Mr. </w:t>
      </w:r>
      <w:proofErr w:type="spellStart"/>
      <w:r w:rsidRPr="00524435">
        <w:t>Cajahuanca</w:t>
      </w:r>
      <w:proofErr w:type="spellEnd"/>
      <w:r w:rsidRPr="00524435">
        <w:t>, arguing that he had irregularly appointed Mr. Héctor Fidel Cordero Bernal as a substitute judge. The CNM considered that with the omission in the procedure the victim "incurred in acts that, without being a crime, compromise the dignity of the position of President of the Superior Court, diminishing its standing in the eyes of the public, as envisaged in Article 31, paragraph 2 of Law 26.397." Consequently, it ordered his dismissal and the cancellation of his appointment as judge, although the legal system provided for a lesser sanction for the same conduct. In addition, criminal proceedings were initiated against him in which he was finally acquitted.</w:t>
      </w:r>
    </w:p>
    <w:p w14:paraId="49ECCCC3" w14:textId="77777777" w:rsidR="001D3A5D" w:rsidRPr="00524435" w:rsidRDefault="001D3A5D" w:rsidP="0003552D">
      <w:pPr>
        <w:pStyle w:val="ListParagraph"/>
      </w:pPr>
      <w:r w:rsidRPr="00524435">
        <w:t>In response to the decision to remove him from office, he filed an appeal for reconsideration, which was turned down by the CNM on the same grounds as those adduced for his dismissal. Subsequently, he filed a constitutional appeal, which was declared unfounded, as the court considered that the CNM had acted in strict compliance with its functions and respecting its legal attributions. Ultimately, the Constitutional Court declared the amparo inadmissible, stated that it had respected the guarantees of due process, and that no violation of constitutional rights had been proven.</w:t>
      </w:r>
    </w:p>
    <w:p w14:paraId="1C782265" w14:textId="77777777" w:rsidR="001D3A5D" w:rsidRPr="00524435" w:rsidRDefault="001D3A5D" w:rsidP="0003552D">
      <w:pPr>
        <w:pStyle w:val="ListParagraph"/>
      </w:pPr>
      <w:r w:rsidRPr="00524435">
        <w:t>In its Report on the Merits, the IACHR analyzed the components of the judicial guarantees applicable to disciplinary proceedings against judges: the principle of legality and favorability (</w:t>
      </w:r>
      <w:proofErr w:type="spellStart"/>
      <w:r w:rsidRPr="00524435">
        <w:rPr>
          <w:i/>
          <w:iCs/>
        </w:rPr>
        <w:t>favorabilidad</w:t>
      </w:r>
      <w:proofErr w:type="spellEnd"/>
      <w:r w:rsidRPr="00524435">
        <w:t xml:space="preserve">), judicial independence, and the right to have substantiated rulings, the right to appeal the decision, and the right to judicial protection. The Commission observed that the grounds set forth in the law and applied to Mr. </w:t>
      </w:r>
      <w:proofErr w:type="spellStart"/>
      <w:r w:rsidRPr="00524435">
        <w:t>Cajahuanca</w:t>
      </w:r>
      <w:proofErr w:type="spellEnd"/>
      <w:r w:rsidRPr="00524435">
        <w:t xml:space="preserve"> Vásquez were notably broad and did not refer to specific conduct that is reproachable under disciplinary law. It also noted that the regulatory framework did not distinguish between applicable sanctions based on the level of seriousness of previously defined grounds, in such a way as to enable the disciplinary authority to ensure that the sanction imposed is proportional to the seriousness of the reproachable conduct of the judge. In addition, the disciplinary body chose to apply the standard least favorable to the judge. </w:t>
      </w:r>
    </w:p>
    <w:p w14:paraId="47CC3018" w14:textId="77777777" w:rsidR="001D3A5D" w:rsidRPr="00524435" w:rsidRDefault="001D3A5D" w:rsidP="0003552D">
      <w:pPr>
        <w:pStyle w:val="ListParagraph"/>
      </w:pPr>
      <w:r w:rsidRPr="00524435">
        <w:t xml:space="preserve">The Commission also considered that the regulatory framework at that time did not allow for clear identification of such factors as malice or the seriousness of acts against the image of the Judicial Branch or the dignity of its members, an aspect that granted excessive discretion to the authority in charge of the proceeding to apply the harshest sanction, as occurred in this case. In the same vein, the Commission considered that the decision to penalize Mr. </w:t>
      </w:r>
      <w:proofErr w:type="spellStart"/>
      <w:r w:rsidRPr="00524435">
        <w:t>Cajahuanca</w:t>
      </w:r>
      <w:proofErr w:type="spellEnd"/>
      <w:r w:rsidRPr="00524435">
        <w:t xml:space="preserve"> Vásquez is not substantiated and merely states that his conduct was serious and demonstrated a failure to comply with essential duties.</w:t>
      </w:r>
    </w:p>
    <w:p w14:paraId="7F5DD36B" w14:textId="77777777" w:rsidR="001D3A5D" w:rsidRPr="00524435" w:rsidRDefault="001D3A5D" w:rsidP="0003552D">
      <w:pPr>
        <w:pStyle w:val="ListParagraph"/>
      </w:pPr>
      <w:r w:rsidRPr="00524435">
        <w:t xml:space="preserve">Finally, </w:t>
      </w:r>
      <w:proofErr w:type="gramStart"/>
      <w:r w:rsidRPr="00524435">
        <w:t>with regard to</w:t>
      </w:r>
      <w:proofErr w:type="gramEnd"/>
      <w:r w:rsidRPr="00524435">
        <w:t xml:space="preserve"> the right to appeal the decision and judicial protection, the Commission observed that there was no administrative or judicial recourse to obtain a full review of the hierarchical authority’s decision to penalize. Furthermore, it is clear from the content of the amparo decisions that the competent bodies did not carry out a comprehensive review of both factual and legal aspects of the decision to dismiss the alleged victim, and instead limited the scope of their competence to due process issues.</w:t>
      </w:r>
    </w:p>
    <w:p w14:paraId="4D84B3BF" w14:textId="77777777" w:rsidR="001D3A5D" w:rsidRPr="007A5442" w:rsidRDefault="001D3A5D" w:rsidP="001332F8">
      <w:pPr>
        <w:pStyle w:val="Style2"/>
        <w:rPr>
          <w:bCs/>
          <w:lang w:val="pt-PT"/>
        </w:rPr>
      </w:pPr>
      <w:r w:rsidRPr="007A5442">
        <w:rPr>
          <w:lang w:val="pt-PT"/>
        </w:rPr>
        <w:t>Gino Ernesto Yangali Iparraguirre v. Peru</w:t>
      </w:r>
    </w:p>
    <w:p w14:paraId="76F0743C" w14:textId="77777777" w:rsidR="001D3A5D" w:rsidRPr="00524435" w:rsidRDefault="001D3A5D" w:rsidP="0003552D">
      <w:pPr>
        <w:pStyle w:val="ListParagraph"/>
      </w:pPr>
      <w:r w:rsidRPr="00524435">
        <w:t xml:space="preserve">This case is related to the international responsibility of the State for the violation of the rights to judicial guarantees and protection of Mr. </w:t>
      </w:r>
      <w:proofErr w:type="spellStart"/>
      <w:r w:rsidRPr="00524435">
        <w:t>Yangali</w:t>
      </w:r>
      <w:proofErr w:type="spellEnd"/>
      <w:r w:rsidRPr="00524435">
        <w:t xml:space="preserve"> </w:t>
      </w:r>
      <w:proofErr w:type="spellStart"/>
      <w:r w:rsidRPr="00524435">
        <w:t>Iparraguirre</w:t>
      </w:r>
      <w:proofErr w:type="spellEnd"/>
      <w:r w:rsidRPr="00524435">
        <w:t xml:space="preserve"> because it failed to comply with a judicial decision that ordered the payment to him of compensation for damages for his arbitrary dismissal from his position as a magistrate of the Superior Court of Justice of Lima. </w:t>
      </w:r>
    </w:p>
    <w:p w14:paraId="01A81770" w14:textId="77777777" w:rsidR="001D3A5D" w:rsidRPr="00524435" w:rsidRDefault="001D3A5D" w:rsidP="0003552D">
      <w:pPr>
        <w:pStyle w:val="ListParagraph"/>
      </w:pPr>
      <w:r w:rsidRPr="00524435">
        <w:t xml:space="preserve">In its Admissibility and Merits Report, the Commission established that there is no disputing the fact that the national courts recognized that Mr. </w:t>
      </w:r>
      <w:proofErr w:type="spellStart"/>
      <w:r w:rsidRPr="00524435">
        <w:t>Yangali</w:t>
      </w:r>
      <w:proofErr w:type="spellEnd"/>
      <w:r w:rsidRPr="00524435">
        <w:t xml:space="preserve"> should receive compensation for damages due to his dismissal as a judge in 1992. On May 12, 2014, the Tenth Civil Court of Lima declared the lawsuit filed by Mr. </w:t>
      </w:r>
      <w:proofErr w:type="spellStart"/>
      <w:r w:rsidRPr="00524435">
        <w:t>Yangali</w:t>
      </w:r>
      <w:proofErr w:type="spellEnd"/>
      <w:r w:rsidRPr="00524435">
        <w:t xml:space="preserve"> well founded. In response to an appeal filed by the victim, on April 6, 2016, the First Civil Court of Lima confirmed the decision and established that no deduction should be made from the amounts established in the court of first instance. </w:t>
      </w:r>
    </w:p>
    <w:p w14:paraId="2897DE0F" w14:textId="7FBD81F3" w:rsidR="001D3A5D" w:rsidRPr="00524435" w:rsidRDefault="001D3A5D" w:rsidP="0003552D">
      <w:pPr>
        <w:pStyle w:val="ListParagraph"/>
      </w:pPr>
      <w:r w:rsidRPr="00524435">
        <w:lastRenderedPageBreak/>
        <w:t xml:space="preserve">In view of the non-compliance with that decision, on July 5, 2018, the Tenth Civil Court required the Office of the President of the Council of Ministers and the Judiciary to comply with the ruling. In addition, the Public Prosecutor of the Judiciary </w:t>
      </w:r>
      <w:proofErr w:type="spellStart"/>
      <w:r w:rsidR="002B0ECE" w:rsidRPr="00524435">
        <w:t>Report</w:t>
      </w:r>
      <w:r w:rsidRPr="00524435">
        <w:t>d</w:t>
      </w:r>
      <w:proofErr w:type="spellEnd"/>
      <w:r w:rsidRPr="00524435">
        <w:t xml:space="preserve"> the Office of the Manager of the Administration and Finance Department on September 19, </w:t>
      </w:r>
      <w:proofErr w:type="gramStart"/>
      <w:r w:rsidRPr="00524435">
        <w:t>2018</w:t>
      </w:r>
      <w:proofErr w:type="gramEnd"/>
      <w:r w:rsidRPr="00524435">
        <w:t xml:space="preserve"> that the obligation recognized in favor of Mr. </w:t>
      </w:r>
      <w:proofErr w:type="spellStart"/>
      <w:r w:rsidRPr="00524435">
        <w:t>Yangali</w:t>
      </w:r>
      <w:proofErr w:type="spellEnd"/>
      <w:r w:rsidRPr="00524435">
        <w:t xml:space="preserve"> had acquired the status of res judicata and that no further recourse was applicable, and </w:t>
      </w:r>
      <w:r w:rsidR="00E24792" w:rsidRPr="00524435">
        <w:t xml:space="preserve">it </w:t>
      </w:r>
      <w:r w:rsidRPr="00524435">
        <w:t xml:space="preserve">specified the amount to be paid. However, so far that ruling has not been enforced. In its report, the Committee noted that on January 11, 2019, the State reported that payment would be made based on prioritization criteria. </w:t>
      </w:r>
    </w:p>
    <w:p w14:paraId="652EAC08" w14:textId="6F08E0CB" w:rsidR="001D3A5D" w:rsidRPr="00524435" w:rsidRDefault="001D3A5D" w:rsidP="0003552D">
      <w:pPr>
        <w:pStyle w:val="ListParagraph"/>
      </w:pPr>
      <w:r w:rsidRPr="00524435">
        <w:t xml:space="preserve">The Commission noted that the State did not take any steps since the judgment issued in 2016 to ensure prompt and effective compliance with the order issued by the judicial </w:t>
      </w:r>
      <w:r w:rsidR="00E24792" w:rsidRPr="00524435">
        <w:t>authorities and</w:t>
      </w:r>
      <w:r w:rsidRPr="00524435">
        <w:t xml:space="preserve"> guarantee the judicially recognized compensation for damages. The Commission also emphasized that this case involves a single victim and that there was already a final judicial decision that should have been complied with or, failing that, executed. </w:t>
      </w:r>
    </w:p>
    <w:p w14:paraId="4A8A984B" w14:textId="77777777" w:rsidR="001D3A5D" w:rsidRPr="00524435" w:rsidRDefault="001D3A5D" w:rsidP="0003552D">
      <w:pPr>
        <w:pStyle w:val="ListParagraph"/>
      </w:pPr>
      <w:r w:rsidRPr="00524435">
        <w:t xml:space="preserve">The Commission noted that procedural momentum had been maintained by Mr. </w:t>
      </w:r>
      <w:proofErr w:type="spellStart"/>
      <w:r w:rsidRPr="00524435">
        <w:t>Yangali</w:t>
      </w:r>
      <w:proofErr w:type="spellEnd"/>
      <w:r w:rsidRPr="00524435">
        <w:t xml:space="preserve"> throughout the proceedings. With respect to the conduct of the authorities, it established that the judicial authorities failed to find ways, and adopt the necessary measures, to achieve compliance with the judicial decision. Finally, </w:t>
      </w:r>
      <w:proofErr w:type="gramStart"/>
      <w:r w:rsidRPr="00524435">
        <w:t>with regard to</w:t>
      </w:r>
      <w:proofErr w:type="gramEnd"/>
      <w:r w:rsidRPr="00524435">
        <w:t xml:space="preserve"> the impact on the victim's legal situation, the Commission observed that the compensation is related to reparation for the arbitrary dismissal from his position as judge in 1992 and the salaries and social benefits that he ceased to receive as a consequence of it, until 2004, when he was reinstated as a judge. The Commission considered that, therefore, the </w:t>
      </w:r>
      <w:proofErr w:type="spellStart"/>
      <w:r w:rsidRPr="00524435">
        <w:t>long time</w:t>
      </w:r>
      <w:proofErr w:type="spellEnd"/>
      <w:r w:rsidRPr="00524435">
        <w:t xml:space="preserve"> taken to execute the sentence had an impact on Mr. </w:t>
      </w:r>
      <w:proofErr w:type="spellStart"/>
      <w:r w:rsidRPr="00524435">
        <w:t>Yangali's</w:t>
      </w:r>
      <w:proofErr w:type="spellEnd"/>
      <w:r w:rsidRPr="00524435">
        <w:t xml:space="preserve"> legal situation.</w:t>
      </w:r>
    </w:p>
    <w:p w14:paraId="42014E43" w14:textId="77777777" w:rsidR="001D3A5D" w:rsidRPr="00524435" w:rsidRDefault="001D3A5D" w:rsidP="0003552D">
      <w:pPr>
        <w:pStyle w:val="ListParagraph"/>
      </w:pPr>
      <w:r w:rsidRPr="00524435">
        <w:t xml:space="preserve">In view of the foregoing, the Commission concluded in its Report on Admissibility and Merits that the Peruvian State was responsible for not having guaranteed execution of the judgment in favor of the victim within a reasonable </w:t>
      </w:r>
      <w:proofErr w:type="gramStart"/>
      <w:r w:rsidRPr="00524435">
        <w:t>period of time</w:t>
      </w:r>
      <w:proofErr w:type="gramEnd"/>
      <w:r w:rsidRPr="00524435">
        <w:t>. That violated Articles 8.1 and 25.2, c. of the American Convention, in conjunction with the obligations contained in Article 1(1) of that instrument.</w:t>
      </w:r>
    </w:p>
    <w:p w14:paraId="47243216" w14:textId="3D784C8E" w:rsidR="001D3A5D" w:rsidRPr="003F238D" w:rsidRDefault="001D3A5D" w:rsidP="001332F8">
      <w:pPr>
        <w:pStyle w:val="Style2"/>
        <w:rPr>
          <w:lang w:val="es-US"/>
        </w:rPr>
      </w:pPr>
      <w:proofErr w:type="spellStart"/>
      <w:r w:rsidRPr="003F238D">
        <w:rPr>
          <w:lang w:val="es-US"/>
        </w:rPr>
        <w:t>Crissthian</w:t>
      </w:r>
      <w:proofErr w:type="spellEnd"/>
      <w:r w:rsidRPr="003F238D">
        <w:rPr>
          <w:lang w:val="es-US"/>
        </w:rPr>
        <w:t xml:space="preserve"> Manuel Olivera Fuentes v. </w:t>
      </w:r>
      <w:proofErr w:type="spellStart"/>
      <w:r w:rsidRPr="003F238D">
        <w:rPr>
          <w:lang w:val="es-US"/>
        </w:rPr>
        <w:t>Peru</w:t>
      </w:r>
      <w:proofErr w:type="spellEnd"/>
    </w:p>
    <w:p w14:paraId="38D784CD" w14:textId="77777777" w:rsidR="001D3A5D" w:rsidRPr="00524435" w:rsidRDefault="001D3A5D" w:rsidP="0003552D">
      <w:pPr>
        <w:pStyle w:val="ListParagraph"/>
      </w:pPr>
      <w:r w:rsidRPr="00524435">
        <w:t xml:space="preserve">This case has to do with the international responsibility of the State for the violation of the rights of </w:t>
      </w:r>
      <w:proofErr w:type="spellStart"/>
      <w:r w:rsidRPr="00524435">
        <w:t>Crissthian</w:t>
      </w:r>
      <w:proofErr w:type="spellEnd"/>
      <w:r w:rsidRPr="00524435">
        <w:t xml:space="preserve"> Manuel Olivera Fuentes to equality and non-discrimination, privacy, judicial guarantees, and judicial protection, </w:t>
      </w:r>
      <w:proofErr w:type="gramStart"/>
      <w:r w:rsidRPr="00524435">
        <w:t>as a consequence of</w:t>
      </w:r>
      <w:proofErr w:type="gramEnd"/>
      <w:r w:rsidRPr="00524435">
        <w:t xml:space="preserve"> acts of discrimination based on expression of his sexual orientation. On August 11, 2004, Mr. Olivera and his same-sex partner were reprimanded by the staff of the </w:t>
      </w:r>
      <w:proofErr w:type="spellStart"/>
      <w:r w:rsidRPr="00524435">
        <w:t>Dulces</w:t>
      </w:r>
      <w:proofErr w:type="spellEnd"/>
      <w:r w:rsidRPr="00524435">
        <w:t xml:space="preserve"> y </w:t>
      </w:r>
      <w:proofErr w:type="spellStart"/>
      <w:r w:rsidRPr="00524435">
        <w:t>Salados</w:t>
      </w:r>
      <w:proofErr w:type="spellEnd"/>
      <w:r w:rsidRPr="00524435">
        <w:t xml:space="preserve"> cafeteria of the Santa Isabel Supermarket in San Miguel, for publicly displaying affectionate behavior. According to a report from the mall, the victim was asked to cease his affectionate behavior since a customer had complained that two male persons "were committing acts of homosexuality" as they were kissing and fondling each other, which made him uncomfortable because he was with his under-age children. On August 17, 2004, Mr. Olivera went to another shopping center of the same company, accompanied by a heterosexual couple, who engaged in affectionate behavior. However, only the victim and his partner were reprimanded for engaging in such behavior. On October 1, 2004, Mr. Olivera filed a complaint for discrimination before INDECOPI, which was rejected, with a final unfavorable decision being handed down in a court of cassation on April 11, 2011.</w:t>
      </w:r>
    </w:p>
    <w:p w14:paraId="3F0E789A" w14:textId="77777777" w:rsidR="001D3A5D" w:rsidRPr="00524435" w:rsidRDefault="001D3A5D" w:rsidP="0003552D">
      <w:pPr>
        <w:pStyle w:val="ListParagraph"/>
      </w:pPr>
      <w:r w:rsidRPr="00524435">
        <w:t xml:space="preserve">In its Report on the Merits, the Commission analyzed, first, whether Mr. Olivera was subjected to interference with his private life and a difference in treatment based on his sexual orientation, and whether there was any reasonable basis for them. Second, it analyzed whether the State guaranteed the right to effective judicial protection following the filing of allegations of discrimination in the domestic venue. Given that the facts refer to the actions of a private entity, </w:t>
      </w:r>
      <w:proofErr w:type="gramStart"/>
      <w:r w:rsidRPr="00524435">
        <w:t>in order to</w:t>
      </w:r>
      <w:proofErr w:type="gramEnd"/>
      <w:r w:rsidRPr="00524435">
        <w:t xml:space="preserve"> determine the responsibility of the State, the Commission analyzed the effectiveness of its response to the appeals filed by the victim.</w:t>
      </w:r>
    </w:p>
    <w:p w14:paraId="29357467" w14:textId="77777777" w:rsidR="001D3A5D" w:rsidRPr="00524435" w:rsidRDefault="001D3A5D" w:rsidP="0003552D">
      <w:pPr>
        <w:pStyle w:val="ListParagraph"/>
      </w:pPr>
      <w:r w:rsidRPr="00524435">
        <w:t xml:space="preserve">Based on the available evidence, the Commission concluded that Mr. Olivera was subjected to an interference in his private life and differential treatment based on expressions of his sexual orientation. In order to decide whether said differential treatment is acceptable under the terms of the Convention, the Commission assessed various levels of proportionality, including: </w:t>
      </w:r>
      <w:proofErr w:type="spellStart"/>
      <w:r w:rsidRPr="00524435">
        <w:t>i</w:t>
      </w:r>
      <w:proofErr w:type="spellEnd"/>
      <w:r w:rsidRPr="00524435">
        <w:t xml:space="preserve">)  the existence of a legitimate goal; ii) </w:t>
      </w:r>
      <w:r w:rsidRPr="00524435">
        <w:lastRenderedPageBreak/>
        <w:t>appropriateness, i.e.,  the determination of whether there is a  logical means-to-end relationship between the goal sought and the distinction; (iii) necessity, i.e., the determination of whether less restrictive and equally suitable alternatives exist; and (iv) proportionality in the strict sense, that is to say, a balance between the interests at stake and the level of sacrifice  required from one party to the benefit of the other.</w:t>
      </w:r>
    </w:p>
    <w:p w14:paraId="02BF5FB3" w14:textId="77777777" w:rsidR="001D3A5D" w:rsidRPr="00524435" w:rsidRDefault="001D3A5D" w:rsidP="0003552D">
      <w:pPr>
        <w:pStyle w:val="ListParagraph"/>
      </w:pPr>
      <w:r w:rsidRPr="00524435">
        <w:t xml:space="preserve">As to the legitimate purpose of the interference or difference in treatment, the Commission considered that guaranteeing "the peace of mind of [the] clients" is not a compelling purpose such as would be required in a case of this nature in which it is indispensable to justify with very weighty reasons the limitation to a right. At the same time, it stressed that, in examining the requirement of appropriateness, the Inter-American Court has rejected generic allegations that refer to the purpose of ensuring the best interests of the child without demonstrating why a distinction in treatment based on sexual orientation contributes to that end. For this reason, the Commission noted that the alleged purpose of guaranteeing the peace of mind of a client who was with his children, who felt disturbed by the affectionate behavior of the victim and his partner, is not legitimate under Inter-American standards. </w:t>
      </w:r>
    </w:p>
    <w:p w14:paraId="02C7060F" w14:textId="77777777" w:rsidR="001D3A5D" w:rsidRPr="00524435" w:rsidRDefault="001D3A5D" w:rsidP="0003552D">
      <w:pPr>
        <w:pStyle w:val="ListParagraph"/>
      </w:pPr>
      <w:r w:rsidRPr="00524435">
        <w:t>In view of those findings, the Commission concluded that, as there was no basis or legitimate justification for the reprimand prompted by the victim's expressions of affection, that reprimand impaired Mr. Olivera's right to privacy, as well as the principle of equality and non-discrimination.</w:t>
      </w:r>
    </w:p>
    <w:p w14:paraId="2840317D" w14:textId="77777777" w:rsidR="001D3A5D" w:rsidRPr="00524435" w:rsidRDefault="001D3A5D" w:rsidP="0003552D">
      <w:pPr>
        <w:pStyle w:val="ListParagraph"/>
      </w:pPr>
      <w:r w:rsidRPr="00524435">
        <w:t xml:space="preserve">Regarding the State's response to the appeals filed by the victim, the Commission observed that the main reason for the denial of the appeals was the lack of sufficient evidence to corroborate the alleged unequal treatment. The IACHR considered that the domestic administrative and judicial bodies imposed an excessive argumentative and evidentiary burden on the victim, </w:t>
      </w:r>
      <w:proofErr w:type="gramStart"/>
      <w:r w:rsidRPr="00524435">
        <w:t>despite the fact that</w:t>
      </w:r>
      <w:proofErr w:type="gramEnd"/>
      <w:r w:rsidRPr="00524435">
        <w:t xml:space="preserve"> the company sued itself recognized the difference in treatment. The Commission considered that the proofs and circumstantial evidence available were sufficient to establish </w:t>
      </w:r>
      <w:r w:rsidRPr="00524435">
        <w:rPr>
          <w:i/>
        </w:rPr>
        <w:t>prima facie</w:t>
      </w:r>
      <w:r w:rsidRPr="00524435">
        <w:t xml:space="preserve"> the existence of an interference or unequal treatment, and therefore the burden of proof should be shifted to the Respondent to demonstrate that its intervention on August 11, </w:t>
      </w:r>
      <w:proofErr w:type="gramStart"/>
      <w:r w:rsidRPr="00524435">
        <w:t>2004</w:t>
      </w:r>
      <w:proofErr w:type="gramEnd"/>
      <w:r w:rsidRPr="00524435">
        <w:t xml:space="preserve"> did not have a discriminatory purpose or effect. </w:t>
      </w:r>
    </w:p>
    <w:p w14:paraId="41B75030" w14:textId="77777777" w:rsidR="001D3A5D" w:rsidRPr="00524435" w:rsidRDefault="001D3A5D" w:rsidP="0003552D">
      <w:pPr>
        <w:pStyle w:val="ListParagraph"/>
      </w:pPr>
      <w:r w:rsidRPr="00524435">
        <w:t xml:space="preserve">The IACHR noted that the domestic bodies imposed on the victim the burden of proving the distinction in treatment and its discriminatory nature, using an inappropriate evidentiary standard for this type of case. The Commission considered that the high evidentiary standard imposed by the domestic courts, despite all the existing proof and circumstantial evidence, nullified the right to effective judicial protection to which the victim was entitled. It also pointed out that the lack of an analysis of the reasonableness and proportionality of the interference and distinction of treatment confirmed the violation of the right to privacy and the principle of equality and non-discrimination. </w:t>
      </w:r>
    </w:p>
    <w:p w14:paraId="308C1416" w14:textId="77777777" w:rsidR="001D3A5D" w:rsidRPr="00524435" w:rsidRDefault="001D3A5D" w:rsidP="0003552D">
      <w:pPr>
        <w:pStyle w:val="ListParagraph"/>
      </w:pPr>
      <w:r w:rsidRPr="00524435">
        <w:t xml:space="preserve">In addition, the Commission concluded that the State violated the guarantee of reasonable time due to the time that each authority took to resolve the appeals filed, without the State having provided reasons to justify the time that elapsed for the decision on each appeal. </w:t>
      </w:r>
    </w:p>
    <w:p w14:paraId="08EB50E2" w14:textId="77777777" w:rsidR="001D3A5D" w:rsidRPr="00524435" w:rsidRDefault="001D3A5D" w:rsidP="0003552D">
      <w:pPr>
        <w:pStyle w:val="ListParagraph"/>
      </w:pPr>
      <w:r w:rsidRPr="00524435">
        <w:t xml:space="preserve">By virtue of those considerations, the Commission concluded that the Peruvian State is responsible for the violation of the principle of equality and non-discrimination, privacy, judicial guarantees, and judicial protection contemplated in Articles 24, 11, 8 and 25 of the American Convention, in conjunction with Article 1(1), to the detriment of </w:t>
      </w:r>
      <w:proofErr w:type="spellStart"/>
      <w:r w:rsidRPr="00524435">
        <w:t>Crissthian</w:t>
      </w:r>
      <w:proofErr w:type="spellEnd"/>
      <w:r w:rsidRPr="00524435">
        <w:t xml:space="preserve"> Manuel Olivera Fuentes. </w:t>
      </w:r>
    </w:p>
    <w:p w14:paraId="468AAD1E" w14:textId="12D5E8A5" w:rsidR="001D3A5D" w:rsidRPr="00524435" w:rsidRDefault="001D3A5D" w:rsidP="001332F8">
      <w:pPr>
        <w:pStyle w:val="Style2"/>
        <w:rPr>
          <w:lang w:val="en-US"/>
        </w:rPr>
      </w:pPr>
      <w:proofErr w:type="spellStart"/>
      <w:r w:rsidRPr="00524435">
        <w:rPr>
          <w:lang w:val="en-US"/>
        </w:rPr>
        <w:t>Leónidas</w:t>
      </w:r>
      <w:proofErr w:type="spellEnd"/>
      <w:r w:rsidRPr="00524435">
        <w:rPr>
          <w:lang w:val="en-US"/>
        </w:rPr>
        <w:t xml:space="preserve"> </w:t>
      </w:r>
      <w:proofErr w:type="spellStart"/>
      <w:r w:rsidRPr="00524435">
        <w:rPr>
          <w:lang w:val="en-US"/>
        </w:rPr>
        <w:t>Bendezú</w:t>
      </w:r>
      <w:proofErr w:type="spellEnd"/>
      <w:r w:rsidRPr="00524435">
        <w:rPr>
          <w:lang w:val="en-US"/>
        </w:rPr>
        <w:t xml:space="preserve"> </w:t>
      </w:r>
      <w:proofErr w:type="spellStart"/>
      <w:r w:rsidRPr="00524435">
        <w:rPr>
          <w:lang w:val="en-US"/>
        </w:rPr>
        <w:t>Tuncar</w:t>
      </w:r>
      <w:proofErr w:type="spellEnd"/>
      <w:r w:rsidRPr="00524435">
        <w:rPr>
          <w:lang w:val="en-US"/>
        </w:rPr>
        <w:t xml:space="preserve"> v. Peru</w:t>
      </w:r>
    </w:p>
    <w:p w14:paraId="51202885" w14:textId="77777777" w:rsidR="001D3A5D" w:rsidRPr="00524435" w:rsidRDefault="001D3A5D" w:rsidP="0003552D">
      <w:pPr>
        <w:pStyle w:val="ListParagraph"/>
      </w:pPr>
      <w:r w:rsidRPr="00524435">
        <w:t xml:space="preserve">This case is related to the international responsibility of the State for the violation of the rights of Mr. </w:t>
      </w:r>
      <w:proofErr w:type="spellStart"/>
      <w:r w:rsidRPr="00524435">
        <w:t>Leónidas</w:t>
      </w:r>
      <w:proofErr w:type="spellEnd"/>
      <w:r w:rsidRPr="00524435">
        <w:t xml:space="preserve"> </w:t>
      </w:r>
      <w:proofErr w:type="spellStart"/>
      <w:r w:rsidRPr="00524435">
        <w:t>Bendezú</w:t>
      </w:r>
      <w:proofErr w:type="spellEnd"/>
      <w:r w:rsidRPr="00524435">
        <w:t xml:space="preserve"> </w:t>
      </w:r>
      <w:proofErr w:type="spellStart"/>
      <w:r w:rsidRPr="00524435">
        <w:t>Tuncar</w:t>
      </w:r>
      <w:proofErr w:type="spellEnd"/>
      <w:r w:rsidRPr="00524435">
        <w:t xml:space="preserve"> in connection with his dismissal from his position as Office Assistant of the Financial and Accounting Sciences Faculty of the University of San Martín de </w:t>
      </w:r>
      <w:proofErr w:type="spellStart"/>
      <w:r w:rsidRPr="00524435">
        <w:t>Porres</w:t>
      </w:r>
      <w:proofErr w:type="spellEnd"/>
      <w:r w:rsidRPr="00524435">
        <w:t xml:space="preserve">. </w:t>
      </w:r>
    </w:p>
    <w:p w14:paraId="59BF613D" w14:textId="77777777" w:rsidR="001D3A5D" w:rsidRPr="00524435" w:rsidRDefault="001D3A5D" w:rsidP="0003552D">
      <w:pPr>
        <w:pStyle w:val="ListParagraph"/>
      </w:pPr>
      <w:r w:rsidRPr="00524435">
        <w:t xml:space="preserve">Mr. </w:t>
      </w:r>
      <w:proofErr w:type="spellStart"/>
      <w:r w:rsidRPr="00524435">
        <w:t>Leónidas</w:t>
      </w:r>
      <w:proofErr w:type="spellEnd"/>
      <w:r w:rsidRPr="00524435">
        <w:t xml:space="preserve"> </w:t>
      </w:r>
      <w:proofErr w:type="spellStart"/>
      <w:r w:rsidRPr="00524435">
        <w:t>Bendezú</w:t>
      </w:r>
      <w:proofErr w:type="spellEnd"/>
      <w:r w:rsidRPr="00524435">
        <w:t xml:space="preserve"> </w:t>
      </w:r>
      <w:proofErr w:type="spellStart"/>
      <w:r w:rsidRPr="00524435">
        <w:t>Tuncar</w:t>
      </w:r>
      <w:proofErr w:type="spellEnd"/>
      <w:r w:rsidRPr="00524435">
        <w:t xml:space="preserve"> joined Universidad San Martín de </w:t>
      </w:r>
      <w:proofErr w:type="spellStart"/>
      <w:r w:rsidRPr="00524435">
        <w:t>Porres</w:t>
      </w:r>
      <w:proofErr w:type="spellEnd"/>
      <w:r w:rsidRPr="00524435">
        <w:t xml:space="preserve"> in Lima, Peru, a private institution, on January 20, 1981, as an office assistant in the Financial and Accounting Sciences Faculty charged </w:t>
      </w:r>
      <w:r w:rsidRPr="00524435">
        <w:lastRenderedPageBreak/>
        <w:t xml:space="preserve">with overseeing and registering </w:t>
      </w:r>
      <w:proofErr w:type="gramStart"/>
      <w:r w:rsidRPr="00524435">
        <w:t>teachers, and</w:t>
      </w:r>
      <w:proofErr w:type="gramEnd"/>
      <w:r w:rsidRPr="00524435">
        <w:t xml:space="preserve"> was a member of the university employees' union. On March 21, 1996, a student sent a letter to the Dean of the Faculty, denouncing Mr. </w:t>
      </w:r>
      <w:proofErr w:type="spellStart"/>
      <w:r w:rsidRPr="00524435">
        <w:t>Tuncar</w:t>
      </w:r>
      <w:proofErr w:type="spellEnd"/>
      <w:r w:rsidRPr="00524435">
        <w:t xml:space="preserve"> for adulterating documents during the process of updating her enrollment. The University initiated disciplinary proceedings against the alleged victim, accusing him of serious misconduct as set forth in the Employment Promotion Law (Supreme Decree No. 05-95-TR). On April 15, 1996, the University sent the victim a "notarized letter of notice of dismissal" in which he was summoned so that he could present his defense in accordance with law.</w:t>
      </w:r>
    </w:p>
    <w:p w14:paraId="1E0242B8" w14:textId="77777777" w:rsidR="001D3A5D" w:rsidRPr="00524435" w:rsidRDefault="001D3A5D" w:rsidP="0003552D">
      <w:pPr>
        <w:pStyle w:val="ListParagraph"/>
      </w:pPr>
      <w:r w:rsidRPr="00524435">
        <w:t xml:space="preserve">Mr. </w:t>
      </w:r>
      <w:proofErr w:type="spellStart"/>
      <w:r w:rsidRPr="00524435">
        <w:t>Bendezú</w:t>
      </w:r>
      <w:proofErr w:type="spellEnd"/>
      <w:r w:rsidRPr="00524435">
        <w:t xml:space="preserve"> presented his defense, disputing the facts, and complaining that his position at the University had been changed in recent months, and that there was an intention to dismiss him, as the notice of dismissal letter indicated that he had already committed acts constituting grounds for dismissal. He claimed that his dismissal had been a reprisal by members of the Student Senate (</w:t>
      </w:r>
      <w:r w:rsidRPr="00524435">
        <w:rPr>
          <w:i/>
          <w:iCs/>
        </w:rPr>
        <w:t xml:space="preserve">Tercio </w:t>
      </w:r>
      <w:proofErr w:type="spellStart"/>
      <w:r w:rsidRPr="00524435">
        <w:rPr>
          <w:i/>
          <w:iCs/>
        </w:rPr>
        <w:t>Estudiantil</w:t>
      </w:r>
      <w:proofErr w:type="spellEnd"/>
      <w:r w:rsidRPr="00524435">
        <w:rPr>
          <w:i/>
          <w:iCs/>
        </w:rPr>
        <w:t xml:space="preserve"> de la Universidad</w:t>
      </w:r>
      <w:r w:rsidRPr="00524435">
        <w:t xml:space="preserve">). In relation to this point, there is a record of Mr. </w:t>
      </w:r>
      <w:proofErr w:type="spellStart"/>
      <w:r w:rsidRPr="00524435">
        <w:t>Bendezú's</w:t>
      </w:r>
      <w:proofErr w:type="spellEnd"/>
      <w:r w:rsidRPr="00524435">
        <w:t xml:space="preserve"> brother having denounced two student leaders for hitting him and locking him in a faculty building, after threatening to kill him. On April 29, 1996, the University sent a notarized letter of dismissal, indicating that Mr. </w:t>
      </w:r>
      <w:proofErr w:type="spellStart"/>
      <w:r w:rsidRPr="00524435">
        <w:t>Bendezú</w:t>
      </w:r>
      <w:proofErr w:type="spellEnd"/>
      <w:r w:rsidRPr="00524435">
        <w:t xml:space="preserve"> had committed serious misconduct. In addition, it stated that the alleged victim had at no time denied the facts.</w:t>
      </w:r>
    </w:p>
    <w:p w14:paraId="57C6535A" w14:textId="77777777" w:rsidR="001D3A5D" w:rsidRPr="00524435" w:rsidRDefault="001D3A5D" w:rsidP="0003552D">
      <w:pPr>
        <w:pStyle w:val="ListParagraph"/>
      </w:pPr>
      <w:r w:rsidRPr="00524435">
        <w:t xml:space="preserve">Following the filing of an appeal for annulment, the 15th Labor Court of Lima declared the lawsuit admissible, considering the invalidity of the document accusing the victim of the alleged offenses and considering that he had proven his affiliation to the Employees' Union and his participation in union activities, and that he had filed a complaint against members of the Student Senate. However, after an appeal was filed, the Second Labor Chamber of the Superior Court of Justice declared the appeal admissible, which resulted in the dismissal of Mr. </w:t>
      </w:r>
      <w:proofErr w:type="spellStart"/>
      <w:r w:rsidRPr="00524435">
        <w:t>Bendezú</w:t>
      </w:r>
      <w:proofErr w:type="spellEnd"/>
      <w:r w:rsidRPr="00524435">
        <w:t>. In that decision, two magistrates dissented, indicating that the reasons for the dismissal were related to acts of hostility against the employee, who demonstrated that the dismissal was the consequence of a complaint filed by his brother against representatives of the Student Senate of the University. Finally, after a cassation appeal was filed, the Constitutional and Social Chamber of the Supreme Court of Justice declared it inadmissible, considering that the substantive requirements for its filing had not been met.</w:t>
      </w:r>
    </w:p>
    <w:p w14:paraId="6E787A9C" w14:textId="77777777" w:rsidR="001D3A5D" w:rsidRPr="00524435" w:rsidRDefault="001D3A5D" w:rsidP="0003552D">
      <w:pPr>
        <w:pStyle w:val="ListParagraph"/>
      </w:pPr>
      <w:r w:rsidRPr="00524435">
        <w:rPr>
          <w:color w:val="000000"/>
          <w:bdr w:val="nil"/>
        </w:rPr>
        <w:t>In its Report on the Merits, the Commission considered that the pre-notification of dismissal with the indication that the victim had committed serious misconduct involved altering the burden of proof in a manner contrary to the principle of presumption of innocence, according to which it is incumbent upon the accuser to prove his case, since it implied that the victim's guilt had already been accredited. The Commission also concluded that this implied a violation of the right to defense. It also emphasized that, in the context of the proceedings brought by the victim, the courts did not carry out a substantive review that might have remedied the findings regarding those violations, but rather, on the contrary, validated them.</w:t>
      </w:r>
      <w:r w:rsidRPr="00524435">
        <w:t xml:space="preserve"> </w:t>
      </w:r>
    </w:p>
    <w:p w14:paraId="1F04A77D" w14:textId="675C01D5" w:rsidR="001D3A5D" w:rsidRPr="00524435" w:rsidRDefault="001D3A5D" w:rsidP="0003552D">
      <w:pPr>
        <w:pStyle w:val="ListParagraph"/>
      </w:pPr>
      <w:r w:rsidRPr="00524435">
        <w:t xml:space="preserve">The Commission also considered that the decisions that resolved the appeals and cassation appeals in the nullity action against the dismissal did not analyze the reasons why the victim's conduct constituted serious misconduct meriting his </w:t>
      </w:r>
      <w:r w:rsidR="001E360E" w:rsidRPr="00524435">
        <w:t>dismissal or</w:t>
      </w:r>
      <w:r w:rsidRPr="00524435">
        <w:t xml:space="preserve"> make it possible to analyze the legality of his dismissal. The IACHR observed that the absence of a substantive review of the procedure that used unsubstantiated decisions in effect confirmed them and affected the victim’s right to effective judicial protection. </w:t>
      </w:r>
    </w:p>
    <w:p w14:paraId="109A20C8" w14:textId="77777777" w:rsidR="001D3A5D" w:rsidRPr="00524435" w:rsidRDefault="001D3A5D" w:rsidP="0003552D">
      <w:pPr>
        <w:pStyle w:val="ListParagraph"/>
      </w:pPr>
      <w:r w:rsidRPr="00524435">
        <w:t xml:space="preserve">At the same time, the Commission noted the existence of a series of indications that the proceedings against the victim constituted a misuse of power. The Commission took note of the victim's allegation of retaliation and that the first instance decision noted his affiliation to the University employees' union and his participation in union activities, as well as the existence of a reprisal for having filed a complaint against members of the Student Senate. The IACHR considered that the </w:t>
      </w:r>
      <w:proofErr w:type="gramStart"/>
      <w:r w:rsidRPr="00524435">
        <w:t>aforementioned violations</w:t>
      </w:r>
      <w:proofErr w:type="gramEnd"/>
      <w:r w:rsidRPr="00524435">
        <w:t xml:space="preserve"> of due process constituted an additional indication of the misuse of power. </w:t>
      </w:r>
    </w:p>
    <w:p w14:paraId="03E85F3E" w14:textId="77777777" w:rsidR="001D3A5D" w:rsidRPr="00524435" w:rsidRDefault="001D3A5D" w:rsidP="0003552D">
      <w:pPr>
        <w:pStyle w:val="ListParagraph"/>
      </w:pPr>
      <w:r w:rsidRPr="00524435">
        <w:t xml:space="preserve">Finally, the Commission determined that the dismissal of the victim in a process in which a series of violations of due process were committed, in which dismissal was determined without proper evidence, and through unsubstantiated decisions, confirms that the State did not offer adequate protection to the victim’s right to job stability. </w:t>
      </w:r>
    </w:p>
    <w:p w14:paraId="049A850D" w14:textId="77777777" w:rsidR="001D3A5D" w:rsidRPr="00524435" w:rsidRDefault="001D3A5D" w:rsidP="0003552D">
      <w:pPr>
        <w:pStyle w:val="ListParagraph"/>
      </w:pPr>
      <w:r w:rsidRPr="00524435">
        <w:lastRenderedPageBreak/>
        <w:t xml:space="preserve">In light of the above, the Commission concluded that the State of Peru violated the rights upheld in Articles 8.1, 8.2, 8.2 c), and 9 of the American Convention, in conjunction with its </w:t>
      </w:r>
      <w:proofErr w:type="gramStart"/>
      <w:r w:rsidRPr="00524435">
        <w:t>Articles</w:t>
      </w:r>
      <w:proofErr w:type="gramEnd"/>
      <w:r w:rsidRPr="00524435">
        <w:t xml:space="preserve"> 25.1, 26, and 1.1, to the detriment of Leonidas </w:t>
      </w:r>
      <w:proofErr w:type="spellStart"/>
      <w:r w:rsidRPr="00524435">
        <w:t>Bendezú</w:t>
      </w:r>
      <w:proofErr w:type="spellEnd"/>
      <w:r w:rsidRPr="00524435">
        <w:t xml:space="preserve"> </w:t>
      </w:r>
      <w:proofErr w:type="spellStart"/>
      <w:r w:rsidRPr="00524435">
        <w:t>Tuncar</w:t>
      </w:r>
      <w:proofErr w:type="spellEnd"/>
      <w:r w:rsidRPr="00524435">
        <w:t xml:space="preserve">.  </w:t>
      </w:r>
    </w:p>
    <w:p w14:paraId="36EEE7B0" w14:textId="77777777" w:rsidR="001D3A5D" w:rsidRPr="00524435" w:rsidRDefault="001D3A5D" w:rsidP="001332F8">
      <w:pPr>
        <w:pStyle w:val="Style2"/>
        <w:rPr>
          <w:bCs/>
          <w:lang w:val="en-US"/>
        </w:rPr>
      </w:pPr>
      <w:r w:rsidRPr="00524435">
        <w:rPr>
          <w:lang w:val="en-US"/>
        </w:rPr>
        <w:t>La Oroya Community v. Peru</w:t>
      </w:r>
    </w:p>
    <w:p w14:paraId="063B2BF9" w14:textId="77777777" w:rsidR="001D3A5D" w:rsidRPr="00524435" w:rsidRDefault="001D3A5D" w:rsidP="0003552D">
      <w:pPr>
        <w:pStyle w:val="ListParagraph"/>
      </w:pPr>
      <w:r w:rsidRPr="00524435">
        <w:t xml:space="preserve">This case </w:t>
      </w:r>
      <w:r w:rsidRPr="00524435">
        <w:rPr>
          <w:bdr w:val="nil"/>
        </w:rPr>
        <w:t xml:space="preserve">has to do with the international responsibility of the State for damages caused to a group of inhabitants of the La Oroya Community, </w:t>
      </w:r>
      <w:proofErr w:type="gramStart"/>
      <w:r w:rsidRPr="00524435">
        <w:rPr>
          <w:bdr w:val="nil"/>
        </w:rPr>
        <w:t>as a consequence of</w:t>
      </w:r>
      <w:proofErr w:type="gramEnd"/>
      <w:r w:rsidRPr="00524435">
        <w:rPr>
          <w:bdr w:val="nil"/>
        </w:rPr>
        <w:t xml:space="preserve"> acts of contamination by a metallurgical complex in said community</w:t>
      </w:r>
      <w:r w:rsidRPr="00524435">
        <w:t>.</w:t>
      </w:r>
      <w:r w:rsidRPr="00524435">
        <w:rPr>
          <w:bdr w:val="nil"/>
        </w:rPr>
        <w:t xml:space="preserve"> </w:t>
      </w:r>
    </w:p>
    <w:p w14:paraId="2712AB8D" w14:textId="7453DBB5" w:rsidR="001D3A5D" w:rsidRPr="00524435" w:rsidRDefault="001D3A5D" w:rsidP="0003552D">
      <w:pPr>
        <w:pStyle w:val="ListParagraph"/>
      </w:pPr>
      <w:r w:rsidRPr="00524435">
        <w:rPr>
          <w:bdr w:val="nil"/>
        </w:rPr>
        <w:t xml:space="preserve">The community of La Oroya </w:t>
      </w:r>
      <w:proofErr w:type="gramStart"/>
      <w:r w:rsidRPr="00524435">
        <w:rPr>
          <w:bdr w:val="nil"/>
        </w:rPr>
        <w:t>is located in</w:t>
      </w:r>
      <w:proofErr w:type="gramEnd"/>
      <w:r w:rsidRPr="00524435">
        <w:rPr>
          <w:bdr w:val="nil"/>
        </w:rPr>
        <w:t xml:space="preserve"> the central highlands of </w:t>
      </w:r>
      <w:r w:rsidR="001E360E" w:rsidRPr="00524435">
        <w:rPr>
          <w:bdr w:val="nil"/>
        </w:rPr>
        <w:t>Peru and</w:t>
      </w:r>
      <w:r w:rsidRPr="00524435">
        <w:rPr>
          <w:bdr w:val="nil"/>
        </w:rPr>
        <w:t xml:space="preserve"> consists of approximately 30,533 inhabitants. In 1922, the La Oroya Metallurgical Complex was established in this community, operated by a U.S. company that processed polymetallic concentrates with high lead, copper, zinc, silver, and gold content, as well as substances such as sulfur, cadmium, and arsenic. In 1974 the metallurgical complex was nationalized and became the property of </w:t>
      </w:r>
      <w:proofErr w:type="spellStart"/>
      <w:r w:rsidRPr="00524435">
        <w:rPr>
          <w:bdr w:val="nil"/>
        </w:rPr>
        <w:t>Empresa</w:t>
      </w:r>
      <w:proofErr w:type="spellEnd"/>
      <w:r w:rsidRPr="00524435">
        <w:rPr>
          <w:bdr w:val="nil"/>
        </w:rPr>
        <w:t xml:space="preserve"> Minera del Centro del Peru, S.A. "CENTROMIN", which operated until 1997. </w:t>
      </w:r>
    </w:p>
    <w:p w14:paraId="124C0DA0" w14:textId="4BC39EF1" w:rsidR="001D3A5D" w:rsidRPr="00524435" w:rsidRDefault="001D3A5D" w:rsidP="001332F8">
      <w:pPr>
        <w:pStyle w:val="ListParagraph"/>
      </w:pPr>
      <w:r w:rsidRPr="00524435">
        <w:rPr>
          <w:bdr w:val="nil"/>
        </w:rPr>
        <w:t xml:space="preserve">Prior to the 1990s, the State did not have adequate legislation on environmental control and pollution prevention. In 1993, the Regulations for Environmental Protection in Mining and Metallurgical Activities were enacted, which established that all current operations must have an Environmental Adaptation and Management Program </w:t>
      </w:r>
      <w:r w:rsidR="001E360E" w:rsidRPr="00524435">
        <w:rPr>
          <w:bdr w:val="nil"/>
        </w:rPr>
        <w:t>(PAMA</w:t>
      </w:r>
      <w:r w:rsidRPr="00524435">
        <w:rPr>
          <w:bdr w:val="nil"/>
        </w:rPr>
        <w:t xml:space="preserve">). On January 13, 1997, the Ministry of Energy and Mines approved the PAMA for the La Oroya Metallurgical </w:t>
      </w:r>
      <w:r w:rsidR="001E360E" w:rsidRPr="00524435">
        <w:rPr>
          <w:bdr w:val="nil"/>
        </w:rPr>
        <w:t>Complex, to</w:t>
      </w:r>
      <w:r w:rsidRPr="00524435">
        <w:rPr>
          <w:bdr w:val="nil"/>
        </w:rPr>
        <w:t xml:space="preserve"> be run by the public sector enterprise CENTROMIN. It established a 10-year execution period and a commitment to invest in adaptation programs aimed at reducing the environmental impacts of mining operations. </w:t>
      </w:r>
    </w:p>
    <w:p w14:paraId="0AB37EF5" w14:textId="0A0BFFAB" w:rsidR="001D3A5D" w:rsidRPr="00524435" w:rsidRDefault="001D3A5D" w:rsidP="001332F8">
      <w:pPr>
        <w:pStyle w:val="ListParagraph"/>
      </w:pPr>
      <w:r w:rsidRPr="00524435">
        <w:rPr>
          <w:bdr w:val="nil"/>
        </w:rPr>
        <w:t xml:space="preserve">In 1997 the plant was acquired by the private U.S. company Doe Run Company and the PAMA was divided into two parts, one under the responsibility of CENTROMIN and the other under the responsibility of Doe Run. However, between 1999 and 2002, at least four modifications were made to the original PAMA to </w:t>
      </w:r>
      <w:r w:rsidR="001E360E" w:rsidRPr="00524435">
        <w:rPr>
          <w:bdr w:val="nil"/>
        </w:rPr>
        <w:t>postpone execution</w:t>
      </w:r>
      <w:r w:rsidRPr="00524435">
        <w:rPr>
          <w:bdr w:val="nil"/>
        </w:rPr>
        <w:t xml:space="preserve"> of the most important environmental protection projects, such as the construction of a sulfuric acid plant. The State issued three regulations (Supreme Decree 046-2004-EM, Ministerial Resolution 257-2006-MEM/</w:t>
      </w:r>
      <w:proofErr w:type="gramStart"/>
      <w:r w:rsidRPr="00524435">
        <w:rPr>
          <w:bdr w:val="nil"/>
        </w:rPr>
        <w:t>DM</w:t>
      </w:r>
      <w:proofErr w:type="gramEnd"/>
      <w:r w:rsidRPr="00524435">
        <w:rPr>
          <w:bdr w:val="nil"/>
        </w:rPr>
        <w:t xml:space="preserve"> and Law No. 29410 of 2009) that granted extensions in favor of the foreign company.</w:t>
      </w:r>
    </w:p>
    <w:p w14:paraId="231A2997" w14:textId="292130F8" w:rsidR="001D3A5D" w:rsidRPr="00524435" w:rsidRDefault="001D3A5D" w:rsidP="001332F8">
      <w:pPr>
        <w:pStyle w:val="ListParagraph"/>
      </w:pPr>
      <w:r w:rsidRPr="00524435">
        <w:rPr>
          <w:color w:val="000000" w:themeColor="text1"/>
        </w:rPr>
        <w:t xml:space="preserve">On December 6, 2002, a group of residents of La Oroya filed an enforcement action against the Ministry of Health and the General Directorate of Environmental Health to protect the community's right to health and a healthy environment. On May 12, 2006, they obtained a partially favorable ruling from the Constitutional Court, which ordered a series of protective measures. However, </w:t>
      </w:r>
      <w:proofErr w:type="gramStart"/>
      <w:r w:rsidRPr="00524435">
        <w:rPr>
          <w:color w:val="000000" w:themeColor="text1"/>
        </w:rPr>
        <w:t>despite the fact that</w:t>
      </w:r>
      <w:proofErr w:type="gramEnd"/>
      <w:r w:rsidRPr="00524435">
        <w:rPr>
          <w:color w:val="000000" w:themeColor="text1"/>
        </w:rPr>
        <w:t xml:space="preserve"> more than 14 years elapsed following that decision, no effective measures were taken to fully implement </w:t>
      </w:r>
      <w:r w:rsidR="001E360E" w:rsidRPr="00524435">
        <w:rPr>
          <w:color w:val="000000" w:themeColor="text1"/>
        </w:rPr>
        <w:t>its</w:t>
      </w:r>
      <w:r w:rsidRPr="00524435">
        <w:rPr>
          <w:color w:val="000000" w:themeColor="text1"/>
        </w:rPr>
        <w:t xml:space="preserve"> content, nor were any actions taken by the highest court to enforce them.</w:t>
      </w:r>
    </w:p>
    <w:p w14:paraId="3DBA3C41" w14:textId="77777777" w:rsidR="001D3A5D" w:rsidRPr="00524435" w:rsidRDefault="001D3A5D" w:rsidP="001332F8">
      <w:pPr>
        <w:pStyle w:val="ListParagraph"/>
      </w:pPr>
      <w:r w:rsidRPr="00524435">
        <w:rPr>
          <w:color w:val="000000" w:themeColor="text1"/>
        </w:rPr>
        <w:t>Peruvian air quality standards, in force until 2009, established a limit of 365 ug/m3 of sulfur dioxide as a 24-hour average, while the 2005 WHO guidelines established a maximum limit of 20 ug/m3.</w:t>
      </w:r>
      <w:r w:rsidRPr="00524435">
        <w:t xml:space="preserve"> As of January 2009, the daily level of sulfur dioxide was 80 ug/m3 and, as of January 1, 2014, the daily value was 20 ug/m3. However, in June 2017, a maximum daily value of 250 ug/m3 was established and the permitted limit for fine particulate matter was doubled to a daily value of 50 ug/m3 from the previous 25 ug/m3. As a result, the Metallurgical Complex was responsible for 99% of the air pollutants in the La Oroya basin. </w:t>
      </w:r>
    </w:p>
    <w:p w14:paraId="2CA65E82" w14:textId="77777777" w:rsidR="001D3A5D" w:rsidRPr="00524435" w:rsidRDefault="001D3A5D" w:rsidP="001332F8">
      <w:pPr>
        <w:pStyle w:val="ListParagraph"/>
      </w:pPr>
      <w:r w:rsidRPr="00524435">
        <w:rPr>
          <w:color w:val="000000" w:themeColor="text1"/>
        </w:rPr>
        <w:t xml:space="preserve">In its Report on the Merits, the Commission first analyzed whether the damage and harm done to the human rights of the inhabitants of La Oroya could be attributed to the State. </w:t>
      </w:r>
      <w:proofErr w:type="gramStart"/>
      <w:r w:rsidRPr="00524435">
        <w:rPr>
          <w:color w:val="000000" w:themeColor="text1"/>
        </w:rPr>
        <w:t>In particular, it</w:t>
      </w:r>
      <w:proofErr w:type="gramEnd"/>
      <w:r w:rsidRPr="00524435">
        <w:rPr>
          <w:color w:val="000000" w:themeColor="text1"/>
        </w:rPr>
        <w:t xml:space="preserve"> analyzed whether the State had taken appropriate actions to meet its obligations to respect and guarantee the human rights involved, as well as the specific obligation to progressively achieve the realization of such rights. The Commission observed that the Peruvian State did not act with due diligence in the execution of its duties to regulate, supervise, and monitor the behavior of the companies with respect to the rights they could affect; nor did it comply with its duty</w:t>
      </w:r>
      <w:r w:rsidRPr="00524435">
        <w:t xml:space="preserve"> to prevent violations thereof.</w:t>
      </w:r>
    </w:p>
    <w:p w14:paraId="0584735A" w14:textId="5F077FA4" w:rsidR="001D3A5D" w:rsidRPr="00524435" w:rsidRDefault="001D3A5D" w:rsidP="001332F8">
      <w:pPr>
        <w:pStyle w:val="ListParagraph"/>
      </w:pPr>
      <w:r w:rsidRPr="00524435">
        <w:rPr>
          <w:color w:val="000000" w:themeColor="text1"/>
        </w:rPr>
        <w:lastRenderedPageBreak/>
        <w:t xml:space="preserve">The Commission observed that, while the state-owned company CENTROMIN operated, there were no clear environmental responsibilities or obligations and, following the privatization of the Metallurgical Complex, the State also failed to demonstrate the existence of regulations adequately safeguarding compliance with the PAMA: a failure corroborated by the permissiveness with which it </w:t>
      </w:r>
      <w:r w:rsidR="0097599C" w:rsidRPr="00524435">
        <w:rPr>
          <w:color w:val="000000" w:themeColor="text1"/>
        </w:rPr>
        <w:t>granted modifications</w:t>
      </w:r>
      <w:r w:rsidRPr="00524435">
        <w:rPr>
          <w:color w:val="000000" w:themeColor="text1"/>
        </w:rPr>
        <w:t xml:space="preserve"> and extensions to the private company. The Commission considered that the State's response violated its obligation to guarantee human rights and constituted a situation that, exacerbated by its knowledge of the environmental damage caused, translates into the acquiescence and tolerance that facilitated non-compliance with the PAMA.</w:t>
      </w:r>
    </w:p>
    <w:p w14:paraId="4549FA2B" w14:textId="77777777" w:rsidR="001D3A5D" w:rsidRPr="00524435" w:rsidRDefault="001D3A5D" w:rsidP="001332F8">
      <w:pPr>
        <w:pStyle w:val="ListParagraph"/>
      </w:pPr>
      <w:proofErr w:type="gramStart"/>
      <w:r w:rsidRPr="00524435">
        <w:rPr>
          <w:color w:val="000000" w:themeColor="text1"/>
        </w:rPr>
        <w:t>With regard to</w:t>
      </w:r>
      <w:proofErr w:type="gramEnd"/>
      <w:r w:rsidRPr="00524435">
        <w:rPr>
          <w:color w:val="000000" w:themeColor="text1"/>
        </w:rPr>
        <w:t xml:space="preserve"> the quality standards approved by the State, the Commission established that there is a causal relationship between, on the one hand, the State indicators that set permissible limits for certain byproducts of business activities and, on the other hand, environmental pollution and the levels that are acceptable for the environment and human health. </w:t>
      </w:r>
      <w:r w:rsidRPr="00524435">
        <w:t>The Commission noted that the State did not substantiate the reasons why it maintained limits of 365 ug/m3 of sulfur dioxide until 2009, when the WHO had already set a limit of 20 ug/m3 as a guideline parameter in 2005. The Commission concluded that the Peruvian State not only failed to comply with its immediate obligations regarding the right to a healthy environment and health, but also failed to comply with its obligation to progressively achieve the full realization of those rights. In addition, the Commission observed that the State did not adopt adequate, specific, and differentiated measures to address the dangers and risks caused by environmental contamination to the health of children in the community.</w:t>
      </w:r>
    </w:p>
    <w:p w14:paraId="420F1F7C" w14:textId="77777777" w:rsidR="001D3A5D" w:rsidRPr="00524435" w:rsidRDefault="001D3A5D" w:rsidP="001332F8">
      <w:pPr>
        <w:pStyle w:val="ListParagraph"/>
      </w:pPr>
      <w:r w:rsidRPr="00524435">
        <w:rPr>
          <w:color w:val="000000" w:themeColor="text1"/>
        </w:rPr>
        <w:t xml:space="preserve">The Commission also observed that the State did not guarantee the public participation of the victims in opportunities to question, inquire about, and express their views on the decisions that were to directly affect them, and noted that they also did not receive sufficient, timely, and complete information on the measures adopted by the State that affected their rights. The Commission noted that the State also failed to conduct serious and effective criminal or administrative investigations to guarantee access to justice for the victims, who were subjected to threats, harassment, or reprisals by Doe Run Peru workers </w:t>
      </w:r>
      <w:proofErr w:type="gramStart"/>
      <w:r w:rsidRPr="00524435">
        <w:rPr>
          <w:color w:val="000000" w:themeColor="text1"/>
        </w:rPr>
        <w:t>as a result of</w:t>
      </w:r>
      <w:proofErr w:type="gramEnd"/>
      <w:r w:rsidRPr="00524435">
        <w:rPr>
          <w:color w:val="000000" w:themeColor="text1"/>
        </w:rPr>
        <w:t xml:space="preserve"> their complaints about contamination. </w:t>
      </w:r>
    </w:p>
    <w:p w14:paraId="5937A60C" w14:textId="77777777" w:rsidR="001D3A5D" w:rsidRPr="00524435" w:rsidRDefault="001D3A5D" w:rsidP="001332F8">
      <w:pPr>
        <w:pStyle w:val="ListParagraph"/>
      </w:pPr>
      <w:r w:rsidRPr="00524435">
        <w:rPr>
          <w:color w:val="000000" w:themeColor="text1"/>
        </w:rPr>
        <w:t xml:space="preserve">In light of the above, the Commission concluded that the absence of adequate oversight systems governed by a clear regulatory framework; the lack of constant and effective supervision; the absence of sanctions or immediate actions to address situations of alarming environmental degradation; state acquiescence and facilitation that hampered mitigation of the harmful environmental effects of metallurgical activity in La Oroya; and the lack of pro-active transparency, allowed the Metallurgical Complex to generate high levels of pollution that did serious harm to the health of the victims. </w:t>
      </w:r>
    </w:p>
    <w:p w14:paraId="46E9F792" w14:textId="77777777" w:rsidR="001D3A5D" w:rsidRPr="00524435" w:rsidRDefault="001D3A5D" w:rsidP="001332F8">
      <w:pPr>
        <w:pStyle w:val="ListParagraph"/>
      </w:pPr>
      <w:r w:rsidRPr="00524435">
        <w:t xml:space="preserve">Based on these findings, the Commission concluded that the Peruvian State is responsible for the violation of the rights to </w:t>
      </w:r>
      <w:r w:rsidRPr="00524435">
        <w:rPr>
          <w:shd w:val="clear" w:color="auto" w:fill="FFFFFF"/>
        </w:rPr>
        <w:t xml:space="preserve">life with dignity, personal integrity, judicial guarantees, access to information on environmental matters, children's rights, public participation, judicial protection, health, and a healthy environment, provided for, respectively, in Articles 4.1, 5.1, 8.1, 13.1, 19, 23.1.a, </w:t>
      </w:r>
      <w:r w:rsidRPr="00524435">
        <w:t>25.1, 25.2 c.</w:t>
      </w:r>
      <w:r w:rsidRPr="00524435">
        <w:rPr>
          <w:shd w:val="clear" w:color="auto" w:fill="FFFFFF"/>
        </w:rPr>
        <w:t xml:space="preserve"> and 26 of the American Convention, in conjunction with Articles 1.1 and 2 of the same instrument</w:t>
      </w:r>
      <w:r w:rsidRPr="00524435">
        <w:t>.</w:t>
      </w:r>
    </w:p>
    <w:p w14:paraId="18CB7462" w14:textId="77777777" w:rsidR="001D3A5D" w:rsidRPr="007A5442" w:rsidRDefault="001D3A5D" w:rsidP="001332F8">
      <w:pPr>
        <w:pStyle w:val="Style2"/>
        <w:rPr>
          <w:bCs/>
          <w:lang w:val="pt-PT"/>
        </w:rPr>
      </w:pPr>
      <w:r w:rsidRPr="007A5442">
        <w:rPr>
          <w:lang w:val="pt-PT"/>
        </w:rPr>
        <w:t>Jorge Luis López Sosa v. Paraguay</w:t>
      </w:r>
    </w:p>
    <w:p w14:paraId="503C8CFF" w14:textId="77777777" w:rsidR="001D3A5D" w:rsidRPr="00524435" w:rsidRDefault="001D3A5D" w:rsidP="001332F8">
      <w:pPr>
        <w:pStyle w:val="ListParagraph"/>
      </w:pPr>
      <w:r w:rsidRPr="00524435">
        <w:t>This case concerns the responsibility of the State for the illegal detention, torture, and violation of judicial guarantees and judicial protection of Jorge Luis López Sosa, who at the time was a police inspector.</w:t>
      </w:r>
    </w:p>
    <w:p w14:paraId="3DF9F1B9" w14:textId="42FEA0A4" w:rsidR="001D3A5D" w:rsidRPr="00524435" w:rsidRDefault="001D3A5D" w:rsidP="001332F8">
      <w:pPr>
        <w:pStyle w:val="ListParagraph"/>
      </w:pPr>
      <w:r w:rsidRPr="00524435">
        <w:t xml:space="preserve">On May 18, 2000, Jorge Luis López Sosa received a call from the Chief Commissioner to present himself in uniform at the National Police Headquarters, where he was </w:t>
      </w:r>
      <w:proofErr w:type="spellStart"/>
      <w:r w:rsidR="002B0ECE" w:rsidRPr="00524435">
        <w:t>Report</w:t>
      </w:r>
      <w:r w:rsidRPr="00524435">
        <w:t>d</w:t>
      </w:r>
      <w:proofErr w:type="spellEnd"/>
      <w:r w:rsidRPr="00524435">
        <w:t xml:space="preserve"> that the government was being intervened and</w:t>
      </w:r>
      <w:r w:rsidR="0097599C" w:rsidRPr="00524435">
        <w:t xml:space="preserve"> that</w:t>
      </w:r>
      <w:r w:rsidRPr="00524435">
        <w:t xml:space="preserve">, given the absence of his superiors, he would take over command of the police on an interim basis. Mr. Lopez was ordered to make himself available and accompany police personnel to report "any suspicious movements in the area."  The following day, on orders from the Commissioner General, he was taken to Metropolitan Police Station 11. There he was stripped of his service weapon, handcuffed, blindfolded, beaten, and interrogated about an attempted coup d'état. On May 20, Mr. López was again taken to Police Station 11 </w:t>
      </w:r>
      <w:r w:rsidRPr="00524435">
        <w:lastRenderedPageBreak/>
        <w:t xml:space="preserve">and detained in a cell. On May 21, he was taken to the Marine Corps, where he was again blindfolded and interrogated. According to the petitioner, the victim's detention took place in the context of a state of emergency. </w:t>
      </w:r>
    </w:p>
    <w:p w14:paraId="38BB0CF1" w14:textId="77777777" w:rsidR="001D3A5D" w:rsidRPr="00524435" w:rsidRDefault="001D3A5D" w:rsidP="001332F8">
      <w:pPr>
        <w:pStyle w:val="ListParagraph"/>
      </w:pPr>
      <w:r w:rsidRPr="00524435">
        <w:t>The Commission noted that Jorge Luis López was not examined by medical personnel until approximately fifteen days after his detention, and that, after that, he was visited by a judicial committee composed of a judge, a forensic doctor, and other persons. When he stated on that occasion that he had been tortured, he was transferred to the “quadrangle” (</w:t>
      </w:r>
      <w:proofErr w:type="spellStart"/>
      <w:r w:rsidRPr="00524435">
        <w:rPr>
          <w:i/>
          <w:iCs/>
        </w:rPr>
        <w:t>cuadrilátero</w:t>
      </w:r>
      <w:proofErr w:type="spellEnd"/>
      <w:r w:rsidRPr="00524435">
        <w:t xml:space="preserve">) for three days as a punishment and was offered money to withdraw his complaint. The victim also alleged that his psychological health was affected. By Presidential Decree of July 20, 2000, he was dismissed for "serious misconduct in the performance of his duties." Mr. Lopez was detained until December 2000, after which he was released under house arrest. There is a record that an administrative inquiry was initiated for physical mistreatment in Metropolitan Police Station 11, </w:t>
      </w:r>
      <w:proofErr w:type="gramStart"/>
      <w:r w:rsidRPr="00524435">
        <w:t>as a result of</w:t>
      </w:r>
      <w:proofErr w:type="gramEnd"/>
      <w:r w:rsidRPr="00524435">
        <w:t xml:space="preserve"> which, by a resolution issued on December 12, 2000, five police officers were dismissed. </w:t>
      </w:r>
    </w:p>
    <w:p w14:paraId="7AEC3F02" w14:textId="7AF89ADB" w:rsidR="001D3A5D" w:rsidRPr="00524435" w:rsidRDefault="001D3A5D" w:rsidP="001D3A5D">
      <w:pPr>
        <w:numPr>
          <w:ilvl w:val="0"/>
          <w:numId w:val="1"/>
        </w:numPr>
        <w:autoSpaceDE w:val="0"/>
        <w:autoSpaceDN w:val="0"/>
        <w:adjustRightInd w:val="0"/>
        <w:spacing w:after="240" w:line="240" w:lineRule="auto"/>
        <w:ind w:left="0" w:firstLine="720"/>
        <w:jc w:val="both"/>
        <w:rPr>
          <w:rFonts w:ascii="Cambria" w:hAnsi="Cambria"/>
          <w:sz w:val="20"/>
          <w:szCs w:val="20"/>
        </w:rPr>
      </w:pPr>
      <w:r w:rsidRPr="00524435">
        <w:rPr>
          <w:rFonts w:ascii="Cambria" w:hAnsi="Cambria"/>
          <w:sz w:val="20"/>
        </w:rPr>
        <w:t xml:space="preserve">On July 19, 2000, the Public Prosecutors' Office initiated an investigation following a complaint filed by Mr. López and, on June 11, 2001, the Public Prosecutors' Office filed charges against three agents for the crime of </w:t>
      </w:r>
      <w:r w:rsidR="00E60024" w:rsidRPr="00524435">
        <w:rPr>
          <w:rFonts w:ascii="Cambria" w:hAnsi="Cambria"/>
          <w:sz w:val="20"/>
        </w:rPr>
        <w:t>torture and</w:t>
      </w:r>
      <w:r w:rsidRPr="00524435">
        <w:rPr>
          <w:rFonts w:ascii="Cambria" w:hAnsi="Cambria"/>
          <w:sz w:val="20"/>
        </w:rPr>
        <w:t xml:space="preserve"> requested that they be put on trial. According to information in the public domain, 19 years after the process began, the oral trial started on August 20, 2019.  On December 30, 2019, the three defendants were acquitted.</w:t>
      </w:r>
    </w:p>
    <w:p w14:paraId="543A182D" w14:textId="7AB5C1A3" w:rsidR="001D3A5D" w:rsidRPr="00524435" w:rsidRDefault="001D3A5D" w:rsidP="001332F8">
      <w:pPr>
        <w:pStyle w:val="ListParagraph"/>
      </w:pPr>
      <w:r w:rsidRPr="00524435">
        <w:t xml:space="preserve">In its Report on the Merits, the Commission observed, in relation to the legality of the detention, that the State did not show proof of the existence of a warrant for his arrest or that the victim had been in flagrante delicto.  Nor did the State point to any other regulation or information indicating that the circumstances in which the detention was carried out were in accordance with the law. In addition, the Commission considered that the State did not show proof that Mr. López was </w:t>
      </w:r>
      <w:proofErr w:type="spellStart"/>
      <w:r w:rsidR="002B0ECE" w:rsidRPr="00524435">
        <w:t>Report</w:t>
      </w:r>
      <w:r w:rsidRPr="00524435">
        <w:t>d</w:t>
      </w:r>
      <w:proofErr w:type="spellEnd"/>
      <w:r w:rsidRPr="00524435">
        <w:t xml:space="preserve"> of the reasons for his detention, nor that after his detention, he was immediately brought before a judicial authority. </w:t>
      </w:r>
    </w:p>
    <w:p w14:paraId="53BE5847" w14:textId="408CBD6C" w:rsidR="001D3A5D" w:rsidRPr="00524435" w:rsidRDefault="001D3A5D" w:rsidP="001332F8">
      <w:pPr>
        <w:pStyle w:val="ListParagraph"/>
      </w:pPr>
      <w:r w:rsidRPr="00524435">
        <w:t xml:space="preserve">In relation to the right to humane treatment, the Commission noted that, in addition to his own testimony, there are </w:t>
      </w:r>
      <w:proofErr w:type="gramStart"/>
      <w:r w:rsidRPr="00524435">
        <w:t>a number of</w:t>
      </w:r>
      <w:proofErr w:type="gramEnd"/>
      <w:r w:rsidRPr="00524435">
        <w:t xml:space="preserve"> statements from officers detained like Mr. López who reported having been tortured or having seen or heard that the alleged victim had been handcuffed, blindfolded, placed face down, and beaten at the police station.</w:t>
      </w:r>
      <w:r w:rsidR="00CA1B5A" w:rsidRPr="00524435">
        <w:t xml:space="preserve"> </w:t>
      </w:r>
      <w:r w:rsidRPr="00524435">
        <w:t xml:space="preserve">In addition, the Commission noted that the Paraguayan State maintained before the IACHR that "according to the allegations of the Public Prosecutors' Office, torture had indeed been used against several of those detainees, including the petitioner.” The Commission’s understanding was that the beatings and mistreatment were aimed at pressuring him to implicate people in an attempted coup d'état, even under threat of including his wife in the criminal proceedings against him. Thus, it concluded that the requirements to establish that it was indeed torture were met.  </w:t>
      </w:r>
    </w:p>
    <w:p w14:paraId="484D8524" w14:textId="77777777" w:rsidR="001D3A5D" w:rsidRPr="00524435" w:rsidRDefault="001D3A5D" w:rsidP="001332F8">
      <w:pPr>
        <w:pStyle w:val="ListParagraph"/>
      </w:pPr>
      <w:r w:rsidRPr="00524435">
        <w:t xml:space="preserve">The Commission also considered that the investigation was not carried out diligently or within a reasonable </w:t>
      </w:r>
      <w:proofErr w:type="gramStart"/>
      <w:r w:rsidRPr="00524435">
        <w:t>period of time</w:t>
      </w:r>
      <w:proofErr w:type="gramEnd"/>
      <w:r w:rsidRPr="00524435">
        <w:t xml:space="preserve">. In this regard, it pointed out that the State itself acknowledged that the proceedings lasted a long time due to malicious maneuvers by the defense counsel of the accused, "supported by a penal system that still lacked infrastructure and was relatively new." In conclusion, the IACHR considered that the length of time taken by the criminal proceedings concerning the torture allegedly suffered by Mr. López was excessive and was not justified by the State. </w:t>
      </w:r>
    </w:p>
    <w:p w14:paraId="60F99EC0" w14:textId="77777777" w:rsidR="001D3A5D" w:rsidRPr="00524435" w:rsidRDefault="001D3A5D" w:rsidP="001332F8">
      <w:pPr>
        <w:pStyle w:val="ListParagraph"/>
      </w:pPr>
      <w:r w:rsidRPr="00524435">
        <w:t xml:space="preserve">In light of the above, the Commission concluded that the State is responsible for violating the rights to personal integrity, personal liberty, judicial guarantees, and judicial protection, established in Articles 5.1, 5.2, 7.1, 7.2, 7.4, 7.5, 8.1, and 25.1 of the American Convention on Human Rights in conjunction with Articles 1.1 and 2 of the same </w:t>
      </w:r>
      <w:proofErr w:type="gramStart"/>
      <w:r w:rsidRPr="00524435">
        <w:t>instrument</w:t>
      </w:r>
      <w:proofErr w:type="gramEnd"/>
      <w:r w:rsidRPr="00524435">
        <w:t>, to the detriment of Jorge López Sosa. The Commission also concludes that the State is responsible for violating Articles 1, 6, and 8 of the Inter-American Convention to Prevent and Punish Torture.</w:t>
      </w:r>
    </w:p>
    <w:p w14:paraId="7B2D8DA7" w14:textId="77777777" w:rsidR="0048555E" w:rsidRPr="00524435" w:rsidRDefault="0048555E">
      <w:pPr>
        <w:rPr>
          <w:rFonts w:ascii="Cambria" w:eastAsia="Calibri" w:hAnsi="Cambria" w:cs="Calibri"/>
          <w:b/>
          <w:sz w:val="20"/>
          <w:szCs w:val="20"/>
        </w:rPr>
      </w:pPr>
      <w:r w:rsidRPr="00524435">
        <w:br w:type="page"/>
      </w:r>
    </w:p>
    <w:p w14:paraId="634C226F" w14:textId="44834652" w:rsidR="001D3A5D" w:rsidRPr="00524435" w:rsidRDefault="001D3A5D" w:rsidP="001332F8">
      <w:pPr>
        <w:pStyle w:val="Style2"/>
        <w:rPr>
          <w:bCs/>
          <w:lang w:val="en-US"/>
        </w:rPr>
      </w:pPr>
      <w:r w:rsidRPr="00524435">
        <w:rPr>
          <w:lang w:val="en-US"/>
        </w:rPr>
        <w:lastRenderedPageBreak/>
        <w:t xml:space="preserve">Kevin Dial and Andrew </w:t>
      </w:r>
      <w:proofErr w:type="spellStart"/>
      <w:r w:rsidRPr="00524435">
        <w:rPr>
          <w:lang w:val="en-US"/>
        </w:rPr>
        <w:t>Dottin</w:t>
      </w:r>
      <w:proofErr w:type="spellEnd"/>
      <w:r w:rsidRPr="00524435">
        <w:rPr>
          <w:lang w:val="en-US"/>
        </w:rPr>
        <w:t xml:space="preserve"> v. Trinidad and Tobago</w:t>
      </w:r>
    </w:p>
    <w:p w14:paraId="7AD1F1BC" w14:textId="77777777" w:rsidR="001D3A5D" w:rsidRPr="00524435" w:rsidRDefault="001D3A5D" w:rsidP="001332F8">
      <w:pPr>
        <w:pStyle w:val="ListParagraph"/>
      </w:pPr>
      <w:r w:rsidRPr="00524435">
        <w:t xml:space="preserve">The case is about the international responsibility of the State for the imposition of the mandatory death penalty against Kevin Dial and Andrew </w:t>
      </w:r>
      <w:proofErr w:type="spellStart"/>
      <w:r w:rsidRPr="00524435">
        <w:t>Dottin</w:t>
      </w:r>
      <w:proofErr w:type="spellEnd"/>
      <w:r w:rsidRPr="00524435">
        <w:t xml:space="preserve">. Kevin Dial and Andrew </w:t>
      </w:r>
      <w:proofErr w:type="spellStart"/>
      <w:r w:rsidRPr="00524435">
        <w:t>Dottin</w:t>
      </w:r>
      <w:proofErr w:type="spellEnd"/>
      <w:r w:rsidRPr="00524435">
        <w:t xml:space="preserve"> were arrested by the police on February 24, 1995, and charged with the February 20, 1995, murder of Junior Baptiste, primarily based on the identification evidence of </w:t>
      </w:r>
      <w:r w:rsidRPr="00524435">
        <w:rPr>
          <w:color w:val="000000" w:themeColor="text1"/>
        </w:rPr>
        <w:t>Baptiste</w:t>
      </w:r>
      <w:r w:rsidRPr="00524435">
        <w:t>'s elder brother. On January 21, 1997, they were convicted and sentenced to the mandatory death penalty by the High Court of Justice in Port of Spain. The convictions were affirmed by the Court of Appeal on October 16, 1997. Further appeals to the Board of the Privy Council were dismissed.</w:t>
      </w:r>
    </w:p>
    <w:p w14:paraId="6333AB56" w14:textId="0B577098" w:rsidR="001D3A5D" w:rsidRPr="00524435" w:rsidRDefault="001D3A5D" w:rsidP="001332F8">
      <w:pPr>
        <w:pStyle w:val="ListParagraph"/>
      </w:pPr>
      <w:r w:rsidRPr="00524435">
        <w:t xml:space="preserve">According to the information provided by the petitioners, not contested by the State, on January 12, 2005, state authorities confirmed in writing that the Government of Trinidad and Tobago had accepted the Judicial Committee of the Privy Council ("Privy Council" or JCPC) decision in Charles Matthew, and would commute the sentences of those affected, which included Kevin Dial and Andrew </w:t>
      </w:r>
      <w:proofErr w:type="spellStart"/>
      <w:r w:rsidRPr="00524435">
        <w:t>Dottin</w:t>
      </w:r>
      <w:proofErr w:type="spellEnd"/>
      <w:r w:rsidRPr="00524435">
        <w:t xml:space="preserve">. However, local media reported in June 2005 indicating that the Advisory Committee on the Power of Pardon were scheduled to consider the death row inmates' case, which was followed by a statement by the Attorney General to the House of Representatives on June 6, 2005, outlining his intention to execute all those on death row. On June 10, 2005, the Ministry of National Security </w:t>
      </w:r>
      <w:proofErr w:type="spellStart"/>
      <w:r w:rsidR="002B0ECE" w:rsidRPr="00524435">
        <w:t>Report</w:t>
      </w:r>
      <w:r w:rsidRPr="00524435">
        <w:t>d</w:t>
      </w:r>
      <w:proofErr w:type="spellEnd"/>
      <w:r w:rsidRPr="00524435">
        <w:t xml:space="preserve"> the victims in writing of its intention to convene hearings in respect of their sentences to consider issuing warrants of execution; and it also indicated its intention to begin executions as early as June 14, 2005.</w:t>
      </w:r>
    </w:p>
    <w:p w14:paraId="5040EDC3" w14:textId="77777777" w:rsidR="001D3A5D" w:rsidRPr="00524435" w:rsidRDefault="001D3A5D" w:rsidP="001332F8">
      <w:pPr>
        <w:pStyle w:val="ListParagraph"/>
      </w:pPr>
      <w:r w:rsidRPr="00524435">
        <w:t xml:space="preserve">A constitutional motion was filed on June 13, 2005, for a declaration that execution would be unlawful. A conservatory order was granted by the Port of Spain High Court on June 13, 2005, imposing temporary stays on execution. The constitutional motion was granted and on August 15, 2008, the sentences of the victims were commuted to life imprisonment. </w:t>
      </w:r>
    </w:p>
    <w:p w14:paraId="65EE44C7" w14:textId="77777777" w:rsidR="001D3A5D" w:rsidRPr="00524435" w:rsidRDefault="001D3A5D" w:rsidP="001332F8">
      <w:pPr>
        <w:pStyle w:val="ListParagraph"/>
      </w:pPr>
      <w:r w:rsidRPr="00524435">
        <w:t>In its Report on the Merits, the Inter-American Commission recalled that, according to the longstanding jurisprudence of the IACHR and the Inter-American Court, the mandatory death penalty, that is, the imposition of the death penalty upon conviction for a crime, without an opportunity for presenting and considering mitigating circumstances in the sentencing process, contravenes the American Convention on Human Rights (the "American Convention") and the American Declaration on the Rights and Duties of Man ("the American Declaration").  </w:t>
      </w:r>
    </w:p>
    <w:p w14:paraId="00D17890" w14:textId="24EDF91F" w:rsidR="001D3A5D" w:rsidRPr="00524435" w:rsidRDefault="00151B15" w:rsidP="001332F8">
      <w:pPr>
        <w:pStyle w:val="ListParagraph"/>
      </w:pPr>
      <w:r w:rsidRPr="00524435">
        <w:rPr>
          <w:iCs/>
        </w:rPr>
        <w:t xml:space="preserve">In the case of Hilaire, </w:t>
      </w:r>
      <w:proofErr w:type="gramStart"/>
      <w:r w:rsidRPr="00524435">
        <w:rPr>
          <w:iCs/>
        </w:rPr>
        <w:t>Constantine</w:t>
      </w:r>
      <w:proofErr w:type="gramEnd"/>
      <w:r w:rsidRPr="00524435">
        <w:rPr>
          <w:iCs/>
        </w:rPr>
        <w:t xml:space="preserve"> and Benjamin et al vs. </w:t>
      </w:r>
      <w:r w:rsidR="001D3A5D" w:rsidRPr="00524435">
        <w:rPr>
          <w:i/>
        </w:rPr>
        <w:t xml:space="preserve"> Trinidad and Tobago</w:t>
      </w:r>
      <w:r w:rsidR="001D3A5D" w:rsidRPr="00524435">
        <w:t xml:space="preserve">, the Inter-American Court found that the Offences Against the Person Act of 1925 prevents the judge from considering the basic circumstances in establishing the degree of culpability and individualizing the sentence since it compels the indiscriminate imposition of the same punishment for conduct that can be vastly different. In the instant case, the mandatory death penalty set forth in the Offences Against the Person Act was applied to Messrs. Dial and </w:t>
      </w:r>
      <w:proofErr w:type="spellStart"/>
      <w:r w:rsidR="001D3A5D" w:rsidRPr="00524435">
        <w:t>Dottin</w:t>
      </w:r>
      <w:proofErr w:type="spellEnd"/>
      <w:r w:rsidR="001D3A5D" w:rsidRPr="00524435">
        <w:t xml:space="preserve"> in February 1997, while the American Convention was in force. In its Report on the Merits the Commission further noted that Trinidad and Tobago still </w:t>
      </w:r>
      <w:proofErr w:type="gramStart"/>
      <w:r w:rsidR="001D3A5D" w:rsidRPr="00524435">
        <w:t>retains</w:t>
      </w:r>
      <w:proofErr w:type="gramEnd"/>
      <w:r w:rsidR="001D3A5D" w:rsidRPr="00524435">
        <w:t xml:space="preserve"> the mandatory death penalty.</w:t>
      </w:r>
    </w:p>
    <w:p w14:paraId="7F0ADFDC" w14:textId="77777777" w:rsidR="001D3A5D" w:rsidRPr="00524435" w:rsidRDefault="001D3A5D" w:rsidP="001332F8">
      <w:pPr>
        <w:pStyle w:val="ListParagraph"/>
      </w:pPr>
      <w:r w:rsidRPr="00524435">
        <w:t xml:space="preserve">The Commission reaffirmed that imposing a mandatory penalty of death for all crimes of murder contravenes the prohibition of arbitrary deprivation of the right to life recognized in Article 4(1) of the Convention, as it fails to individualize the sentence in conformity with the characteristics of the crime, as well as the participation and degree of culpability of the accused, according to Article 4(2) of the same instrument. </w:t>
      </w:r>
    </w:p>
    <w:p w14:paraId="23AC4D5A" w14:textId="1016AB90" w:rsidR="001D3A5D" w:rsidRPr="00524435" w:rsidRDefault="001D3A5D" w:rsidP="001332F8">
      <w:pPr>
        <w:pStyle w:val="ListParagraph"/>
      </w:pPr>
      <w:r w:rsidRPr="00524435">
        <w:t xml:space="preserve">The Commission concluded that the State of Trinidad and Tobago, by denying an individualized sentencing and the opportunity to present mitigating evidence, violated the victims' rights under Articles 4.1, 4.2, 5.1, 5.2, 8.1 and 25 of the American Convention, in relation to Articles 1.1 and 2. Further, given that the imposition of the mandatory death penalty continued after the entry into force of the denunciation of the American Convention, and until August 15, 2008, when the sentences of death were commuted to life imprisonment, the State has also violated Articles I, XVIII and XXVI of the American Declaration. </w:t>
      </w:r>
    </w:p>
    <w:p w14:paraId="24202953" w14:textId="77777777" w:rsidR="001D3A5D" w:rsidRPr="00524435" w:rsidRDefault="001D3A5D" w:rsidP="001332F8">
      <w:pPr>
        <w:pStyle w:val="Style2"/>
        <w:rPr>
          <w:bCs/>
          <w:lang w:val="en-US"/>
        </w:rPr>
      </w:pPr>
      <w:proofErr w:type="spellStart"/>
      <w:r w:rsidRPr="00524435">
        <w:rPr>
          <w:lang w:val="en-US"/>
        </w:rPr>
        <w:lastRenderedPageBreak/>
        <w:t>Reshi</w:t>
      </w:r>
      <w:proofErr w:type="spellEnd"/>
      <w:r w:rsidRPr="00524435">
        <w:rPr>
          <w:lang w:val="en-US"/>
        </w:rPr>
        <w:t xml:space="preserve"> </w:t>
      </w:r>
      <w:proofErr w:type="spellStart"/>
      <w:r w:rsidRPr="00524435">
        <w:rPr>
          <w:lang w:val="en-US"/>
        </w:rPr>
        <w:t>Bissoon</w:t>
      </w:r>
      <w:proofErr w:type="spellEnd"/>
      <w:r w:rsidRPr="00524435">
        <w:rPr>
          <w:lang w:val="en-US"/>
        </w:rPr>
        <w:t xml:space="preserve"> and Foster </w:t>
      </w:r>
      <w:proofErr w:type="spellStart"/>
      <w:r w:rsidRPr="00524435">
        <w:rPr>
          <w:lang w:val="en-US"/>
        </w:rPr>
        <w:t>Serrete</w:t>
      </w:r>
      <w:proofErr w:type="spellEnd"/>
    </w:p>
    <w:p w14:paraId="27152CF5" w14:textId="2E124333" w:rsidR="001D3F00" w:rsidRPr="00524435" w:rsidRDefault="001D3F00" w:rsidP="001332F8">
      <w:pPr>
        <w:pStyle w:val="ListParagraph"/>
      </w:pPr>
      <w:r w:rsidRPr="00524435">
        <w:t xml:space="preserve">The case refers to the international responsibility of the State for the imposition of the mandatory death penalty against </w:t>
      </w:r>
      <w:proofErr w:type="spellStart"/>
      <w:r w:rsidRPr="00524435">
        <w:t>Reshi</w:t>
      </w:r>
      <w:proofErr w:type="spellEnd"/>
      <w:r w:rsidRPr="00524435">
        <w:t xml:space="preserve"> </w:t>
      </w:r>
      <w:proofErr w:type="spellStart"/>
      <w:r w:rsidRPr="00524435">
        <w:t>Bissoon</w:t>
      </w:r>
      <w:proofErr w:type="spellEnd"/>
      <w:r w:rsidRPr="00524435">
        <w:t xml:space="preserve"> and Foster Serrette. Mr. </w:t>
      </w:r>
      <w:proofErr w:type="spellStart"/>
      <w:r w:rsidRPr="00524435">
        <w:t>Bissoon</w:t>
      </w:r>
      <w:proofErr w:type="spellEnd"/>
      <w:r w:rsidRPr="00524435">
        <w:t xml:space="preserve"> was arrested on December 1, 1995, and charged with the murder of Leslie-Ann Ramsey, while Mr. Serrette was arrested on October 13, 1998, for the murders of his wife, Florence Serrette, and his son, </w:t>
      </w:r>
      <w:proofErr w:type="spellStart"/>
      <w:r w:rsidRPr="00524435">
        <w:t>Shanie</w:t>
      </w:r>
      <w:proofErr w:type="spellEnd"/>
      <w:r w:rsidRPr="00524435">
        <w:t xml:space="preserve"> Serrette. Mr. </w:t>
      </w:r>
      <w:proofErr w:type="spellStart"/>
      <w:r w:rsidRPr="00524435">
        <w:t>Bissoon</w:t>
      </w:r>
      <w:proofErr w:type="spellEnd"/>
      <w:r w:rsidRPr="00524435">
        <w:t xml:space="preserve"> and Mr. Serrette were sentenced to mandatory death by the High Court of Justice of Trinidad and Tobago on October 29, </w:t>
      </w:r>
      <w:proofErr w:type="gramStart"/>
      <w:r w:rsidRPr="00524435">
        <w:t>1999</w:t>
      </w:r>
      <w:proofErr w:type="gramEnd"/>
      <w:r w:rsidRPr="00524435">
        <w:t xml:space="preserve"> and May 21, 2001, respectively. Both convictions were affirmed by the Court of Appeal. Further appeals to the Board of the Privy Council were dismissed.</w:t>
      </w:r>
    </w:p>
    <w:p w14:paraId="726A6EF2" w14:textId="5FA722F9" w:rsidR="001D3F00" w:rsidRPr="00524435" w:rsidRDefault="001D3F00" w:rsidP="001332F8">
      <w:pPr>
        <w:pStyle w:val="ListParagraph"/>
      </w:pPr>
      <w:r w:rsidRPr="00524435">
        <w:t xml:space="preserve">According to the information provided by the petitioners, not contested by the State, on January 12, 2005, state authorities confirmed in writing that the Government of Trinidad and Tobago had accepted the Judicial Committee of the Privy Council decision in Charles Matthew, and would commute the sentences of those affected, which included </w:t>
      </w:r>
      <w:proofErr w:type="spellStart"/>
      <w:r w:rsidRPr="00524435">
        <w:t>Reshi</w:t>
      </w:r>
      <w:proofErr w:type="spellEnd"/>
      <w:r w:rsidRPr="00524435">
        <w:t xml:space="preserve"> </w:t>
      </w:r>
      <w:proofErr w:type="spellStart"/>
      <w:r w:rsidRPr="00524435">
        <w:t>Bissoon</w:t>
      </w:r>
      <w:proofErr w:type="spellEnd"/>
      <w:r w:rsidRPr="00524435">
        <w:t xml:space="preserve"> and Foster Serrette. However, local media reported in June 2005 indicating that the Advisory Committee on the Power of Pardon were scheduled to consider the death row inmates' case, which was followed by a statement by the Attorney General to the House of Representatives on June 6, 2005, outlining his intention to execute all those on death row.</w:t>
      </w:r>
    </w:p>
    <w:p w14:paraId="782F1FBD" w14:textId="3A78DC38" w:rsidR="001D3F00" w:rsidRPr="00524435" w:rsidRDefault="001D3F00" w:rsidP="001332F8">
      <w:pPr>
        <w:pStyle w:val="ListParagraph"/>
      </w:pPr>
      <w:r w:rsidRPr="00524435">
        <w:t>A constitutional motion was filed on June 13, 2005, for a declaration that execution would be unlawful. A conservatory order was granted by the Port of Spain High Court imposing temporary stays on execution. The constitutional motion was granted and on August 15, 2008, the sentences of the victims were commuted to life imprisonment.</w:t>
      </w:r>
    </w:p>
    <w:p w14:paraId="42E1902B" w14:textId="37700AC4" w:rsidR="001D3F00" w:rsidRPr="00524435" w:rsidRDefault="001D3F00" w:rsidP="001332F8">
      <w:pPr>
        <w:pStyle w:val="ListParagraph"/>
      </w:pPr>
      <w:r w:rsidRPr="00524435">
        <w:t xml:space="preserve">In its Report on the Merits, the Inter-American Commission recalled that, according to the longstanding jurisprudence of the IACHR and the Inter-American Court, the mandatory death penalty, that is, the imposition of the death penalty upon conviction for a crime, without an opportunity for presenting and considering mitigating circumstances in the sentencing process, contravenes the American Convention on Human </w:t>
      </w:r>
      <w:proofErr w:type="gramStart"/>
      <w:r w:rsidRPr="00524435">
        <w:t>Rights  and</w:t>
      </w:r>
      <w:proofErr w:type="gramEnd"/>
      <w:r w:rsidRPr="00524435">
        <w:t xml:space="preserve"> the American Declaration on the Rights and Duties of Man.  </w:t>
      </w:r>
    </w:p>
    <w:p w14:paraId="62649ADC" w14:textId="36EF1750" w:rsidR="001D3F00" w:rsidRPr="00524435" w:rsidRDefault="001D3F00" w:rsidP="001332F8">
      <w:pPr>
        <w:pStyle w:val="ListParagraph"/>
      </w:pPr>
      <w:r w:rsidRPr="00524435">
        <w:t>In the </w:t>
      </w:r>
      <w:r w:rsidRPr="00524435">
        <w:rPr>
          <w:i/>
          <w:iCs/>
        </w:rPr>
        <w:t xml:space="preserve">Case of Hilaire, </w:t>
      </w:r>
      <w:proofErr w:type="gramStart"/>
      <w:r w:rsidRPr="00524435">
        <w:rPr>
          <w:i/>
          <w:iCs/>
        </w:rPr>
        <w:t>Constantine</w:t>
      </w:r>
      <w:proofErr w:type="gramEnd"/>
      <w:r w:rsidRPr="00524435">
        <w:rPr>
          <w:i/>
          <w:iCs/>
        </w:rPr>
        <w:t xml:space="preserve"> and Benjamin et al. v. Trinidad and Tobago</w:t>
      </w:r>
      <w:r w:rsidRPr="00524435">
        <w:t xml:space="preserve">, the Inter-American Court found that the Offences Against the Person Act of 1925 prevents the judge from considering the basic circumstances in establishing the degree of culpability and individualizing the sentence since it compels the indiscriminate imposition of the same punishment for conduct that can be vastly different. In the instant case, the mandatory death penalty was applied to </w:t>
      </w:r>
      <w:proofErr w:type="spellStart"/>
      <w:r w:rsidRPr="00524435">
        <w:t>Bissoon</w:t>
      </w:r>
      <w:proofErr w:type="spellEnd"/>
      <w:r w:rsidRPr="00524435">
        <w:t xml:space="preserve"> and Serrette based solely upon the category of crime for which they were convicted, so denying an individualized sentencing and the opportunity to present mitigating evidence.</w:t>
      </w:r>
    </w:p>
    <w:p w14:paraId="4895D093" w14:textId="30001323" w:rsidR="001D3F00" w:rsidRPr="00524435" w:rsidRDefault="001D3F00" w:rsidP="001332F8">
      <w:pPr>
        <w:pStyle w:val="ListParagraph"/>
      </w:pPr>
      <w:r w:rsidRPr="00524435">
        <w:t xml:space="preserve">The IACHR further noted that in the case of </w:t>
      </w:r>
      <w:proofErr w:type="spellStart"/>
      <w:r w:rsidRPr="00524435">
        <w:t>Bissoon</w:t>
      </w:r>
      <w:proofErr w:type="spellEnd"/>
      <w:r w:rsidRPr="00524435">
        <w:t xml:space="preserve"> there was a pre-trial delay of nearly three years from the date of his arrest in December 1995, to his trial in October 1998. Similarly, for Mr. Serrette, there was a pre-trial delay of more than two years from the date of his arrest in October 1998, to his trial of May 2001. The Commission found in the instant case that the delay is </w:t>
      </w:r>
      <w:r w:rsidRPr="00524435">
        <w:rPr>
          <w:i/>
          <w:iCs/>
        </w:rPr>
        <w:t>prima facie</w:t>
      </w:r>
      <w:r w:rsidRPr="00524435">
        <w:t> unreasonable and noticed that the State failed to provide any proper justification for the delay in bringing the victims to trial.</w:t>
      </w:r>
    </w:p>
    <w:p w14:paraId="366F6B66" w14:textId="234661AB" w:rsidR="001D3F00" w:rsidRPr="00524435" w:rsidRDefault="001D3F00" w:rsidP="001332F8">
      <w:pPr>
        <w:pStyle w:val="ListParagraph"/>
      </w:pPr>
      <w:r w:rsidRPr="00524435">
        <w:t xml:space="preserve">Further, according to the binding jurisprudence that existed at the time, the IACHR concluded that </w:t>
      </w:r>
      <w:proofErr w:type="spellStart"/>
      <w:r w:rsidRPr="00524435">
        <w:t>Bissoon</w:t>
      </w:r>
      <w:proofErr w:type="spellEnd"/>
      <w:r w:rsidRPr="00524435">
        <w:t xml:space="preserve"> and Serrette's death sentence should have been commuted after the </w:t>
      </w:r>
      <w:proofErr w:type="spellStart"/>
      <w:r w:rsidRPr="00524435">
        <w:t>Roodal's</w:t>
      </w:r>
      <w:proofErr w:type="spellEnd"/>
      <w:r w:rsidRPr="00524435">
        <w:t xml:space="preserve"> decision was adopted on November 20, 2003, or, at least, after they had served five years on death row. Therefore, the Commission concluded that Trinidad and Tobago thus failed to guarantee that the victims could effectively exercise their right to have their death sentence commuted, so it also constituted a violation to the victims' rights to due process and judicial protection.</w:t>
      </w:r>
    </w:p>
    <w:p w14:paraId="6B77F348" w14:textId="7ABE3089" w:rsidR="001D3F00" w:rsidRPr="00524435" w:rsidRDefault="001D3F00" w:rsidP="001332F8">
      <w:pPr>
        <w:pStyle w:val="ListParagraph"/>
      </w:pPr>
      <w:r w:rsidRPr="00524435">
        <w:t xml:space="preserve">The Commission noted that, despite the Court of Appeal's recognition of the misdirection of the trial judge in Mr. </w:t>
      </w:r>
      <w:proofErr w:type="spellStart"/>
      <w:r w:rsidRPr="00524435">
        <w:t>Bissoon's</w:t>
      </w:r>
      <w:proofErr w:type="spellEnd"/>
      <w:r w:rsidRPr="00524435">
        <w:t xml:space="preserve"> trial, there was no further action to remedy or rectify the possible detrimental impact that such deficiencies may have caused. It also noted that the State did not contravene Mr. Serrette's </w:t>
      </w:r>
      <w:r w:rsidRPr="00524435">
        <w:lastRenderedPageBreak/>
        <w:t>allegations regarding its failure to comply with the obligation to provide adequate legal representation, after he was dissatisfied with the ineffective legal assistance provided by the assigned public defender.</w:t>
      </w:r>
    </w:p>
    <w:p w14:paraId="73BCF914" w14:textId="77777777" w:rsidR="001D3F00" w:rsidRPr="00524435" w:rsidRDefault="001D3F00" w:rsidP="001332F8">
      <w:pPr>
        <w:pStyle w:val="ListParagraph"/>
      </w:pPr>
      <w:r w:rsidRPr="00524435">
        <w:t xml:space="preserve">Based on these considerations, the Commission found that Trinidad and Tobago is responsible for the violation of Articles 7.5, 8.1 and 25.1 of the American Convention, in relation to its obligations established in Articles 1.1 and 2. In addition to Messrs. </w:t>
      </w:r>
      <w:proofErr w:type="spellStart"/>
      <w:r w:rsidRPr="00524435">
        <w:t>Bissoon</w:t>
      </w:r>
      <w:proofErr w:type="spellEnd"/>
      <w:r w:rsidRPr="00524435">
        <w:t xml:space="preserve"> and Serrette's deprivation of liberty on death row for nearly nine and seven years respectively, as well as the inhumane prison conditions, constituted humane treatment and therefore violated Articles XXV (protection from arbitrary arrest) and XXVI (due process of law) of the American Declaration. Regarding to the denial of adequate medical care, given the inhumane conditions found and the lack of contradictory information, Trinidad and Tobago also violated Article XI (health and wellbeing) of the Declaration. Also, since the imposition of the mandatory death penalty continued after the entry into force of the Convention's denunciation, the State has also violated Articles I (life), XVIII (fair trial) and XXVI (due process of law) of the American Declaration.</w:t>
      </w:r>
    </w:p>
    <w:p w14:paraId="583F6BF9" w14:textId="77777777" w:rsidR="001D3A5D" w:rsidRPr="003F238D" w:rsidRDefault="001D3A5D" w:rsidP="001332F8">
      <w:pPr>
        <w:pStyle w:val="Style2"/>
        <w:rPr>
          <w:lang w:val="es-US"/>
        </w:rPr>
      </w:pPr>
      <w:r w:rsidRPr="003F238D">
        <w:rPr>
          <w:lang w:val="es-US"/>
        </w:rPr>
        <w:t xml:space="preserve">Balbina Francisca Rodríguez Pacheco and </w:t>
      </w:r>
      <w:proofErr w:type="spellStart"/>
      <w:r w:rsidRPr="003F238D">
        <w:rPr>
          <w:lang w:val="es-US"/>
        </w:rPr>
        <w:t>family</w:t>
      </w:r>
      <w:proofErr w:type="spellEnd"/>
      <w:r w:rsidRPr="003F238D">
        <w:rPr>
          <w:lang w:val="es-US"/>
        </w:rPr>
        <w:t xml:space="preserve"> </w:t>
      </w:r>
      <w:proofErr w:type="spellStart"/>
      <w:r w:rsidRPr="003F238D">
        <w:rPr>
          <w:lang w:val="es-US"/>
        </w:rPr>
        <w:t>members</w:t>
      </w:r>
      <w:proofErr w:type="spellEnd"/>
      <w:r w:rsidRPr="003F238D">
        <w:rPr>
          <w:lang w:val="es-US"/>
        </w:rPr>
        <w:t xml:space="preserve"> v. Venezuela</w:t>
      </w:r>
    </w:p>
    <w:p w14:paraId="5F7FB878" w14:textId="77777777" w:rsidR="001D3A5D" w:rsidRPr="00524435" w:rsidRDefault="001D3A5D" w:rsidP="001332F8">
      <w:pPr>
        <w:pStyle w:val="ListParagraph"/>
      </w:pPr>
      <w:r w:rsidRPr="00524435">
        <w:t xml:space="preserve">This case concerns the international responsibility of the Venezuelan State for the </w:t>
      </w:r>
      <w:r w:rsidRPr="00524435">
        <w:rPr>
          <w:color w:val="000000" w:themeColor="text1"/>
        </w:rPr>
        <w:t xml:space="preserve">violation of judicial guarantees and protection </w:t>
      </w:r>
      <w:r w:rsidRPr="00524435">
        <w:t xml:space="preserve">to the detriment of </w:t>
      </w:r>
      <w:proofErr w:type="spellStart"/>
      <w:r w:rsidRPr="00524435">
        <w:t>Balbina</w:t>
      </w:r>
      <w:proofErr w:type="spellEnd"/>
      <w:r w:rsidRPr="00524435">
        <w:t xml:space="preserve"> Francisca Rodríguez Pacheco, due to the lack of diligent investigation and adequate reparation for alleged acts of medical malpractice committed after the victim underwent a cesarean section. </w:t>
      </w:r>
    </w:p>
    <w:p w14:paraId="41D4C004" w14:textId="77777777" w:rsidR="001D3A5D" w:rsidRPr="00524435" w:rsidRDefault="001D3A5D" w:rsidP="001332F8">
      <w:pPr>
        <w:pStyle w:val="ListParagraph"/>
      </w:pPr>
      <w:r w:rsidRPr="00524435">
        <w:t>In 1998, Mrs. Rodríguez Pacheco, a 31-year-old surgeon and mother of three children, attended a prenatal check-up at a private clinic while pregnant. The attending physician noted the presence of a high-risk pregnancy due to previous cesarean sections and found, through an ultrasound, that Mrs. Rodriguez had a “</w:t>
      </w:r>
      <w:proofErr w:type="spellStart"/>
      <w:r w:rsidRPr="00524435">
        <w:t>centrocursive</w:t>
      </w:r>
      <w:proofErr w:type="spellEnd"/>
      <w:r w:rsidRPr="00524435">
        <w:t xml:space="preserve">” placenta </w:t>
      </w:r>
      <w:proofErr w:type="spellStart"/>
      <w:r w:rsidRPr="00524435">
        <w:t>praevia</w:t>
      </w:r>
      <w:proofErr w:type="spellEnd"/>
      <w:r w:rsidRPr="00524435">
        <w:t xml:space="preserve">. Therefore, at the patient's request and by mutual agreement, it was agreed to perform an elective cesarean section on August 13, 1998. </w:t>
      </w:r>
      <w:r w:rsidRPr="00524435">
        <w:rPr>
          <w:color w:val="000000" w:themeColor="text1"/>
        </w:rPr>
        <w:t xml:space="preserve">During the cesarean section, Mrs. Rodriguez Pacheco presented a placental </w:t>
      </w:r>
      <w:proofErr w:type="spellStart"/>
      <w:r w:rsidRPr="00524435">
        <w:rPr>
          <w:color w:val="000000" w:themeColor="text1"/>
        </w:rPr>
        <w:t>accretism</w:t>
      </w:r>
      <w:proofErr w:type="spellEnd"/>
      <w:r w:rsidRPr="00524435">
        <w:rPr>
          <w:color w:val="000000" w:themeColor="text1"/>
        </w:rPr>
        <w:t xml:space="preserve"> (deep insertion of the placenta into the uterine muscle), and according to Mrs. Rodriguez, she requested the main surgeon to perform a hysterectomy, but he refused to perform the intervention because he considered that the bleeding had apparently subsided. </w:t>
      </w:r>
    </w:p>
    <w:p w14:paraId="19D72CED" w14:textId="0D8CBC40" w:rsidR="001D3A5D" w:rsidRPr="00524435" w:rsidRDefault="001D3A5D" w:rsidP="001332F8">
      <w:pPr>
        <w:pStyle w:val="ListParagraph"/>
      </w:pPr>
      <w:r w:rsidRPr="00524435">
        <w:rPr>
          <w:color w:val="000000" w:themeColor="text1"/>
        </w:rPr>
        <w:t>Four hours later, Mrs. Rodriguez Pacheco presented signs of severe genital bleeding with a decrease in hemoglobin, so that a sub-total hysterectomy was performed. Due to her worsening condition, the victim underwent two more consecutive operations and had to remain in the Intensive Care Unit (ICU) from August 14 to 19, 1998. On the 20th of the same month, Mrs. Rodríguez Pacheco underwent a fourth surgery and six months later a fifth surgery. As a result of alleged acts of malpractice committed on the day of the cesarean section and during the intervention of August 19, Mrs. Pacheco Rodriguez was left with several serious after-effects, which still limit her capacity. According to a medical evaluation, the victim has a "Permanent Partial (50</w:t>
      </w:r>
      <w:r w:rsidR="009B5F71" w:rsidRPr="00524435">
        <w:rPr>
          <w:color w:val="000000" w:themeColor="text1"/>
        </w:rPr>
        <w:t>%) Disability</w:t>
      </w:r>
      <w:r w:rsidRPr="00524435">
        <w:rPr>
          <w:color w:val="000000" w:themeColor="text1"/>
        </w:rPr>
        <w:t xml:space="preserve"> for work."  </w:t>
      </w:r>
    </w:p>
    <w:p w14:paraId="6EE340E8" w14:textId="77777777" w:rsidR="001D3A5D" w:rsidRPr="00524435" w:rsidRDefault="001D3A5D" w:rsidP="001332F8">
      <w:pPr>
        <w:pStyle w:val="ListParagraph"/>
      </w:pPr>
      <w:r w:rsidRPr="00524435">
        <w:rPr>
          <w:color w:val="000000" w:themeColor="text1"/>
        </w:rPr>
        <w:t xml:space="preserve">On January 18, 1999, Mrs. Rodríguez Pacheco filed a criminal complaint before the Lara State Delegation of the Technical Judicial Police Corps for medical malpractice, a case that was finally dismissed due to the statute of limitations in a judgment handing down on March 20, </w:t>
      </w:r>
      <w:proofErr w:type="gramStart"/>
      <w:r w:rsidRPr="00524435">
        <w:rPr>
          <w:color w:val="000000" w:themeColor="text1"/>
        </w:rPr>
        <w:t>2012</w:t>
      </w:r>
      <w:proofErr w:type="gramEnd"/>
      <w:r w:rsidRPr="00524435">
        <w:rPr>
          <w:color w:val="000000" w:themeColor="text1"/>
        </w:rPr>
        <w:t xml:space="preserve"> by the Twenty-second Court of the Metropolitan Area of Caracas. Other complaints filed by the victim were not resolved by the respective authorities.</w:t>
      </w:r>
    </w:p>
    <w:p w14:paraId="1F3E090E" w14:textId="77777777" w:rsidR="001D3A5D" w:rsidRPr="00524435" w:rsidRDefault="001D3A5D" w:rsidP="001332F8">
      <w:pPr>
        <w:pStyle w:val="ListParagraph"/>
      </w:pPr>
      <w:r w:rsidRPr="00524435">
        <w:rPr>
          <w:color w:val="000000" w:themeColor="text1"/>
        </w:rPr>
        <w:t xml:space="preserve">In its Report on the Merits, the Commission analyzed whether, </w:t>
      </w:r>
      <w:proofErr w:type="gramStart"/>
      <w:r w:rsidRPr="00524435">
        <w:rPr>
          <w:color w:val="000000" w:themeColor="text1"/>
        </w:rPr>
        <w:t>in light of</w:t>
      </w:r>
      <w:proofErr w:type="gramEnd"/>
      <w:r w:rsidRPr="00524435">
        <w:rPr>
          <w:color w:val="000000" w:themeColor="text1"/>
        </w:rPr>
        <w:t xml:space="preserve"> the State's duty to guarantee the rights to personal integrity and health in the face of actions by third parties, the State of Venezuela adopted effective mechanisms for Mrs. Rodríguez Pacheco to complain about the violation of her right to health that occurred as a result of alleged acts of malpractice in the context of maternal and reproductive health care. </w:t>
      </w:r>
    </w:p>
    <w:p w14:paraId="29EE32D5" w14:textId="77777777" w:rsidR="001D3A5D" w:rsidRPr="00524435" w:rsidRDefault="001D3A5D" w:rsidP="001332F8">
      <w:pPr>
        <w:pStyle w:val="ListParagraph"/>
      </w:pPr>
      <w:r w:rsidRPr="00524435">
        <w:rPr>
          <w:color w:val="000000" w:themeColor="text1"/>
        </w:rPr>
        <w:t xml:space="preserve">The Commission noted that a medical evaluation established that Mrs. Rodriguez had "SERIOUS INJURIES, caused by SURGICAL ACTS on August 13 and 14, 1998". For its part, the Disciplinary </w:t>
      </w:r>
      <w:r w:rsidRPr="00524435">
        <w:rPr>
          <w:color w:val="000000" w:themeColor="text1"/>
        </w:rPr>
        <w:lastRenderedPageBreak/>
        <w:t xml:space="preserve">Tribunal of the Medical Association of the State of Lara concluded that there had been an incorrect procedure in the medical care given to Mrs. Rodriguez, and even admonished the treating physician in writing and publicly. It also emphasized that the facts regarding the medical interventions and their relationship with the harmful effects on the health and personal integrity of Mrs. Rodriguez, including the generation of a condition of disability, were not disputed before the IACHR, and it therefore established that those factors, taken together and objectively, justify the assertion that there were deficiencies in the health care provided to Mrs. Rodriguez in a private health care center, which were not investigated, punished, or duly compensated by the actions of the public authorities in the investigation process.  </w:t>
      </w:r>
    </w:p>
    <w:p w14:paraId="3220D991" w14:textId="77777777" w:rsidR="001D3A5D" w:rsidRPr="00524435" w:rsidRDefault="001D3A5D" w:rsidP="001332F8">
      <w:pPr>
        <w:pStyle w:val="ListParagraph"/>
      </w:pPr>
      <w:proofErr w:type="gramStart"/>
      <w:r w:rsidRPr="00524435">
        <w:rPr>
          <w:color w:val="000000" w:themeColor="text1"/>
        </w:rPr>
        <w:t>With regard to</w:t>
      </w:r>
      <w:proofErr w:type="gramEnd"/>
      <w:r w:rsidRPr="00524435">
        <w:rPr>
          <w:color w:val="000000" w:themeColor="text1"/>
        </w:rPr>
        <w:t xml:space="preserve"> the mechanisms provided by the State to claim the rights to health and personal integrity, the Commission established that none of the many complaints filed resulted in the prosecution and punishment of those responsible. It also determined that the criminal complaint filed on January 18, </w:t>
      </w:r>
      <w:proofErr w:type="gramStart"/>
      <w:r w:rsidRPr="00524435">
        <w:rPr>
          <w:color w:val="000000" w:themeColor="text1"/>
        </w:rPr>
        <w:t>1999</w:t>
      </w:r>
      <w:proofErr w:type="gramEnd"/>
      <w:r w:rsidRPr="00524435">
        <w:rPr>
          <w:color w:val="000000" w:themeColor="text1"/>
        </w:rPr>
        <w:t xml:space="preserve"> resulted, years later, in the dismissal of the case due to the statute of limitations. Although the petitioner filed an appeal on March 28, </w:t>
      </w:r>
      <w:proofErr w:type="gramStart"/>
      <w:r w:rsidRPr="00524435">
        <w:rPr>
          <w:color w:val="000000" w:themeColor="text1"/>
        </w:rPr>
        <w:t>2012</w:t>
      </w:r>
      <w:proofErr w:type="gramEnd"/>
      <w:r w:rsidRPr="00524435">
        <w:rPr>
          <w:color w:val="000000" w:themeColor="text1"/>
        </w:rPr>
        <w:t xml:space="preserve"> against that decision, the petitioner herself pointed out that they were not allowed to go to trial and that the statute of limitations had run. The Commission concluded that the State's actions in the criminal complaint did not comply with Inter-American standards of due diligence. It highlighted the manifest lack of diligence on the part of several prosecutors and judges, as evidenced even in the trial itself. </w:t>
      </w:r>
      <w:proofErr w:type="gramStart"/>
      <w:r w:rsidRPr="00524435">
        <w:rPr>
          <w:color w:val="000000" w:themeColor="text1"/>
        </w:rPr>
        <w:t>In particular, in</w:t>
      </w:r>
      <w:proofErr w:type="gramEnd"/>
      <w:r w:rsidRPr="00524435">
        <w:rPr>
          <w:color w:val="000000" w:themeColor="text1"/>
        </w:rPr>
        <w:t xml:space="preserve"> the more than 13 years that have elapsed, despite the complainant's constant requests, no effective investigation was conducted either of the main accused or of other possible perpetrators with different degrees of responsibility, and the case never went beyond the preparatory phase of the investigation.</w:t>
      </w:r>
    </w:p>
    <w:p w14:paraId="31474E64" w14:textId="77777777" w:rsidR="001D3A5D" w:rsidRPr="00524435" w:rsidRDefault="001D3A5D" w:rsidP="001332F8">
      <w:pPr>
        <w:pStyle w:val="ListParagraph"/>
      </w:pPr>
      <w:r w:rsidRPr="00524435">
        <w:rPr>
          <w:color w:val="000000" w:themeColor="text1"/>
        </w:rPr>
        <w:t xml:space="preserve"> Likewise, the Commission considered that there was a violation of the reasonable time guarantee, since the time that the criminal case took to be processed was not due to the complexity of the matter, but to the conduct of the authorities which may be described as lacking due diligence, </w:t>
      </w:r>
      <w:proofErr w:type="gramStart"/>
      <w:r w:rsidRPr="00524435">
        <w:rPr>
          <w:color w:val="000000" w:themeColor="text1"/>
        </w:rPr>
        <w:t>in spite of</w:t>
      </w:r>
      <w:proofErr w:type="gramEnd"/>
      <w:r w:rsidRPr="00524435">
        <w:rPr>
          <w:color w:val="000000" w:themeColor="text1"/>
        </w:rPr>
        <w:t xml:space="preserve"> the constant procedural activity of the complainants. In addition, this lengthy </w:t>
      </w:r>
      <w:proofErr w:type="gramStart"/>
      <w:r w:rsidRPr="00524435">
        <w:rPr>
          <w:color w:val="000000" w:themeColor="text1"/>
        </w:rPr>
        <w:t>procedure</w:t>
      </w:r>
      <w:proofErr w:type="gramEnd"/>
      <w:r w:rsidRPr="00524435">
        <w:rPr>
          <w:color w:val="000000" w:themeColor="text1"/>
        </w:rPr>
        <w:t xml:space="preserve"> and the decision to dismiss the case due to the statute of limitations had an impact on the legal and personal situation of the victim. The Commission also observed that the judicial remedy provided for in the Venezuelan legal system, although suitable for exercising the right to due process and judicial protection, was rendered ineffective by the conduct of the State authorities, which led to the prescription of the criminal action and did not allow for clarification of the facts and the determination of criminal responsibilities.  </w:t>
      </w:r>
    </w:p>
    <w:p w14:paraId="17972D72" w14:textId="77777777" w:rsidR="001D3A5D" w:rsidRPr="00524435" w:rsidRDefault="001D3A5D" w:rsidP="001332F8">
      <w:pPr>
        <w:pStyle w:val="ListParagraph"/>
      </w:pPr>
      <w:r w:rsidRPr="00524435">
        <w:rPr>
          <w:color w:val="000000" w:themeColor="text1"/>
        </w:rPr>
        <w:t xml:space="preserve">In addition, the Commission concluded that the failure to investigate a complaint of medical malpractice that generated serious and decisive damage to the enjoyment of Mrs. Rodriguez's right to health, implies not only a violation of due process and judicial protection, but also a violation of the rights to personal integrity and health. It also established that the violation of those rights, as well as the lack of investigation and prosecution, have a disproportionate impact on the victim because she is a woman, given that the facts of the case refer to violations that only occur to women because of a procedure resulting from a cesarean section. </w:t>
      </w:r>
    </w:p>
    <w:p w14:paraId="1DB71D19" w14:textId="77777777" w:rsidR="001D3A5D" w:rsidRPr="007A5442" w:rsidRDefault="001D3A5D" w:rsidP="001332F8">
      <w:pPr>
        <w:pStyle w:val="Style2"/>
        <w:rPr>
          <w:lang w:val="pt-PT"/>
        </w:rPr>
      </w:pPr>
      <w:r w:rsidRPr="007A5442">
        <w:rPr>
          <w:lang w:val="pt-PT"/>
        </w:rPr>
        <w:t>Ovidio Jesús Poggioli Pérez v. Venezuela</w:t>
      </w:r>
    </w:p>
    <w:p w14:paraId="14E401C8" w14:textId="77777777" w:rsidR="001D3A5D" w:rsidRPr="00524435" w:rsidRDefault="001D3A5D" w:rsidP="001332F8">
      <w:pPr>
        <w:pStyle w:val="ListParagraph"/>
      </w:pPr>
      <w:r w:rsidRPr="00524435">
        <w:t xml:space="preserve">This case relates to the international responsibility of the Venezuelan State for the arbitrary detention of </w:t>
      </w:r>
      <w:proofErr w:type="spellStart"/>
      <w:r w:rsidRPr="00524435">
        <w:t>Ovidio</w:t>
      </w:r>
      <w:proofErr w:type="spellEnd"/>
      <w:r w:rsidRPr="00524435">
        <w:t xml:space="preserve"> Jesús </w:t>
      </w:r>
      <w:proofErr w:type="spellStart"/>
      <w:r w:rsidRPr="00524435">
        <w:t>Poggioli</w:t>
      </w:r>
      <w:proofErr w:type="spellEnd"/>
      <w:r w:rsidRPr="00524435">
        <w:t xml:space="preserve"> Pérez and the violations of his rights to judicial guarantees and judicial protection in the context of two proceedings before the military criminal jurisdiction. At the beginning of 2002, </w:t>
      </w:r>
      <w:proofErr w:type="spellStart"/>
      <w:r w:rsidRPr="00524435">
        <w:t>Ovidio</w:t>
      </w:r>
      <w:proofErr w:type="spellEnd"/>
      <w:r w:rsidRPr="00524435">
        <w:t xml:space="preserve"> Jesús </w:t>
      </w:r>
      <w:proofErr w:type="spellStart"/>
      <w:r w:rsidRPr="00524435">
        <w:t>Poggioli</w:t>
      </w:r>
      <w:proofErr w:type="spellEnd"/>
      <w:r w:rsidRPr="00524435">
        <w:t xml:space="preserve"> Pérez, who held the rank of Brigadier General of the Venezuelan Army, requested his retirement. After his retirement, he participated in conferences and various activities where he in which he disclosed, to various media, "the intention of the Government to politicize and involve the Armed Forces in what the President calls the Socialist Revolution." For that, he was prosecuted before the military criminal jurisdiction. </w:t>
      </w:r>
    </w:p>
    <w:p w14:paraId="0A2503E4" w14:textId="77777777" w:rsidR="001D3A5D" w:rsidRPr="00524435" w:rsidRDefault="001D3A5D" w:rsidP="001332F8">
      <w:pPr>
        <w:pStyle w:val="ListParagraph"/>
      </w:pPr>
      <w:r w:rsidRPr="00524435">
        <w:t xml:space="preserve">On April 19, 2002, the Minister of Defense initiated a military criminal investigation against Mr. </w:t>
      </w:r>
      <w:proofErr w:type="spellStart"/>
      <w:r w:rsidRPr="00524435">
        <w:t>Poggioli</w:t>
      </w:r>
      <w:proofErr w:type="spellEnd"/>
      <w:r w:rsidRPr="00524435">
        <w:t xml:space="preserve"> for the alleged commission of acts punishable under military criminal law, without specifying a specific crime. His defense filed a writ of amparo and a nullity action for unconstitutionality against Articles 54 and 55 of the Organic Code of Military Justice. The Constitutional Chamber of the Supreme Court of Justice admitted both actions and ordered the suspension of the criminal proceeding until the nullity action was </w:t>
      </w:r>
      <w:r w:rsidRPr="00524435">
        <w:lastRenderedPageBreak/>
        <w:t>decided. On June 20, 2012, the Constitutional Chamber dismissed the nullity action, annulled the injunction, and ordered the continuation of the criminal proceeding.</w:t>
      </w:r>
    </w:p>
    <w:p w14:paraId="4912F813" w14:textId="71A4CEB7" w:rsidR="001D3A5D" w:rsidRPr="00524435" w:rsidRDefault="001D3A5D" w:rsidP="001332F8">
      <w:pPr>
        <w:pStyle w:val="ListParagraph"/>
      </w:pPr>
      <w:r w:rsidRPr="00524435">
        <w:t xml:space="preserve">On May 9, 2004, the Minister of Defense ordered the opening of a military investigation in connection with the detention of a group of Colombian citizens for allegedly committing crimes of a military nature. Mr. </w:t>
      </w:r>
      <w:proofErr w:type="spellStart"/>
      <w:r w:rsidRPr="00524435">
        <w:t>Poggioli</w:t>
      </w:r>
      <w:proofErr w:type="spellEnd"/>
      <w:r w:rsidRPr="00524435">
        <w:t>, Venezuelan military personnel, and Colombian citizens were included in the investigation.</w:t>
      </w:r>
      <w:r w:rsidR="00815730" w:rsidRPr="00524435">
        <w:t xml:space="preserve"> </w:t>
      </w:r>
      <w:r w:rsidRPr="00524435">
        <w:t xml:space="preserve">On May 31, the Second Military Court of First Permanent Instance of Caracas issued an arrest warrant against the victim. On June 8, Mr. </w:t>
      </w:r>
      <w:proofErr w:type="spellStart"/>
      <w:r w:rsidRPr="00524435">
        <w:t>Poggioli</w:t>
      </w:r>
      <w:proofErr w:type="spellEnd"/>
      <w:r w:rsidRPr="00524435">
        <w:t xml:space="preserve"> voluntarily presented himself before the Military Court and was detained in the military prison of </w:t>
      </w:r>
      <w:proofErr w:type="spellStart"/>
      <w:r w:rsidRPr="00524435">
        <w:t>Ramo</w:t>
      </w:r>
      <w:proofErr w:type="spellEnd"/>
      <w:r w:rsidRPr="00524435">
        <w:t xml:space="preserve"> Verd, and then the Second Military Oversight Court issued an order to open the case for trial. On November 14, 2005, Mr. </w:t>
      </w:r>
      <w:proofErr w:type="spellStart"/>
      <w:r w:rsidRPr="00524435">
        <w:t>Poggioli</w:t>
      </w:r>
      <w:proofErr w:type="spellEnd"/>
      <w:r w:rsidRPr="00524435">
        <w:t xml:space="preserve"> was sentenced to 2 years, 5 </w:t>
      </w:r>
      <w:proofErr w:type="gramStart"/>
      <w:r w:rsidRPr="00524435">
        <w:t>months</w:t>
      </w:r>
      <w:proofErr w:type="gramEnd"/>
      <w:r w:rsidRPr="00524435">
        <w:t xml:space="preserve"> and 10 days imprisonment for being an accomplice in the crime of military rebellion. This sentence was confirmed on appeal. On April 27, 2006, the Military Court for the Execution of Sentences granted conditional release. Several appeals were filed in this process.</w:t>
      </w:r>
    </w:p>
    <w:p w14:paraId="77C3DE38" w14:textId="77777777" w:rsidR="001D3A5D" w:rsidRPr="00524435" w:rsidRDefault="001D3A5D" w:rsidP="001332F8">
      <w:pPr>
        <w:pStyle w:val="ListParagraph"/>
      </w:pPr>
      <w:r w:rsidRPr="00524435">
        <w:t xml:space="preserve">In its Admissibility and Merits Report, the Commission considered that the application of military criminal jurisdiction in both proceedings was contrary to the principle of competence, independence, and impartiality, and that Mr. </w:t>
      </w:r>
      <w:proofErr w:type="spellStart"/>
      <w:r w:rsidRPr="00524435">
        <w:t>Poggioli</w:t>
      </w:r>
      <w:proofErr w:type="spellEnd"/>
      <w:r w:rsidRPr="00524435">
        <w:t xml:space="preserve"> did not have a remedy guaranteeing observance of that principle. It further concluded that, since the proceedings were flawed from the outset, Mr. </w:t>
      </w:r>
      <w:proofErr w:type="spellStart"/>
      <w:r w:rsidRPr="00524435">
        <w:t>Poggioli</w:t>
      </w:r>
      <w:proofErr w:type="spellEnd"/>
      <w:r w:rsidRPr="00524435">
        <w:t xml:space="preserve"> did not have access to judicial guarantees and his right to personal liberty was also violated. Since both detentions were carried out without a warrant and without a situation of flagrante delicto, the IACHR concluded that the detentions were illegal and arbitrary. The Commission also considered that the time Mr. </w:t>
      </w:r>
      <w:proofErr w:type="spellStart"/>
      <w:r w:rsidRPr="00524435">
        <w:t>Poggioli</w:t>
      </w:r>
      <w:proofErr w:type="spellEnd"/>
      <w:r w:rsidRPr="00524435">
        <w:t xml:space="preserve"> was arbitrarily deprived of his liberty, in addition to the poor conditions of detention, violated his right to personal integrity. It also established that the search of his home was illegal and arbitrary. </w:t>
      </w:r>
    </w:p>
    <w:p w14:paraId="30310B12" w14:textId="1B47AC6F" w:rsidR="001D3A5D" w:rsidRPr="00524435" w:rsidRDefault="001D3A5D" w:rsidP="001332F8">
      <w:pPr>
        <w:pStyle w:val="ListParagraph"/>
      </w:pPr>
      <w:r w:rsidRPr="00524435">
        <w:t xml:space="preserve">Based on those findings, the Inter-American Commission concluded that the Venezuelan State is responsible for the violation of the rights to personal integrity, personal liberty, judicial guarantees, protection of honor and dignity, and judicial protection, established in Articles 5(1), 7(1), 7(2), 7(3), 8(1), 11(2), and 25(1) of the American Convention, in conjunction with Articles 1(1) and 2 thereof, to the detriment of </w:t>
      </w:r>
      <w:proofErr w:type="spellStart"/>
      <w:r w:rsidRPr="00524435">
        <w:t>Ovidio</w:t>
      </w:r>
      <w:proofErr w:type="spellEnd"/>
      <w:r w:rsidRPr="00524435">
        <w:t xml:space="preserve"> Jesús </w:t>
      </w:r>
      <w:proofErr w:type="spellStart"/>
      <w:r w:rsidRPr="00524435">
        <w:t>Poggioli</w:t>
      </w:r>
      <w:proofErr w:type="spellEnd"/>
      <w:r w:rsidRPr="00524435">
        <w:t xml:space="preserve"> Pérez.</w:t>
      </w:r>
    </w:p>
    <w:p w14:paraId="64828DC6" w14:textId="77777777" w:rsidR="001D3A5D" w:rsidRPr="00524435" w:rsidRDefault="001D3A5D" w:rsidP="00E82663">
      <w:pPr>
        <w:pStyle w:val="Heading3"/>
      </w:pPr>
      <w:r w:rsidRPr="00524435">
        <w:t>Requests for Advisory Opinions</w:t>
      </w:r>
    </w:p>
    <w:p w14:paraId="7F85D5C5" w14:textId="77777777" w:rsidR="001D3A5D" w:rsidRPr="00524435" w:rsidRDefault="001D3A5D" w:rsidP="001332F8">
      <w:pPr>
        <w:pStyle w:val="ListParagraph"/>
      </w:pPr>
      <w:r w:rsidRPr="00524435">
        <w:t>During 2021, the Commission participated in the hearing held by the Inter-American Court in relation to the request for an advisory opinion it submitted regarding "Differentiated Approaches to Persons Deprived of Liberty." In addition, the Commission presented its observations on the advisory opinion presented by Colombia regarding the concept of indefinite reelection in the context of the inter-American system.</w:t>
      </w:r>
    </w:p>
    <w:p w14:paraId="4C66D589" w14:textId="77777777" w:rsidR="001D3A5D" w:rsidRPr="00524435" w:rsidRDefault="001D3A5D" w:rsidP="00E82663">
      <w:pPr>
        <w:pStyle w:val="Heading3"/>
      </w:pPr>
      <w:r w:rsidRPr="00524435">
        <w:t>Appearance and participation in public and private hearings</w:t>
      </w:r>
    </w:p>
    <w:p w14:paraId="201AC30F" w14:textId="77777777" w:rsidR="001D3A5D" w:rsidRPr="00524435" w:rsidRDefault="001D3A5D" w:rsidP="001332F8">
      <w:pPr>
        <w:pStyle w:val="ListParagraph"/>
        <w:rPr>
          <w:rStyle w:val="Nenhum"/>
        </w:rPr>
      </w:pPr>
      <w:r w:rsidRPr="00524435">
        <w:t>The Commission participated in the opening of the judicial year and in a total of 30 hearings, of which 17 were related to contentious cases in process, 12 to the supervision of compliance with sentences, and 1 to a request for an advisory opinion before the Inter-American Court. Those hearings were:</w:t>
      </w:r>
    </w:p>
    <w:tbl>
      <w:tblPr>
        <w:tblStyle w:val="MediumShading1-Accent11"/>
        <w:tblW w:w="9340" w:type="dxa"/>
        <w:tblLook w:val="04A0" w:firstRow="1" w:lastRow="0" w:firstColumn="1" w:lastColumn="0" w:noHBand="0" w:noVBand="1"/>
      </w:tblPr>
      <w:tblGrid>
        <w:gridCol w:w="2461"/>
        <w:gridCol w:w="2480"/>
        <w:gridCol w:w="2041"/>
        <w:gridCol w:w="2358"/>
      </w:tblGrid>
      <w:tr w:rsidR="001D3A5D" w:rsidRPr="00524435" w14:paraId="517A40DD" w14:textId="77777777" w:rsidTr="002333BB">
        <w:trPr>
          <w:cnfStyle w:val="100000000000" w:firstRow="1" w:lastRow="0" w:firstColumn="0" w:lastColumn="0" w:oddVBand="0" w:evenVBand="0" w:oddHBand="0" w:evenHBand="0" w:firstRowFirstColumn="0" w:firstRowLastColumn="0" w:lastRowFirstColumn="0" w:lastRowLastColumn="0"/>
          <w:trHeight w:val="529"/>
        </w:trPr>
        <w:tc>
          <w:tcPr>
            <w:tcW w:w="2461" w:type="dxa"/>
            <w:hideMark/>
          </w:tcPr>
          <w:p w14:paraId="3DB9EB91" w14:textId="77777777" w:rsidR="001D3A5D" w:rsidRPr="00524435" w:rsidRDefault="001D3A5D" w:rsidP="002333BB">
            <w:pPr>
              <w:jc w:val="center"/>
              <w:rPr>
                <w:rFonts w:ascii="Cambria" w:eastAsia="Times New Roman" w:hAnsi="Cambria" w:cs="Calibri"/>
                <w:b/>
                <w:bCs/>
                <w:color w:val="000000"/>
                <w:sz w:val="20"/>
                <w:szCs w:val="20"/>
              </w:rPr>
            </w:pPr>
            <w:r w:rsidRPr="00524435">
              <w:rPr>
                <w:rFonts w:ascii="Cambria" w:hAnsi="Cambria"/>
                <w:b/>
                <w:color w:val="000000"/>
                <w:sz w:val="20"/>
              </w:rPr>
              <w:t>CASE</w:t>
            </w:r>
          </w:p>
        </w:tc>
        <w:tc>
          <w:tcPr>
            <w:tcW w:w="2480" w:type="dxa"/>
            <w:hideMark/>
          </w:tcPr>
          <w:p w14:paraId="208F00B4" w14:textId="77777777" w:rsidR="001D3A5D" w:rsidRPr="00524435" w:rsidRDefault="001D3A5D" w:rsidP="002333BB">
            <w:pPr>
              <w:jc w:val="center"/>
              <w:rPr>
                <w:rFonts w:ascii="Cambria" w:eastAsia="Times New Roman" w:hAnsi="Cambria" w:cs="Calibri"/>
                <w:b/>
                <w:bCs/>
                <w:color w:val="000000"/>
                <w:sz w:val="20"/>
                <w:szCs w:val="20"/>
              </w:rPr>
            </w:pPr>
            <w:r w:rsidRPr="00524435">
              <w:rPr>
                <w:rFonts w:ascii="Cambria" w:hAnsi="Cambria"/>
                <w:b/>
                <w:color w:val="000000"/>
                <w:sz w:val="20"/>
              </w:rPr>
              <w:t>COUNTRY</w:t>
            </w:r>
          </w:p>
        </w:tc>
        <w:tc>
          <w:tcPr>
            <w:tcW w:w="2041" w:type="dxa"/>
          </w:tcPr>
          <w:p w14:paraId="291AC9DE" w14:textId="77777777" w:rsidR="001D3A5D" w:rsidRPr="00524435" w:rsidRDefault="001D3A5D" w:rsidP="002333BB">
            <w:pPr>
              <w:jc w:val="center"/>
              <w:rPr>
                <w:rFonts w:ascii="Cambria" w:eastAsia="Times New Roman" w:hAnsi="Cambria" w:cs="Calibri"/>
                <w:b/>
                <w:bCs/>
                <w:color w:val="000000"/>
                <w:sz w:val="20"/>
                <w:szCs w:val="20"/>
              </w:rPr>
            </w:pPr>
            <w:r w:rsidRPr="00524435">
              <w:rPr>
                <w:rFonts w:ascii="Cambria" w:hAnsi="Cambria"/>
                <w:b/>
                <w:color w:val="000000"/>
                <w:sz w:val="20"/>
              </w:rPr>
              <w:t>TYPE OF HEARING</w:t>
            </w:r>
          </w:p>
        </w:tc>
        <w:tc>
          <w:tcPr>
            <w:tcW w:w="2358" w:type="dxa"/>
            <w:hideMark/>
          </w:tcPr>
          <w:p w14:paraId="03BF0046" w14:textId="7682B472" w:rsidR="001D3A5D" w:rsidRPr="00524435" w:rsidRDefault="001D3A5D" w:rsidP="002333BB">
            <w:pPr>
              <w:jc w:val="center"/>
              <w:rPr>
                <w:rFonts w:ascii="Cambria" w:eastAsia="Times New Roman" w:hAnsi="Cambria" w:cs="Calibri"/>
                <w:b/>
                <w:bCs/>
                <w:color w:val="000000"/>
                <w:sz w:val="20"/>
                <w:szCs w:val="20"/>
              </w:rPr>
            </w:pPr>
            <w:r w:rsidRPr="00524435">
              <w:rPr>
                <w:rFonts w:ascii="Cambria" w:hAnsi="Cambria"/>
                <w:b/>
                <w:color w:val="000000"/>
                <w:sz w:val="20"/>
              </w:rPr>
              <w:t>DATE</w:t>
            </w:r>
          </w:p>
        </w:tc>
      </w:tr>
      <w:tr w:rsidR="001D3A5D" w:rsidRPr="00524435" w14:paraId="6A2B46DB" w14:textId="77777777" w:rsidTr="00F756FC">
        <w:trPr>
          <w:cnfStyle w:val="000000100000" w:firstRow="0" w:lastRow="0" w:firstColumn="0" w:lastColumn="0" w:oddVBand="0" w:evenVBand="0" w:oddHBand="1" w:evenHBand="0" w:firstRowFirstColumn="0" w:firstRowLastColumn="0" w:lastRowFirstColumn="0" w:lastRowLastColumn="0"/>
          <w:trHeight w:val="395"/>
        </w:trPr>
        <w:tc>
          <w:tcPr>
            <w:tcW w:w="2461" w:type="dxa"/>
            <w:hideMark/>
          </w:tcPr>
          <w:p w14:paraId="5A174A68"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Garzon Guzman et al</w:t>
            </w:r>
          </w:p>
        </w:tc>
        <w:tc>
          <w:tcPr>
            <w:tcW w:w="2480" w:type="dxa"/>
            <w:hideMark/>
          </w:tcPr>
          <w:p w14:paraId="4A8E55BE"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Ecuador</w:t>
            </w:r>
          </w:p>
        </w:tc>
        <w:tc>
          <w:tcPr>
            <w:tcW w:w="2041" w:type="dxa"/>
          </w:tcPr>
          <w:p w14:paraId="517C2B52"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Contentious case</w:t>
            </w:r>
          </w:p>
        </w:tc>
        <w:tc>
          <w:tcPr>
            <w:tcW w:w="2358" w:type="dxa"/>
            <w:hideMark/>
          </w:tcPr>
          <w:p w14:paraId="2396C5B4"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January 27 and 28, 2021</w:t>
            </w:r>
          </w:p>
        </w:tc>
      </w:tr>
      <w:tr w:rsidR="001D3A5D" w:rsidRPr="00524435" w14:paraId="43A6A04D" w14:textId="77777777" w:rsidTr="00F756FC">
        <w:trPr>
          <w:cnfStyle w:val="000000010000" w:firstRow="0" w:lastRow="0" w:firstColumn="0" w:lastColumn="0" w:oddVBand="0" w:evenVBand="0" w:oddHBand="0" w:evenHBand="1" w:firstRowFirstColumn="0" w:firstRowLastColumn="0" w:lastRowFirstColumn="0" w:lastRowLastColumn="0"/>
          <w:trHeight w:val="260"/>
        </w:trPr>
        <w:tc>
          <w:tcPr>
            <w:tcW w:w="2461" w:type="dxa"/>
            <w:hideMark/>
          </w:tcPr>
          <w:p w14:paraId="194A2FCE"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Martina Vera Rojas</w:t>
            </w:r>
          </w:p>
        </w:tc>
        <w:tc>
          <w:tcPr>
            <w:tcW w:w="2480" w:type="dxa"/>
            <w:hideMark/>
          </w:tcPr>
          <w:p w14:paraId="4E18A90F"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Chile</w:t>
            </w:r>
          </w:p>
        </w:tc>
        <w:tc>
          <w:tcPr>
            <w:tcW w:w="2041" w:type="dxa"/>
          </w:tcPr>
          <w:p w14:paraId="231A7945"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Contentious case</w:t>
            </w:r>
          </w:p>
        </w:tc>
        <w:tc>
          <w:tcPr>
            <w:tcW w:w="2358" w:type="dxa"/>
            <w:hideMark/>
          </w:tcPr>
          <w:p w14:paraId="49AB1738"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February 1 and 2, 2021</w:t>
            </w:r>
          </w:p>
        </w:tc>
      </w:tr>
      <w:tr w:rsidR="001D3A5D" w:rsidRPr="00524435" w14:paraId="41FB1DC7" w14:textId="77777777" w:rsidTr="00F756FC">
        <w:trPr>
          <w:cnfStyle w:val="000000100000" w:firstRow="0" w:lastRow="0" w:firstColumn="0" w:lastColumn="0" w:oddVBand="0" w:evenVBand="0" w:oddHBand="1" w:evenHBand="0" w:firstRowFirstColumn="0" w:firstRowLastColumn="0" w:lastRowFirstColumn="0" w:lastRowLastColumn="0"/>
          <w:trHeight w:val="341"/>
        </w:trPr>
        <w:tc>
          <w:tcPr>
            <w:tcW w:w="2461" w:type="dxa"/>
            <w:hideMark/>
          </w:tcPr>
          <w:p w14:paraId="6A608575"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Barbosa de Sousa</w:t>
            </w:r>
          </w:p>
        </w:tc>
        <w:tc>
          <w:tcPr>
            <w:tcW w:w="2480" w:type="dxa"/>
            <w:hideMark/>
          </w:tcPr>
          <w:p w14:paraId="13ECD164"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Brazil</w:t>
            </w:r>
          </w:p>
        </w:tc>
        <w:tc>
          <w:tcPr>
            <w:tcW w:w="2041" w:type="dxa"/>
          </w:tcPr>
          <w:p w14:paraId="7F29B4C7"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Contentious case</w:t>
            </w:r>
          </w:p>
        </w:tc>
        <w:tc>
          <w:tcPr>
            <w:tcW w:w="2358" w:type="dxa"/>
            <w:hideMark/>
          </w:tcPr>
          <w:p w14:paraId="7E09331F"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 xml:space="preserve">February 3 and 4, 2021 </w:t>
            </w:r>
          </w:p>
        </w:tc>
      </w:tr>
      <w:tr w:rsidR="001D3A5D" w:rsidRPr="00524435" w14:paraId="6FC320E0" w14:textId="77777777" w:rsidTr="002333BB">
        <w:trPr>
          <w:cnfStyle w:val="000000010000" w:firstRow="0" w:lastRow="0" w:firstColumn="0" w:lastColumn="0" w:oddVBand="0" w:evenVBand="0" w:oddHBand="0" w:evenHBand="1" w:firstRowFirstColumn="0" w:firstRowLastColumn="0" w:lastRowFirstColumn="0" w:lastRowLastColumn="0"/>
          <w:trHeight w:val="439"/>
        </w:trPr>
        <w:tc>
          <w:tcPr>
            <w:tcW w:w="2461" w:type="dxa"/>
            <w:hideMark/>
          </w:tcPr>
          <w:p w14:paraId="59B23C53"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Patriotic Union</w:t>
            </w:r>
          </w:p>
        </w:tc>
        <w:tc>
          <w:tcPr>
            <w:tcW w:w="2480" w:type="dxa"/>
            <w:hideMark/>
          </w:tcPr>
          <w:p w14:paraId="25C11E9C"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Colombia</w:t>
            </w:r>
          </w:p>
        </w:tc>
        <w:tc>
          <w:tcPr>
            <w:tcW w:w="2041" w:type="dxa"/>
          </w:tcPr>
          <w:p w14:paraId="7CC01412"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Contentious case</w:t>
            </w:r>
          </w:p>
        </w:tc>
        <w:tc>
          <w:tcPr>
            <w:tcW w:w="2358" w:type="dxa"/>
            <w:hideMark/>
          </w:tcPr>
          <w:p w14:paraId="6FCEE8BA"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February 8, 9-12, 2021</w:t>
            </w:r>
          </w:p>
        </w:tc>
      </w:tr>
      <w:tr w:rsidR="001D3A5D" w:rsidRPr="00524435" w14:paraId="79FE4B7C" w14:textId="77777777" w:rsidTr="00F756FC">
        <w:trPr>
          <w:cnfStyle w:val="000000100000" w:firstRow="0" w:lastRow="0" w:firstColumn="0" w:lastColumn="0" w:oddVBand="0" w:evenVBand="0" w:oddHBand="1" w:evenHBand="0" w:firstRowFirstColumn="0" w:firstRowLastColumn="0" w:lastRowFirstColumn="0" w:lastRowLastColumn="0"/>
          <w:trHeight w:val="350"/>
        </w:trPr>
        <w:tc>
          <w:tcPr>
            <w:tcW w:w="2461" w:type="dxa"/>
            <w:hideMark/>
          </w:tcPr>
          <w:p w14:paraId="2BD13493"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lastRenderedPageBreak/>
              <w:t xml:space="preserve"> Los </w:t>
            </w:r>
            <w:proofErr w:type="spellStart"/>
            <w:r w:rsidRPr="00524435">
              <w:rPr>
                <w:rFonts w:ascii="Cambria" w:hAnsi="Cambria"/>
                <w:color w:val="000000"/>
                <w:sz w:val="20"/>
              </w:rPr>
              <w:t>Josefinos</w:t>
            </w:r>
            <w:proofErr w:type="spellEnd"/>
            <w:r w:rsidRPr="00524435">
              <w:rPr>
                <w:rFonts w:ascii="Cambria" w:hAnsi="Cambria"/>
                <w:color w:val="000000"/>
                <w:sz w:val="20"/>
              </w:rPr>
              <w:t xml:space="preserve"> massacre</w:t>
            </w:r>
          </w:p>
        </w:tc>
        <w:tc>
          <w:tcPr>
            <w:tcW w:w="2480" w:type="dxa"/>
            <w:hideMark/>
          </w:tcPr>
          <w:p w14:paraId="13DAC758"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Guatemala</w:t>
            </w:r>
          </w:p>
        </w:tc>
        <w:tc>
          <w:tcPr>
            <w:tcW w:w="2041" w:type="dxa"/>
          </w:tcPr>
          <w:p w14:paraId="4B1E2993"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Contentious case</w:t>
            </w:r>
          </w:p>
        </w:tc>
        <w:tc>
          <w:tcPr>
            <w:tcW w:w="2358" w:type="dxa"/>
            <w:hideMark/>
          </w:tcPr>
          <w:p w14:paraId="5F2DC57E"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February 17 and 18, 2021</w:t>
            </w:r>
          </w:p>
        </w:tc>
      </w:tr>
      <w:tr w:rsidR="001D3A5D" w:rsidRPr="00524435" w14:paraId="431092F5" w14:textId="77777777" w:rsidTr="00F756FC">
        <w:trPr>
          <w:cnfStyle w:val="000000010000" w:firstRow="0" w:lastRow="0" w:firstColumn="0" w:lastColumn="0" w:oddVBand="0" w:evenVBand="0" w:oddHBand="0" w:evenHBand="1" w:firstRowFirstColumn="0" w:firstRowLastColumn="0" w:lastRowFirstColumn="0" w:lastRowLastColumn="0"/>
          <w:trHeight w:val="431"/>
        </w:trPr>
        <w:tc>
          <w:tcPr>
            <w:tcW w:w="2461" w:type="dxa"/>
            <w:hideMark/>
          </w:tcPr>
          <w:p w14:paraId="2BA2D6A6"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Rio Avalos and another</w:t>
            </w:r>
          </w:p>
        </w:tc>
        <w:tc>
          <w:tcPr>
            <w:tcW w:w="2480" w:type="dxa"/>
            <w:hideMark/>
          </w:tcPr>
          <w:p w14:paraId="211168DC"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Paraguay</w:t>
            </w:r>
          </w:p>
        </w:tc>
        <w:tc>
          <w:tcPr>
            <w:tcW w:w="2041" w:type="dxa"/>
          </w:tcPr>
          <w:p w14:paraId="33F08F7F"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Contentious case</w:t>
            </w:r>
          </w:p>
        </w:tc>
        <w:tc>
          <w:tcPr>
            <w:tcW w:w="2358" w:type="dxa"/>
            <w:hideMark/>
          </w:tcPr>
          <w:p w14:paraId="2EBDD13B"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March 1-3, 2021</w:t>
            </w:r>
          </w:p>
        </w:tc>
      </w:tr>
      <w:tr w:rsidR="001D3A5D" w:rsidRPr="00524435" w14:paraId="29C940DF" w14:textId="77777777" w:rsidTr="00F756FC">
        <w:trPr>
          <w:cnfStyle w:val="000000100000" w:firstRow="0" w:lastRow="0" w:firstColumn="0" w:lastColumn="0" w:oddVBand="0" w:evenVBand="0" w:oddHBand="1" w:evenHBand="0" w:firstRowFirstColumn="0" w:firstRowLastColumn="0" w:lastRowFirstColumn="0" w:lastRowLastColumn="0"/>
          <w:trHeight w:val="359"/>
        </w:trPr>
        <w:tc>
          <w:tcPr>
            <w:tcW w:w="2461" w:type="dxa"/>
            <w:hideMark/>
          </w:tcPr>
          <w:p w14:paraId="6DE2A8A1" w14:textId="77777777" w:rsidR="001D3A5D" w:rsidRPr="00524435" w:rsidRDefault="001D3A5D" w:rsidP="00F756FC">
            <w:pPr>
              <w:rPr>
                <w:rFonts w:ascii="Cambria" w:eastAsia="Times New Roman" w:hAnsi="Cambria" w:cs="Calibri"/>
                <w:color w:val="000000"/>
                <w:sz w:val="20"/>
                <w:szCs w:val="20"/>
              </w:rPr>
            </w:pPr>
            <w:proofErr w:type="spellStart"/>
            <w:r w:rsidRPr="00524435">
              <w:rPr>
                <w:rFonts w:ascii="Cambria" w:hAnsi="Cambria"/>
                <w:color w:val="000000"/>
                <w:sz w:val="20"/>
              </w:rPr>
              <w:t>Cuya</w:t>
            </w:r>
            <w:proofErr w:type="spellEnd"/>
            <w:r w:rsidRPr="00524435">
              <w:rPr>
                <w:rFonts w:ascii="Cambria" w:hAnsi="Cambria"/>
                <w:color w:val="000000"/>
                <w:sz w:val="20"/>
              </w:rPr>
              <w:t xml:space="preserve"> </w:t>
            </w:r>
            <w:proofErr w:type="spellStart"/>
            <w:r w:rsidRPr="00524435">
              <w:rPr>
                <w:rFonts w:ascii="Cambria" w:hAnsi="Cambria"/>
                <w:color w:val="000000"/>
                <w:sz w:val="20"/>
              </w:rPr>
              <w:t>Lavy</w:t>
            </w:r>
            <w:proofErr w:type="spellEnd"/>
            <w:r w:rsidRPr="00524435">
              <w:rPr>
                <w:rFonts w:ascii="Cambria" w:hAnsi="Cambria"/>
                <w:color w:val="000000"/>
                <w:sz w:val="20"/>
              </w:rPr>
              <w:t xml:space="preserve"> et al</w:t>
            </w:r>
          </w:p>
        </w:tc>
        <w:tc>
          <w:tcPr>
            <w:tcW w:w="2480" w:type="dxa"/>
            <w:hideMark/>
          </w:tcPr>
          <w:p w14:paraId="2B6C0A59"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Peru</w:t>
            </w:r>
          </w:p>
        </w:tc>
        <w:tc>
          <w:tcPr>
            <w:tcW w:w="2041" w:type="dxa"/>
          </w:tcPr>
          <w:p w14:paraId="6AD5B47F"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Contentious case</w:t>
            </w:r>
          </w:p>
        </w:tc>
        <w:tc>
          <w:tcPr>
            <w:tcW w:w="2358" w:type="dxa"/>
            <w:hideMark/>
          </w:tcPr>
          <w:p w14:paraId="237A66DF"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March 8 and 9, 2021</w:t>
            </w:r>
          </w:p>
        </w:tc>
      </w:tr>
      <w:tr w:rsidR="001D3A5D" w:rsidRPr="00524435" w14:paraId="2FE30748" w14:textId="77777777" w:rsidTr="00F756FC">
        <w:trPr>
          <w:cnfStyle w:val="000000010000" w:firstRow="0" w:lastRow="0" w:firstColumn="0" w:lastColumn="0" w:oddVBand="0" w:evenVBand="0" w:oddHBand="0" w:evenHBand="1" w:firstRowFirstColumn="0" w:firstRowLastColumn="0" w:lastRowFirstColumn="0" w:lastRowLastColumn="0"/>
          <w:trHeight w:val="350"/>
        </w:trPr>
        <w:tc>
          <w:tcPr>
            <w:tcW w:w="2461" w:type="dxa"/>
            <w:hideMark/>
          </w:tcPr>
          <w:p w14:paraId="28CA65E8"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Manuela et al.</w:t>
            </w:r>
          </w:p>
        </w:tc>
        <w:tc>
          <w:tcPr>
            <w:tcW w:w="2480" w:type="dxa"/>
            <w:hideMark/>
          </w:tcPr>
          <w:p w14:paraId="77B44647"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El Salvador</w:t>
            </w:r>
          </w:p>
        </w:tc>
        <w:tc>
          <w:tcPr>
            <w:tcW w:w="2041" w:type="dxa"/>
          </w:tcPr>
          <w:p w14:paraId="59F8F931"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Contentious case</w:t>
            </w:r>
          </w:p>
        </w:tc>
        <w:tc>
          <w:tcPr>
            <w:tcW w:w="2358" w:type="dxa"/>
            <w:hideMark/>
          </w:tcPr>
          <w:p w14:paraId="3F7CC01E"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March 10 and 11, 2021</w:t>
            </w:r>
          </w:p>
        </w:tc>
      </w:tr>
      <w:tr w:rsidR="001D3A5D" w:rsidRPr="00524435" w14:paraId="6127C2ED" w14:textId="77777777" w:rsidTr="00F756FC">
        <w:trPr>
          <w:cnfStyle w:val="000000100000" w:firstRow="0" w:lastRow="0" w:firstColumn="0" w:lastColumn="0" w:oddVBand="0" w:evenVBand="0" w:oddHBand="1" w:evenHBand="0" w:firstRowFirstColumn="0" w:firstRowLastColumn="0" w:lastRowFirstColumn="0" w:lastRowLastColumn="0"/>
          <w:trHeight w:val="440"/>
        </w:trPr>
        <w:tc>
          <w:tcPr>
            <w:tcW w:w="2461" w:type="dxa"/>
            <w:hideMark/>
          </w:tcPr>
          <w:p w14:paraId="339B1A77" w14:textId="77777777" w:rsidR="001D3A5D" w:rsidRPr="00E42B49" w:rsidRDefault="001D3A5D" w:rsidP="00F756FC">
            <w:pPr>
              <w:rPr>
                <w:rFonts w:ascii="Cambria" w:eastAsia="Times New Roman" w:hAnsi="Cambria" w:cs="Calibri"/>
                <w:color w:val="000000"/>
                <w:sz w:val="20"/>
                <w:szCs w:val="20"/>
                <w:lang w:val="es-US"/>
              </w:rPr>
            </w:pPr>
            <w:proofErr w:type="spellStart"/>
            <w:r w:rsidRPr="00E42B49">
              <w:rPr>
                <w:rFonts w:ascii="Cambria" w:hAnsi="Cambria"/>
                <w:color w:val="000000"/>
                <w:sz w:val="20"/>
                <w:lang w:val="es-US"/>
              </w:rPr>
              <w:t>Garifuna</w:t>
            </w:r>
            <w:proofErr w:type="spellEnd"/>
            <w:r w:rsidRPr="00E42B49">
              <w:rPr>
                <w:rFonts w:ascii="Cambria" w:hAnsi="Cambria"/>
                <w:color w:val="000000"/>
                <w:sz w:val="20"/>
                <w:lang w:val="es-US"/>
              </w:rPr>
              <w:t xml:space="preserve"> Punta Piedra and Triunfo de la Cruz </w:t>
            </w:r>
          </w:p>
        </w:tc>
        <w:tc>
          <w:tcPr>
            <w:tcW w:w="2480" w:type="dxa"/>
            <w:hideMark/>
          </w:tcPr>
          <w:p w14:paraId="605321BE"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Honduras</w:t>
            </w:r>
          </w:p>
        </w:tc>
        <w:tc>
          <w:tcPr>
            <w:tcW w:w="2041" w:type="dxa"/>
          </w:tcPr>
          <w:p w14:paraId="7042600B"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Supervision</w:t>
            </w:r>
          </w:p>
        </w:tc>
        <w:tc>
          <w:tcPr>
            <w:tcW w:w="2358" w:type="dxa"/>
            <w:hideMark/>
          </w:tcPr>
          <w:p w14:paraId="3D6B8706"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March 4, 2021</w:t>
            </w:r>
          </w:p>
        </w:tc>
      </w:tr>
      <w:tr w:rsidR="001D3A5D" w:rsidRPr="00524435" w14:paraId="3F8C5AD0" w14:textId="77777777" w:rsidTr="00F756FC">
        <w:trPr>
          <w:cnfStyle w:val="000000010000" w:firstRow="0" w:lastRow="0" w:firstColumn="0" w:lastColumn="0" w:oddVBand="0" w:evenVBand="0" w:oddHBand="0" w:evenHBand="1" w:firstRowFirstColumn="0" w:firstRowLastColumn="0" w:lastRowFirstColumn="0" w:lastRowLastColumn="0"/>
          <w:trHeight w:val="341"/>
        </w:trPr>
        <w:tc>
          <w:tcPr>
            <w:tcW w:w="2461" w:type="dxa"/>
            <w:hideMark/>
          </w:tcPr>
          <w:p w14:paraId="4D6DDE74" w14:textId="77777777" w:rsidR="001D3A5D" w:rsidRPr="00524435" w:rsidRDefault="001D3A5D" w:rsidP="00F756FC">
            <w:pPr>
              <w:rPr>
                <w:rFonts w:ascii="Cambria" w:eastAsia="Times New Roman" w:hAnsi="Cambria" w:cs="Calibri"/>
                <w:color w:val="000000"/>
                <w:sz w:val="20"/>
                <w:szCs w:val="20"/>
              </w:rPr>
            </w:pPr>
            <w:proofErr w:type="spellStart"/>
            <w:r w:rsidRPr="00524435">
              <w:rPr>
                <w:rFonts w:ascii="Cambria" w:hAnsi="Cambria"/>
                <w:color w:val="000000"/>
                <w:sz w:val="20"/>
              </w:rPr>
              <w:t>Mozote</w:t>
            </w:r>
            <w:proofErr w:type="spellEnd"/>
            <w:r w:rsidRPr="00524435">
              <w:rPr>
                <w:rFonts w:ascii="Cambria" w:hAnsi="Cambria"/>
                <w:color w:val="000000"/>
                <w:sz w:val="20"/>
              </w:rPr>
              <w:t xml:space="preserve"> Massacres </w:t>
            </w:r>
          </w:p>
        </w:tc>
        <w:tc>
          <w:tcPr>
            <w:tcW w:w="2480" w:type="dxa"/>
            <w:hideMark/>
          </w:tcPr>
          <w:p w14:paraId="0AFBF89D"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El Salvador</w:t>
            </w:r>
          </w:p>
        </w:tc>
        <w:tc>
          <w:tcPr>
            <w:tcW w:w="2041" w:type="dxa"/>
          </w:tcPr>
          <w:p w14:paraId="7F7D44CC"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Supervision</w:t>
            </w:r>
          </w:p>
        </w:tc>
        <w:tc>
          <w:tcPr>
            <w:tcW w:w="2358" w:type="dxa"/>
            <w:hideMark/>
          </w:tcPr>
          <w:p w14:paraId="03C534EF"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 xml:space="preserve">March 4, </w:t>
            </w:r>
            <w:proofErr w:type="gramStart"/>
            <w:r w:rsidRPr="00524435">
              <w:rPr>
                <w:rFonts w:ascii="Cambria" w:hAnsi="Cambria"/>
                <w:color w:val="000000"/>
                <w:sz w:val="20"/>
              </w:rPr>
              <w:t>2021</w:t>
            </w:r>
            <w:proofErr w:type="gramEnd"/>
            <w:r w:rsidRPr="00524435">
              <w:rPr>
                <w:rFonts w:ascii="Cambria" w:hAnsi="Cambria"/>
                <w:color w:val="000000"/>
                <w:sz w:val="20"/>
              </w:rPr>
              <w:t xml:space="preserve"> </w:t>
            </w:r>
          </w:p>
        </w:tc>
      </w:tr>
      <w:tr w:rsidR="001D3A5D" w:rsidRPr="00524435" w14:paraId="58600521" w14:textId="77777777" w:rsidTr="00F756FC">
        <w:trPr>
          <w:cnfStyle w:val="000000100000" w:firstRow="0" w:lastRow="0" w:firstColumn="0" w:lastColumn="0" w:oddVBand="0" w:evenVBand="0" w:oddHBand="1" w:evenHBand="0" w:firstRowFirstColumn="0" w:firstRowLastColumn="0" w:lastRowFirstColumn="0" w:lastRowLastColumn="0"/>
          <w:trHeight w:val="431"/>
        </w:trPr>
        <w:tc>
          <w:tcPr>
            <w:tcW w:w="2461" w:type="dxa"/>
            <w:hideMark/>
          </w:tcPr>
          <w:p w14:paraId="0684BAED" w14:textId="77777777" w:rsidR="001D3A5D" w:rsidRPr="00524435" w:rsidRDefault="001D3A5D" w:rsidP="00F756FC">
            <w:pPr>
              <w:rPr>
                <w:rFonts w:ascii="Cambria" w:eastAsia="Times New Roman" w:hAnsi="Cambria" w:cs="Calibri"/>
                <w:color w:val="000000"/>
                <w:sz w:val="20"/>
                <w:szCs w:val="20"/>
              </w:rPr>
            </w:pPr>
            <w:proofErr w:type="spellStart"/>
            <w:r w:rsidRPr="00524435">
              <w:rPr>
                <w:rFonts w:ascii="Cambria" w:hAnsi="Cambria"/>
                <w:color w:val="000000"/>
                <w:sz w:val="20"/>
              </w:rPr>
              <w:t>Norin</w:t>
            </w:r>
            <w:proofErr w:type="spellEnd"/>
            <w:r w:rsidRPr="00524435">
              <w:rPr>
                <w:rFonts w:ascii="Cambria" w:hAnsi="Cambria"/>
                <w:color w:val="000000"/>
                <w:sz w:val="20"/>
              </w:rPr>
              <w:t xml:space="preserve"> </w:t>
            </w:r>
            <w:proofErr w:type="spellStart"/>
            <w:r w:rsidRPr="00524435">
              <w:rPr>
                <w:rFonts w:ascii="Cambria" w:hAnsi="Cambria"/>
                <w:color w:val="000000"/>
                <w:sz w:val="20"/>
              </w:rPr>
              <w:t>Catriman</w:t>
            </w:r>
            <w:proofErr w:type="spellEnd"/>
          </w:p>
        </w:tc>
        <w:tc>
          <w:tcPr>
            <w:tcW w:w="2480" w:type="dxa"/>
            <w:hideMark/>
          </w:tcPr>
          <w:p w14:paraId="2D03D603"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Chile</w:t>
            </w:r>
          </w:p>
        </w:tc>
        <w:tc>
          <w:tcPr>
            <w:tcW w:w="2041" w:type="dxa"/>
          </w:tcPr>
          <w:p w14:paraId="0736089C"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Supervision</w:t>
            </w:r>
          </w:p>
        </w:tc>
        <w:tc>
          <w:tcPr>
            <w:tcW w:w="2358" w:type="dxa"/>
            <w:hideMark/>
          </w:tcPr>
          <w:p w14:paraId="3EF50224"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April 23, 2021</w:t>
            </w:r>
          </w:p>
        </w:tc>
      </w:tr>
      <w:tr w:rsidR="001D3A5D" w:rsidRPr="00524435" w14:paraId="1CD89451" w14:textId="77777777" w:rsidTr="00F756FC">
        <w:trPr>
          <w:cnfStyle w:val="000000010000" w:firstRow="0" w:lastRow="0" w:firstColumn="0" w:lastColumn="0" w:oddVBand="0" w:evenVBand="0" w:oddHBand="0" w:evenHBand="1" w:firstRowFirstColumn="0" w:firstRowLastColumn="0" w:lastRowFirstColumn="0" w:lastRowLastColumn="0"/>
          <w:trHeight w:val="341"/>
        </w:trPr>
        <w:tc>
          <w:tcPr>
            <w:tcW w:w="2461" w:type="dxa"/>
            <w:hideMark/>
          </w:tcPr>
          <w:p w14:paraId="76B1ABF6"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Advisory Opinion "Differentiated approaches to persons deprived of their liberty"</w:t>
            </w:r>
          </w:p>
        </w:tc>
        <w:tc>
          <w:tcPr>
            <w:tcW w:w="2480" w:type="dxa"/>
            <w:hideMark/>
          </w:tcPr>
          <w:p w14:paraId="191EE891"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 Regional</w:t>
            </w:r>
          </w:p>
        </w:tc>
        <w:tc>
          <w:tcPr>
            <w:tcW w:w="2041" w:type="dxa"/>
          </w:tcPr>
          <w:p w14:paraId="51CCC13D"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Advisory Opinion</w:t>
            </w:r>
          </w:p>
        </w:tc>
        <w:tc>
          <w:tcPr>
            <w:tcW w:w="2358" w:type="dxa"/>
            <w:hideMark/>
          </w:tcPr>
          <w:p w14:paraId="371E34B3"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April 19-22, 2021</w:t>
            </w:r>
          </w:p>
        </w:tc>
      </w:tr>
      <w:tr w:rsidR="001D3A5D" w:rsidRPr="00524435" w14:paraId="7381204C" w14:textId="77777777" w:rsidTr="00F756FC">
        <w:trPr>
          <w:cnfStyle w:val="000000100000" w:firstRow="0" w:lastRow="0" w:firstColumn="0" w:lastColumn="0" w:oddVBand="0" w:evenVBand="0" w:oddHBand="1" w:evenHBand="0" w:firstRowFirstColumn="0" w:firstRowLastColumn="0" w:lastRowFirstColumn="0" w:lastRowLastColumn="0"/>
          <w:trHeight w:val="332"/>
        </w:trPr>
        <w:tc>
          <w:tcPr>
            <w:tcW w:w="2461" w:type="dxa"/>
            <w:hideMark/>
          </w:tcPr>
          <w:p w14:paraId="3BBEA05F" w14:textId="77777777" w:rsidR="001D3A5D" w:rsidRPr="00524435" w:rsidRDefault="001D3A5D" w:rsidP="00F756FC">
            <w:pPr>
              <w:rPr>
                <w:rFonts w:ascii="Cambria" w:eastAsia="Times New Roman" w:hAnsi="Cambria" w:cs="Calibri"/>
                <w:color w:val="000000"/>
                <w:sz w:val="20"/>
                <w:szCs w:val="20"/>
              </w:rPr>
            </w:pPr>
            <w:proofErr w:type="spellStart"/>
            <w:r w:rsidRPr="00524435">
              <w:rPr>
                <w:rFonts w:ascii="Cambria" w:hAnsi="Cambria"/>
                <w:color w:val="000000"/>
                <w:sz w:val="20"/>
              </w:rPr>
              <w:t>Chichupac</w:t>
            </w:r>
            <w:proofErr w:type="spellEnd"/>
            <w:r w:rsidRPr="00524435">
              <w:rPr>
                <w:rFonts w:ascii="Cambria" w:hAnsi="Cambria"/>
                <w:color w:val="000000"/>
                <w:sz w:val="20"/>
              </w:rPr>
              <w:t xml:space="preserve"> massacres and surrounding communities </w:t>
            </w:r>
          </w:p>
        </w:tc>
        <w:tc>
          <w:tcPr>
            <w:tcW w:w="2480" w:type="dxa"/>
            <w:hideMark/>
          </w:tcPr>
          <w:p w14:paraId="1B1B3827"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Guatemala</w:t>
            </w:r>
          </w:p>
        </w:tc>
        <w:tc>
          <w:tcPr>
            <w:tcW w:w="2041" w:type="dxa"/>
          </w:tcPr>
          <w:p w14:paraId="7E45E943"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Supervision</w:t>
            </w:r>
          </w:p>
        </w:tc>
        <w:tc>
          <w:tcPr>
            <w:tcW w:w="2358" w:type="dxa"/>
            <w:hideMark/>
          </w:tcPr>
          <w:p w14:paraId="5B1298EA"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April 23, 2021</w:t>
            </w:r>
          </w:p>
        </w:tc>
      </w:tr>
      <w:tr w:rsidR="001D3A5D" w:rsidRPr="00524435" w14:paraId="4C6F70E5" w14:textId="77777777" w:rsidTr="00F756FC">
        <w:trPr>
          <w:cnfStyle w:val="000000010000" w:firstRow="0" w:lastRow="0" w:firstColumn="0" w:lastColumn="0" w:oddVBand="0" w:evenVBand="0" w:oddHBand="0" w:evenHBand="1" w:firstRowFirstColumn="0" w:firstRowLastColumn="0" w:lastRowFirstColumn="0" w:lastRowLastColumn="0"/>
          <w:trHeight w:val="332"/>
        </w:trPr>
        <w:tc>
          <w:tcPr>
            <w:tcW w:w="2461" w:type="dxa"/>
            <w:hideMark/>
          </w:tcPr>
          <w:p w14:paraId="3BC0F4E7"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 xml:space="preserve">Relatives of Digna Ochoa </w:t>
            </w:r>
          </w:p>
        </w:tc>
        <w:tc>
          <w:tcPr>
            <w:tcW w:w="2480" w:type="dxa"/>
            <w:hideMark/>
          </w:tcPr>
          <w:p w14:paraId="74800DF8"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Mexico</w:t>
            </w:r>
          </w:p>
        </w:tc>
        <w:tc>
          <w:tcPr>
            <w:tcW w:w="2041" w:type="dxa"/>
          </w:tcPr>
          <w:p w14:paraId="6FA4CAF1"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Contentious case</w:t>
            </w:r>
          </w:p>
        </w:tc>
        <w:tc>
          <w:tcPr>
            <w:tcW w:w="2358" w:type="dxa"/>
            <w:hideMark/>
          </w:tcPr>
          <w:p w14:paraId="200A7677"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April 26 and 27, 2021</w:t>
            </w:r>
          </w:p>
        </w:tc>
      </w:tr>
      <w:tr w:rsidR="001D3A5D" w:rsidRPr="00524435" w14:paraId="2A4481D9" w14:textId="77777777" w:rsidTr="00F756FC">
        <w:trPr>
          <w:cnfStyle w:val="000000100000" w:firstRow="0" w:lastRow="0" w:firstColumn="0" w:lastColumn="0" w:oddVBand="0" w:evenVBand="0" w:oddHBand="1" w:evenHBand="0" w:firstRowFirstColumn="0" w:firstRowLastColumn="0" w:lastRowFirstColumn="0" w:lastRowLastColumn="0"/>
          <w:trHeight w:val="80"/>
        </w:trPr>
        <w:tc>
          <w:tcPr>
            <w:tcW w:w="2461" w:type="dxa"/>
            <w:hideMark/>
          </w:tcPr>
          <w:p w14:paraId="6A4AEDD6"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 xml:space="preserve">Julien </w:t>
            </w:r>
            <w:proofErr w:type="spellStart"/>
            <w:r w:rsidRPr="00524435">
              <w:rPr>
                <w:rFonts w:ascii="Cambria" w:hAnsi="Cambria"/>
                <w:color w:val="000000"/>
                <w:sz w:val="20"/>
              </w:rPr>
              <w:t>Grisonas</w:t>
            </w:r>
            <w:proofErr w:type="spellEnd"/>
            <w:r w:rsidRPr="00524435">
              <w:rPr>
                <w:rFonts w:ascii="Cambria" w:hAnsi="Cambria"/>
                <w:color w:val="000000"/>
                <w:sz w:val="20"/>
              </w:rPr>
              <w:t xml:space="preserve"> at al</w:t>
            </w:r>
          </w:p>
        </w:tc>
        <w:tc>
          <w:tcPr>
            <w:tcW w:w="2480" w:type="dxa"/>
            <w:hideMark/>
          </w:tcPr>
          <w:p w14:paraId="5793131E"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Argentina</w:t>
            </w:r>
          </w:p>
        </w:tc>
        <w:tc>
          <w:tcPr>
            <w:tcW w:w="2041" w:type="dxa"/>
          </w:tcPr>
          <w:p w14:paraId="405140B6"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Contentious case</w:t>
            </w:r>
          </w:p>
        </w:tc>
        <w:tc>
          <w:tcPr>
            <w:tcW w:w="2358" w:type="dxa"/>
            <w:hideMark/>
          </w:tcPr>
          <w:p w14:paraId="082C65A8"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May 10 and 11, 2021</w:t>
            </w:r>
          </w:p>
        </w:tc>
      </w:tr>
      <w:tr w:rsidR="001D3A5D" w:rsidRPr="00524435" w14:paraId="269182E9" w14:textId="77777777" w:rsidTr="00F756FC">
        <w:trPr>
          <w:cnfStyle w:val="000000010000" w:firstRow="0" w:lastRow="0" w:firstColumn="0" w:lastColumn="0" w:oddVBand="0" w:evenVBand="0" w:oddHBand="0" w:evenHBand="1" w:firstRowFirstColumn="0" w:firstRowLastColumn="0" w:lastRowFirstColumn="0" w:lastRowLastColumn="0"/>
          <w:trHeight w:val="341"/>
        </w:trPr>
        <w:tc>
          <w:tcPr>
            <w:tcW w:w="2461" w:type="dxa"/>
            <w:hideMark/>
          </w:tcPr>
          <w:p w14:paraId="213634EE"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 xml:space="preserve">Sandra </w:t>
            </w:r>
            <w:proofErr w:type="spellStart"/>
            <w:r w:rsidRPr="00524435">
              <w:rPr>
                <w:rFonts w:ascii="Cambria" w:hAnsi="Cambria"/>
                <w:color w:val="000000"/>
                <w:sz w:val="20"/>
              </w:rPr>
              <w:t>Pavez</w:t>
            </w:r>
            <w:proofErr w:type="spellEnd"/>
          </w:p>
        </w:tc>
        <w:tc>
          <w:tcPr>
            <w:tcW w:w="2480" w:type="dxa"/>
            <w:hideMark/>
          </w:tcPr>
          <w:p w14:paraId="379952CC"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Chile</w:t>
            </w:r>
          </w:p>
        </w:tc>
        <w:tc>
          <w:tcPr>
            <w:tcW w:w="2041" w:type="dxa"/>
          </w:tcPr>
          <w:p w14:paraId="100A28C4"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Contentious case</w:t>
            </w:r>
          </w:p>
        </w:tc>
        <w:tc>
          <w:tcPr>
            <w:tcW w:w="2358" w:type="dxa"/>
            <w:hideMark/>
          </w:tcPr>
          <w:p w14:paraId="70CA93B5"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May 12 and 13, 2021</w:t>
            </w:r>
          </w:p>
        </w:tc>
      </w:tr>
      <w:tr w:rsidR="001D3A5D" w:rsidRPr="00524435" w14:paraId="21C68C3F" w14:textId="77777777" w:rsidTr="00F756FC">
        <w:trPr>
          <w:cnfStyle w:val="000000100000" w:firstRow="0" w:lastRow="0" w:firstColumn="0" w:lastColumn="0" w:oddVBand="0" w:evenVBand="0" w:oddHBand="1" w:evenHBand="0" w:firstRowFirstColumn="0" w:firstRowLastColumn="0" w:lastRowFirstColumn="0" w:lastRowLastColumn="0"/>
          <w:trHeight w:val="341"/>
        </w:trPr>
        <w:tc>
          <w:tcPr>
            <w:tcW w:w="2461" w:type="dxa"/>
            <w:hideMark/>
          </w:tcPr>
          <w:p w14:paraId="3757FDBC"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 xml:space="preserve">Teachers in </w:t>
            </w:r>
            <w:proofErr w:type="spellStart"/>
            <w:r w:rsidRPr="00524435">
              <w:rPr>
                <w:rFonts w:ascii="Cambria" w:hAnsi="Cambria"/>
                <w:color w:val="000000"/>
                <w:sz w:val="20"/>
              </w:rPr>
              <w:t>Chanaral</w:t>
            </w:r>
            <w:proofErr w:type="spellEnd"/>
          </w:p>
        </w:tc>
        <w:tc>
          <w:tcPr>
            <w:tcW w:w="2480" w:type="dxa"/>
            <w:noWrap/>
            <w:hideMark/>
          </w:tcPr>
          <w:p w14:paraId="45ADEE03"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Chile</w:t>
            </w:r>
          </w:p>
        </w:tc>
        <w:tc>
          <w:tcPr>
            <w:tcW w:w="2041" w:type="dxa"/>
          </w:tcPr>
          <w:p w14:paraId="3C90C554"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Contentious case</w:t>
            </w:r>
          </w:p>
        </w:tc>
        <w:tc>
          <w:tcPr>
            <w:tcW w:w="2358" w:type="dxa"/>
            <w:hideMark/>
          </w:tcPr>
          <w:p w14:paraId="18EEF1FF"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May 31 and June 1, 2021</w:t>
            </w:r>
          </w:p>
        </w:tc>
      </w:tr>
      <w:tr w:rsidR="001D3A5D" w:rsidRPr="00524435" w14:paraId="74ED3A77" w14:textId="77777777" w:rsidTr="00F756FC">
        <w:trPr>
          <w:cnfStyle w:val="000000010000" w:firstRow="0" w:lastRow="0" w:firstColumn="0" w:lastColumn="0" w:oddVBand="0" w:evenVBand="0" w:oddHBand="0" w:evenHBand="1" w:firstRowFirstColumn="0" w:firstRowLastColumn="0" w:lastRowFirstColumn="0" w:lastRowLastColumn="0"/>
          <w:trHeight w:val="251"/>
        </w:trPr>
        <w:tc>
          <w:tcPr>
            <w:tcW w:w="2461" w:type="dxa"/>
            <w:hideMark/>
          </w:tcPr>
          <w:p w14:paraId="58FF00BC"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Santo Domingo Massacre</w:t>
            </w:r>
          </w:p>
        </w:tc>
        <w:tc>
          <w:tcPr>
            <w:tcW w:w="2480" w:type="dxa"/>
            <w:noWrap/>
            <w:hideMark/>
          </w:tcPr>
          <w:p w14:paraId="49CC20CF"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Colombia</w:t>
            </w:r>
          </w:p>
        </w:tc>
        <w:tc>
          <w:tcPr>
            <w:tcW w:w="2041" w:type="dxa"/>
          </w:tcPr>
          <w:p w14:paraId="37139059"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Supervision</w:t>
            </w:r>
          </w:p>
        </w:tc>
        <w:tc>
          <w:tcPr>
            <w:tcW w:w="2358" w:type="dxa"/>
            <w:hideMark/>
          </w:tcPr>
          <w:p w14:paraId="0495766F"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June 2, 2021</w:t>
            </w:r>
          </w:p>
        </w:tc>
      </w:tr>
      <w:tr w:rsidR="001D3A5D" w:rsidRPr="00524435" w14:paraId="402F08AB" w14:textId="77777777" w:rsidTr="00F756FC">
        <w:trPr>
          <w:cnfStyle w:val="000000100000" w:firstRow="0" w:lastRow="0" w:firstColumn="0" w:lastColumn="0" w:oddVBand="0" w:evenVBand="0" w:oddHBand="1" w:evenHBand="0" w:firstRowFirstColumn="0" w:firstRowLastColumn="0" w:lastRowFirstColumn="0" w:lastRowLastColumn="0"/>
          <w:trHeight w:val="251"/>
        </w:trPr>
        <w:tc>
          <w:tcPr>
            <w:tcW w:w="2461" w:type="dxa"/>
            <w:hideMark/>
          </w:tcPr>
          <w:p w14:paraId="4BE8E5A2"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FEMAPOR</w:t>
            </w:r>
          </w:p>
        </w:tc>
        <w:tc>
          <w:tcPr>
            <w:tcW w:w="2480" w:type="dxa"/>
            <w:noWrap/>
            <w:hideMark/>
          </w:tcPr>
          <w:p w14:paraId="40BE622D"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Peru</w:t>
            </w:r>
          </w:p>
        </w:tc>
        <w:tc>
          <w:tcPr>
            <w:tcW w:w="2041" w:type="dxa"/>
          </w:tcPr>
          <w:p w14:paraId="62C92885"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Contentious case</w:t>
            </w:r>
          </w:p>
        </w:tc>
        <w:tc>
          <w:tcPr>
            <w:tcW w:w="2358" w:type="dxa"/>
            <w:hideMark/>
          </w:tcPr>
          <w:p w14:paraId="5A245DCB"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June 7 and 8, 2021</w:t>
            </w:r>
          </w:p>
        </w:tc>
      </w:tr>
      <w:tr w:rsidR="001D3A5D" w:rsidRPr="00524435" w14:paraId="0007F844" w14:textId="77777777" w:rsidTr="00F756FC">
        <w:trPr>
          <w:cnfStyle w:val="000000010000" w:firstRow="0" w:lastRow="0" w:firstColumn="0" w:lastColumn="0" w:oddVBand="0" w:evenVBand="0" w:oddHBand="0" w:evenHBand="1" w:firstRowFirstColumn="0" w:firstRowLastColumn="0" w:lastRowFirstColumn="0" w:lastRowLastColumn="0"/>
          <w:trHeight w:val="540"/>
        </w:trPr>
        <w:tc>
          <w:tcPr>
            <w:tcW w:w="2461" w:type="dxa"/>
            <w:hideMark/>
          </w:tcPr>
          <w:p w14:paraId="676C4C61" w14:textId="77777777" w:rsidR="001D3A5D" w:rsidRPr="00524435" w:rsidRDefault="001D3A5D" w:rsidP="00F756FC">
            <w:pPr>
              <w:rPr>
                <w:rFonts w:ascii="Cambria" w:eastAsia="Times New Roman" w:hAnsi="Cambria" w:cs="Calibri"/>
                <w:color w:val="000000"/>
                <w:sz w:val="20"/>
                <w:szCs w:val="20"/>
              </w:rPr>
            </w:pPr>
            <w:proofErr w:type="spellStart"/>
            <w:r w:rsidRPr="00524435">
              <w:rPr>
                <w:rFonts w:ascii="Cambria" w:hAnsi="Cambria"/>
                <w:color w:val="000000"/>
                <w:sz w:val="20"/>
              </w:rPr>
              <w:t>Kaqchikel</w:t>
            </w:r>
            <w:proofErr w:type="spellEnd"/>
            <w:r w:rsidRPr="00524435">
              <w:rPr>
                <w:rFonts w:ascii="Cambria" w:hAnsi="Cambria"/>
                <w:color w:val="000000"/>
                <w:sz w:val="20"/>
              </w:rPr>
              <w:t xml:space="preserve"> Maya of </w:t>
            </w:r>
            <w:proofErr w:type="spellStart"/>
            <w:r w:rsidRPr="00524435">
              <w:rPr>
                <w:rFonts w:ascii="Cambria" w:hAnsi="Cambria"/>
                <w:color w:val="000000"/>
                <w:sz w:val="20"/>
              </w:rPr>
              <w:t>Sumpango</w:t>
            </w:r>
            <w:proofErr w:type="spellEnd"/>
            <w:r w:rsidRPr="00524435">
              <w:rPr>
                <w:rFonts w:ascii="Cambria" w:hAnsi="Cambria"/>
                <w:color w:val="000000"/>
                <w:sz w:val="20"/>
              </w:rPr>
              <w:t xml:space="preserve"> et al.</w:t>
            </w:r>
          </w:p>
        </w:tc>
        <w:tc>
          <w:tcPr>
            <w:tcW w:w="2480" w:type="dxa"/>
            <w:noWrap/>
            <w:hideMark/>
          </w:tcPr>
          <w:p w14:paraId="40BB1149"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Guatemala</w:t>
            </w:r>
          </w:p>
        </w:tc>
        <w:tc>
          <w:tcPr>
            <w:tcW w:w="2041" w:type="dxa"/>
          </w:tcPr>
          <w:p w14:paraId="6392F482"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Contentious case</w:t>
            </w:r>
          </w:p>
        </w:tc>
        <w:tc>
          <w:tcPr>
            <w:tcW w:w="2358" w:type="dxa"/>
            <w:hideMark/>
          </w:tcPr>
          <w:p w14:paraId="17BB1B03"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June 9 and 10, 2021</w:t>
            </w:r>
          </w:p>
        </w:tc>
      </w:tr>
      <w:tr w:rsidR="001D3A5D" w:rsidRPr="00524435" w14:paraId="0B0F78FB" w14:textId="77777777" w:rsidTr="00F756FC">
        <w:trPr>
          <w:cnfStyle w:val="000000100000" w:firstRow="0" w:lastRow="0" w:firstColumn="0" w:lastColumn="0" w:oddVBand="0" w:evenVBand="0" w:oddHBand="1" w:evenHBand="0" w:firstRowFirstColumn="0" w:firstRowLastColumn="0" w:lastRowFirstColumn="0" w:lastRowLastColumn="0"/>
          <w:trHeight w:val="170"/>
        </w:trPr>
        <w:tc>
          <w:tcPr>
            <w:tcW w:w="2461" w:type="dxa"/>
            <w:hideMark/>
          </w:tcPr>
          <w:p w14:paraId="4CCC08B1"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Urrutia Palace</w:t>
            </w:r>
          </w:p>
        </w:tc>
        <w:tc>
          <w:tcPr>
            <w:tcW w:w="2480" w:type="dxa"/>
            <w:hideMark/>
          </w:tcPr>
          <w:p w14:paraId="4A764CC9"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Ecuador</w:t>
            </w:r>
          </w:p>
        </w:tc>
        <w:tc>
          <w:tcPr>
            <w:tcW w:w="2041" w:type="dxa"/>
          </w:tcPr>
          <w:p w14:paraId="376CA45F"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Contentious case</w:t>
            </w:r>
          </w:p>
        </w:tc>
        <w:tc>
          <w:tcPr>
            <w:tcW w:w="2358" w:type="dxa"/>
            <w:hideMark/>
          </w:tcPr>
          <w:p w14:paraId="5DEA92D2"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June 14 and 15, 2021</w:t>
            </w:r>
          </w:p>
        </w:tc>
      </w:tr>
      <w:tr w:rsidR="001D3A5D" w:rsidRPr="00524435" w14:paraId="2001EE78" w14:textId="77777777" w:rsidTr="00F756FC">
        <w:trPr>
          <w:cnfStyle w:val="000000010000" w:firstRow="0" w:lastRow="0" w:firstColumn="0" w:lastColumn="0" w:oddVBand="0" w:evenVBand="0" w:oddHBand="0" w:evenHBand="1" w:firstRowFirstColumn="0" w:firstRowLastColumn="0" w:lastRowFirstColumn="0" w:lastRowLastColumn="0"/>
          <w:trHeight w:val="64"/>
        </w:trPr>
        <w:tc>
          <w:tcPr>
            <w:tcW w:w="2461" w:type="dxa"/>
            <w:hideMark/>
          </w:tcPr>
          <w:p w14:paraId="6BA0DDDE" w14:textId="77777777" w:rsidR="001D3A5D" w:rsidRPr="00524435" w:rsidRDefault="001D3A5D" w:rsidP="00F756FC">
            <w:pPr>
              <w:rPr>
                <w:rFonts w:ascii="Cambria" w:eastAsia="Times New Roman" w:hAnsi="Cambria" w:cs="Calibri"/>
                <w:color w:val="000000"/>
                <w:sz w:val="20"/>
                <w:szCs w:val="20"/>
              </w:rPr>
            </w:pPr>
            <w:proofErr w:type="spellStart"/>
            <w:r w:rsidRPr="00524435">
              <w:rPr>
                <w:rFonts w:ascii="Cambria" w:hAnsi="Cambria"/>
                <w:color w:val="000000"/>
                <w:sz w:val="20"/>
              </w:rPr>
              <w:t>Maidanik</w:t>
            </w:r>
            <w:proofErr w:type="spellEnd"/>
            <w:r w:rsidRPr="00524435">
              <w:rPr>
                <w:rFonts w:ascii="Cambria" w:hAnsi="Cambria"/>
                <w:color w:val="000000"/>
                <w:sz w:val="20"/>
              </w:rPr>
              <w:t xml:space="preserve"> at al</w:t>
            </w:r>
          </w:p>
        </w:tc>
        <w:tc>
          <w:tcPr>
            <w:tcW w:w="2480" w:type="dxa"/>
            <w:hideMark/>
          </w:tcPr>
          <w:p w14:paraId="156C7FB1"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Uruguay</w:t>
            </w:r>
          </w:p>
        </w:tc>
        <w:tc>
          <w:tcPr>
            <w:tcW w:w="2041" w:type="dxa"/>
          </w:tcPr>
          <w:p w14:paraId="7E6B6E75"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Contentious case</w:t>
            </w:r>
          </w:p>
        </w:tc>
        <w:tc>
          <w:tcPr>
            <w:tcW w:w="2358" w:type="dxa"/>
            <w:hideMark/>
          </w:tcPr>
          <w:p w14:paraId="7A797171"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June 16 and 17, 2021</w:t>
            </w:r>
          </w:p>
        </w:tc>
      </w:tr>
      <w:tr w:rsidR="001D3A5D" w:rsidRPr="00524435" w14:paraId="66C0F9C3" w14:textId="77777777" w:rsidTr="00F756FC">
        <w:trPr>
          <w:cnfStyle w:val="000000100000" w:firstRow="0" w:lastRow="0" w:firstColumn="0" w:lastColumn="0" w:oddVBand="0" w:evenVBand="0" w:oddHBand="1" w:evenHBand="0" w:firstRowFirstColumn="0" w:firstRowLastColumn="0" w:lastRowFirstColumn="0" w:lastRowLastColumn="0"/>
          <w:trHeight w:val="260"/>
        </w:trPr>
        <w:tc>
          <w:tcPr>
            <w:tcW w:w="2461" w:type="dxa"/>
            <w:hideMark/>
          </w:tcPr>
          <w:p w14:paraId="05263329"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Former employees of the Judicial Branch</w:t>
            </w:r>
          </w:p>
        </w:tc>
        <w:tc>
          <w:tcPr>
            <w:tcW w:w="2480" w:type="dxa"/>
            <w:hideMark/>
          </w:tcPr>
          <w:p w14:paraId="25855CE6"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Guatemala</w:t>
            </w:r>
          </w:p>
        </w:tc>
        <w:tc>
          <w:tcPr>
            <w:tcW w:w="2041" w:type="dxa"/>
          </w:tcPr>
          <w:p w14:paraId="0849B574"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Contentious case</w:t>
            </w:r>
          </w:p>
        </w:tc>
        <w:tc>
          <w:tcPr>
            <w:tcW w:w="2358" w:type="dxa"/>
            <w:hideMark/>
          </w:tcPr>
          <w:p w14:paraId="0EC2EB13"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June 22 and 23, 2021</w:t>
            </w:r>
          </w:p>
        </w:tc>
      </w:tr>
      <w:tr w:rsidR="001D3A5D" w:rsidRPr="00524435" w14:paraId="147147D8" w14:textId="77777777" w:rsidTr="00F756FC">
        <w:trPr>
          <w:cnfStyle w:val="000000010000" w:firstRow="0" w:lastRow="0" w:firstColumn="0" w:lastColumn="0" w:oddVBand="0" w:evenVBand="0" w:oddHBand="0" w:evenHBand="1" w:firstRowFirstColumn="0" w:firstRowLastColumn="0" w:lastRowFirstColumn="0" w:lastRowLastColumn="0"/>
          <w:trHeight w:val="71"/>
        </w:trPr>
        <w:tc>
          <w:tcPr>
            <w:tcW w:w="2461" w:type="dxa"/>
            <w:hideMark/>
          </w:tcPr>
          <w:p w14:paraId="143AA115"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Gomes Lund</w:t>
            </w:r>
          </w:p>
        </w:tc>
        <w:tc>
          <w:tcPr>
            <w:tcW w:w="2480" w:type="dxa"/>
            <w:hideMark/>
          </w:tcPr>
          <w:p w14:paraId="2842640B"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Brazil</w:t>
            </w:r>
          </w:p>
        </w:tc>
        <w:tc>
          <w:tcPr>
            <w:tcW w:w="2041" w:type="dxa"/>
          </w:tcPr>
          <w:p w14:paraId="1604C36E"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Supervision</w:t>
            </w:r>
          </w:p>
        </w:tc>
        <w:tc>
          <w:tcPr>
            <w:tcW w:w="2358" w:type="dxa"/>
            <w:hideMark/>
          </w:tcPr>
          <w:p w14:paraId="4FCA06BC"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June 24, 2021</w:t>
            </w:r>
          </w:p>
        </w:tc>
      </w:tr>
      <w:tr w:rsidR="001D3A5D" w:rsidRPr="00524435" w14:paraId="204BA9CE" w14:textId="77777777" w:rsidTr="00F756FC">
        <w:trPr>
          <w:cnfStyle w:val="000000100000" w:firstRow="0" w:lastRow="0" w:firstColumn="0" w:lastColumn="0" w:oddVBand="0" w:evenVBand="0" w:oddHBand="1" w:evenHBand="0" w:firstRowFirstColumn="0" w:firstRowLastColumn="0" w:lastRowFirstColumn="0" w:lastRowLastColumn="0"/>
          <w:trHeight w:val="64"/>
        </w:trPr>
        <w:tc>
          <w:tcPr>
            <w:tcW w:w="2461" w:type="dxa"/>
            <w:hideMark/>
          </w:tcPr>
          <w:p w14:paraId="58DDF25F"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 xml:space="preserve">Montero </w:t>
            </w:r>
            <w:proofErr w:type="spellStart"/>
            <w:r w:rsidRPr="00524435">
              <w:rPr>
                <w:rFonts w:ascii="Cambria" w:hAnsi="Cambria"/>
                <w:color w:val="000000"/>
                <w:sz w:val="20"/>
              </w:rPr>
              <w:t>Aranguren</w:t>
            </w:r>
            <w:proofErr w:type="spellEnd"/>
          </w:p>
        </w:tc>
        <w:tc>
          <w:tcPr>
            <w:tcW w:w="2480" w:type="dxa"/>
            <w:hideMark/>
          </w:tcPr>
          <w:p w14:paraId="55A81C99"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Venezuela</w:t>
            </w:r>
          </w:p>
        </w:tc>
        <w:tc>
          <w:tcPr>
            <w:tcW w:w="2041" w:type="dxa"/>
          </w:tcPr>
          <w:p w14:paraId="2D5DFD9D"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Supervision</w:t>
            </w:r>
          </w:p>
        </w:tc>
        <w:tc>
          <w:tcPr>
            <w:tcW w:w="2358" w:type="dxa"/>
            <w:hideMark/>
          </w:tcPr>
          <w:p w14:paraId="09D73652"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June 24, 2021</w:t>
            </w:r>
          </w:p>
        </w:tc>
      </w:tr>
      <w:tr w:rsidR="001D3A5D" w:rsidRPr="00524435" w14:paraId="731756CE" w14:textId="77777777" w:rsidTr="00F756FC">
        <w:trPr>
          <w:cnfStyle w:val="000000010000" w:firstRow="0" w:lastRow="0" w:firstColumn="0" w:lastColumn="0" w:oddVBand="0" w:evenVBand="0" w:oddHBand="0" w:evenHBand="1" w:firstRowFirstColumn="0" w:firstRowLastColumn="0" w:lastRowFirstColumn="0" w:lastRowLastColumn="0"/>
          <w:trHeight w:val="64"/>
        </w:trPr>
        <w:tc>
          <w:tcPr>
            <w:tcW w:w="2461" w:type="dxa"/>
            <w:hideMark/>
          </w:tcPr>
          <w:p w14:paraId="11BDF84A"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Herzog et al.</w:t>
            </w:r>
          </w:p>
        </w:tc>
        <w:tc>
          <w:tcPr>
            <w:tcW w:w="2480" w:type="dxa"/>
            <w:hideMark/>
          </w:tcPr>
          <w:p w14:paraId="3FEAE80E"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Brazil</w:t>
            </w:r>
          </w:p>
        </w:tc>
        <w:tc>
          <w:tcPr>
            <w:tcW w:w="2041" w:type="dxa"/>
          </w:tcPr>
          <w:p w14:paraId="31D52B44"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Supervision</w:t>
            </w:r>
          </w:p>
        </w:tc>
        <w:tc>
          <w:tcPr>
            <w:tcW w:w="2358" w:type="dxa"/>
            <w:hideMark/>
          </w:tcPr>
          <w:p w14:paraId="59E9A2CC"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June 24, 2021</w:t>
            </w:r>
          </w:p>
        </w:tc>
      </w:tr>
      <w:tr w:rsidR="001D3A5D" w:rsidRPr="00524435" w14:paraId="649D491F" w14:textId="77777777" w:rsidTr="00F756FC">
        <w:trPr>
          <w:cnfStyle w:val="000000100000" w:firstRow="0" w:lastRow="0" w:firstColumn="0" w:lastColumn="0" w:oddVBand="0" w:evenVBand="0" w:oddHBand="1" w:evenHBand="0" w:firstRowFirstColumn="0" w:firstRowLastColumn="0" w:lastRowFirstColumn="0" w:lastRowLastColumn="0"/>
          <w:trHeight w:val="224"/>
        </w:trPr>
        <w:tc>
          <w:tcPr>
            <w:tcW w:w="2461" w:type="dxa"/>
            <w:hideMark/>
          </w:tcPr>
          <w:p w14:paraId="616A0FD9" w14:textId="77777777" w:rsidR="001D3A5D" w:rsidRPr="00524435" w:rsidRDefault="001D3A5D" w:rsidP="00F756FC">
            <w:pPr>
              <w:rPr>
                <w:rFonts w:ascii="Cambria" w:eastAsia="Times New Roman" w:hAnsi="Cambria" w:cs="Calibri"/>
                <w:color w:val="000000"/>
                <w:sz w:val="20"/>
                <w:szCs w:val="20"/>
              </w:rPr>
            </w:pPr>
            <w:proofErr w:type="spellStart"/>
            <w:r w:rsidRPr="00524435">
              <w:rPr>
                <w:rFonts w:ascii="Cambria" w:hAnsi="Cambria"/>
                <w:color w:val="000000"/>
                <w:sz w:val="20"/>
              </w:rPr>
              <w:t>Heliodoro</w:t>
            </w:r>
            <w:proofErr w:type="spellEnd"/>
            <w:r w:rsidRPr="00524435">
              <w:rPr>
                <w:rFonts w:ascii="Cambria" w:hAnsi="Cambria"/>
                <w:color w:val="000000"/>
                <w:sz w:val="20"/>
              </w:rPr>
              <w:t xml:space="preserve"> Portugal</w:t>
            </w:r>
          </w:p>
        </w:tc>
        <w:tc>
          <w:tcPr>
            <w:tcW w:w="2480" w:type="dxa"/>
            <w:hideMark/>
          </w:tcPr>
          <w:p w14:paraId="3CEEF124"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Panama</w:t>
            </w:r>
          </w:p>
        </w:tc>
        <w:tc>
          <w:tcPr>
            <w:tcW w:w="2041" w:type="dxa"/>
          </w:tcPr>
          <w:p w14:paraId="35A5CED7"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Supervision</w:t>
            </w:r>
          </w:p>
        </w:tc>
        <w:tc>
          <w:tcPr>
            <w:tcW w:w="2358" w:type="dxa"/>
            <w:hideMark/>
          </w:tcPr>
          <w:p w14:paraId="34FCE300"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August 20, 2021</w:t>
            </w:r>
          </w:p>
        </w:tc>
      </w:tr>
      <w:tr w:rsidR="001D3A5D" w:rsidRPr="00524435" w14:paraId="741400D4" w14:textId="77777777" w:rsidTr="00F756FC">
        <w:trPr>
          <w:cnfStyle w:val="000000010000" w:firstRow="0" w:lastRow="0" w:firstColumn="0" w:lastColumn="0" w:oddVBand="0" w:evenVBand="0" w:oddHBand="0" w:evenHBand="1" w:firstRowFirstColumn="0" w:firstRowLastColumn="0" w:lastRowFirstColumn="0" w:lastRowLastColumn="0"/>
          <w:trHeight w:val="64"/>
        </w:trPr>
        <w:tc>
          <w:tcPr>
            <w:tcW w:w="2461" w:type="dxa"/>
            <w:hideMark/>
          </w:tcPr>
          <w:p w14:paraId="010B071A" w14:textId="0A2F51A0"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 xml:space="preserve">Favela Nova </w:t>
            </w:r>
            <w:proofErr w:type="spellStart"/>
            <w:r w:rsidR="002B0ECE" w:rsidRPr="00524435">
              <w:rPr>
                <w:rFonts w:ascii="Cambria" w:hAnsi="Cambria"/>
                <w:color w:val="000000"/>
                <w:sz w:val="20"/>
              </w:rPr>
              <w:t>Brazil</w:t>
            </w:r>
            <w:r w:rsidRPr="00524435">
              <w:rPr>
                <w:rFonts w:ascii="Cambria" w:hAnsi="Cambria"/>
                <w:color w:val="000000"/>
                <w:sz w:val="20"/>
              </w:rPr>
              <w:t>ia</w:t>
            </w:r>
            <w:proofErr w:type="spellEnd"/>
          </w:p>
        </w:tc>
        <w:tc>
          <w:tcPr>
            <w:tcW w:w="2480" w:type="dxa"/>
            <w:hideMark/>
          </w:tcPr>
          <w:p w14:paraId="1F1C25F2"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Brazil</w:t>
            </w:r>
          </w:p>
        </w:tc>
        <w:tc>
          <w:tcPr>
            <w:tcW w:w="2041" w:type="dxa"/>
          </w:tcPr>
          <w:p w14:paraId="15E882EB"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Supervision</w:t>
            </w:r>
          </w:p>
        </w:tc>
        <w:tc>
          <w:tcPr>
            <w:tcW w:w="2358" w:type="dxa"/>
            <w:hideMark/>
          </w:tcPr>
          <w:p w14:paraId="13F333B9"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August 20, 2021</w:t>
            </w:r>
          </w:p>
        </w:tc>
      </w:tr>
      <w:tr w:rsidR="001D3A5D" w:rsidRPr="00524435" w14:paraId="6E7C1832" w14:textId="77777777" w:rsidTr="00F756FC">
        <w:trPr>
          <w:cnfStyle w:val="000000100000" w:firstRow="0" w:lastRow="0" w:firstColumn="0" w:lastColumn="0" w:oddVBand="0" w:evenVBand="0" w:oddHBand="1" w:evenHBand="0" w:firstRowFirstColumn="0" w:firstRowLastColumn="0" w:lastRowFirstColumn="0" w:lastRowLastColumn="0"/>
          <w:trHeight w:val="116"/>
        </w:trPr>
        <w:tc>
          <w:tcPr>
            <w:tcW w:w="2461" w:type="dxa"/>
            <w:hideMark/>
          </w:tcPr>
          <w:p w14:paraId="3E70CB8D"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Plan de Sanchez massacre</w:t>
            </w:r>
          </w:p>
        </w:tc>
        <w:tc>
          <w:tcPr>
            <w:tcW w:w="2480" w:type="dxa"/>
            <w:hideMark/>
          </w:tcPr>
          <w:p w14:paraId="083DAC21"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Guatemala</w:t>
            </w:r>
          </w:p>
        </w:tc>
        <w:tc>
          <w:tcPr>
            <w:tcW w:w="2041" w:type="dxa"/>
          </w:tcPr>
          <w:p w14:paraId="4101218A"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Supervision</w:t>
            </w:r>
          </w:p>
        </w:tc>
        <w:tc>
          <w:tcPr>
            <w:tcW w:w="2358" w:type="dxa"/>
            <w:hideMark/>
          </w:tcPr>
          <w:p w14:paraId="637083C5"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October 14, 2021</w:t>
            </w:r>
          </w:p>
        </w:tc>
      </w:tr>
      <w:tr w:rsidR="001D3A5D" w:rsidRPr="00524435" w14:paraId="2137A24C" w14:textId="77777777" w:rsidTr="00F756FC">
        <w:trPr>
          <w:cnfStyle w:val="000000010000" w:firstRow="0" w:lastRow="0" w:firstColumn="0" w:lastColumn="0" w:oddVBand="0" w:evenVBand="0" w:oddHBand="0" w:evenHBand="1" w:firstRowFirstColumn="0" w:firstRowLastColumn="0" w:lastRowFirstColumn="0" w:lastRowLastColumn="0"/>
          <w:trHeight w:val="64"/>
        </w:trPr>
        <w:tc>
          <w:tcPr>
            <w:tcW w:w="2461" w:type="dxa"/>
            <w:hideMark/>
          </w:tcPr>
          <w:p w14:paraId="29B92B21"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Río Negro massacres</w:t>
            </w:r>
          </w:p>
        </w:tc>
        <w:tc>
          <w:tcPr>
            <w:tcW w:w="2480" w:type="dxa"/>
            <w:hideMark/>
          </w:tcPr>
          <w:p w14:paraId="3FB8594B"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Guatemala</w:t>
            </w:r>
          </w:p>
        </w:tc>
        <w:tc>
          <w:tcPr>
            <w:tcW w:w="2041" w:type="dxa"/>
          </w:tcPr>
          <w:p w14:paraId="1E4676F4"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Supervision</w:t>
            </w:r>
          </w:p>
        </w:tc>
        <w:tc>
          <w:tcPr>
            <w:tcW w:w="2358" w:type="dxa"/>
            <w:hideMark/>
          </w:tcPr>
          <w:p w14:paraId="104E26EA" w14:textId="77777777" w:rsidR="001D3A5D" w:rsidRPr="00524435" w:rsidRDefault="001D3A5D" w:rsidP="00F756FC">
            <w:pPr>
              <w:rPr>
                <w:rFonts w:ascii="Cambria" w:eastAsia="Times New Roman" w:hAnsi="Cambria" w:cs="Calibri"/>
                <w:color w:val="000000"/>
                <w:sz w:val="20"/>
                <w:szCs w:val="20"/>
              </w:rPr>
            </w:pPr>
            <w:r w:rsidRPr="00524435">
              <w:rPr>
                <w:rFonts w:ascii="Cambria" w:hAnsi="Cambria"/>
                <w:color w:val="000000"/>
                <w:sz w:val="20"/>
              </w:rPr>
              <w:t>October 14, 2021</w:t>
            </w:r>
          </w:p>
        </w:tc>
      </w:tr>
    </w:tbl>
    <w:p w14:paraId="6E59F56E" w14:textId="3C462098" w:rsidR="001D3A5D" w:rsidRPr="00524435" w:rsidRDefault="001D3A5D" w:rsidP="001D3A5D">
      <w:pPr>
        <w:pStyle w:val="NoSpacing"/>
        <w:jc w:val="both"/>
        <w:rPr>
          <w:rFonts w:ascii="Cambria" w:hAnsi="Cambria" w:cs="Calibri"/>
          <w:b/>
          <w:sz w:val="20"/>
          <w:szCs w:val="20"/>
        </w:rPr>
      </w:pPr>
    </w:p>
    <w:p w14:paraId="695D330B" w14:textId="77777777" w:rsidR="0084187A" w:rsidRPr="00524435" w:rsidRDefault="0084187A" w:rsidP="001D3A5D">
      <w:pPr>
        <w:pStyle w:val="NoSpacing"/>
        <w:jc w:val="both"/>
        <w:rPr>
          <w:rFonts w:ascii="Cambria" w:hAnsi="Cambria" w:cs="Calibri"/>
          <w:b/>
          <w:sz w:val="20"/>
          <w:szCs w:val="20"/>
        </w:rPr>
      </w:pPr>
    </w:p>
    <w:p w14:paraId="0C29632B" w14:textId="77777777" w:rsidR="001D3A5D" w:rsidRPr="00524435" w:rsidRDefault="001D3A5D" w:rsidP="00E82663">
      <w:pPr>
        <w:pStyle w:val="Heading3"/>
      </w:pPr>
      <w:r w:rsidRPr="00524435">
        <w:t xml:space="preserve">Submission of written observations in pending cases and in cases of supervision of compliance with the sentence </w:t>
      </w:r>
    </w:p>
    <w:p w14:paraId="2ACE12CF" w14:textId="793B49CC" w:rsidR="001D3A5D" w:rsidRPr="00524435" w:rsidRDefault="001D3A5D" w:rsidP="001332F8">
      <w:pPr>
        <w:pStyle w:val="ListParagraph"/>
      </w:pPr>
      <w:r w:rsidRPr="00524435">
        <w:t xml:space="preserve">During 2021, the IACHR submitted </w:t>
      </w:r>
      <w:r w:rsidR="00B9743E" w:rsidRPr="00524435">
        <w:t>223</w:t>
      </w:r>
      <w:r w:rsidRPr="00524435">
        <w:t xml:space="preserve"> written observations to the Inter-American Court</w:t>
      </w:r>
      <w:r w:rsidR="000B5747" w:rsidRPr="00524435">
        <w:t xml:space="preserve"> related to </w:t>
      </w:r>
      <w:r w:rsidRPr="00524435">
        <w:t>pending cases and observations on the supervision of the sentence in accordance with Article 69 of the Rules of Procedure of the Inter-American Court.</w:t>
      </w:r>
    </w:p>
    <w:p w14:paraId="5E62C4F6" w14:textId="0FD70865" w:rsidR="004559E9" w:rsidRPr="00524435" w:rsidRDefault="004559E9">
      <w:pPr>
        <w:rPr>
          <w:rFonts w:ascii="Cambria" w:eastAsia="MS Mincho" w:hAnsi="Cambria" w:cs="Arial"/>
          <w:sz w:val="20"/>
          <w:szCs w:val="20"/>
          <w:lang w:eastAsia="ja-JP"/>
        </w:rPr>
      </w:pPr>
      <w:r w:rsidRPr="00524435">
        <w:rPr>
          <w:rFonts w:ascii="Cambria" w:hAnsi="Cambria"/>
          <w:sz w:val="20"/>
          <w:szCs w:val="20"/>
        </w:rPr>
        <w:br w:type="page"/>
      </w:r>
    </w:p>
    <w:p w14:paraId="65FB96A0" w14:textId="77777777" w:rsidR="00842401" w:rsidRPr="00524435" w:rsidRDefault="00842401" w:rsidP="00842401">
      <w:pPr>
        <w:pStyle w:val="Body"/>
        <w:jc w:val="both"/>
        <w:rPr>
          <w:rFonts w:ascii="Cambria" w:eastAsia="Cambria" w:hAnsi="Cambria" w:cs="Cambria"/>
          <w:b/>
          <w:bCs/>
          <w:sz w:val="20"/>
          <w:szCs w:val="20"/>
        </w:rPr>
      </w:pPr>
    </w:p>
    <w:p w14:paraId="7FCE6870" w14:textId="77777777" w:rsidR="00842401" w:rsidRPr="00524435" w:rsidRDefault="00842401" w:rsidP="00143FFA">
      <w:pPr>
        <w:pStyle w:val="Heading1"/>
      </w:pPr>
      <w:r w:rsidRPr="00524435">
        <w:t>Precautionary Measures</w:t>
      </w:r>
    </w:p>
    <w:p w14:paraId="2C899B9B" w14:textId="77777777" w:rsidR="00842401" w:rsidRPr="00524435" w:rsidRDefault="00842401" w:rsidP="00143FFA">
      <w:pPr>
        <w:pStyle w:val="ListParagraph"/>
        <w:rPr>
          <w:rFonts w:eastAsia="Cambria" w:cs="Cambria"/>
        </w:rPr>
      </w:pPr>
      <w:r w:rsidRPr="00524435">
        <w:t xml:space="preserve">The precautionary measures mechanism is provided for in Article 25 of the IACHR Rules of Procedure. The Rules of Procedure state that in serious and urgent situations, the Commission “may, on its own initiative or at the request of a party, request that a State adopt precautionary measures” to prevent irreparable harm to persons or to the subject matter of a pending request or case before the organs of the Inter-American system. Such measures may be collective in nature to prevent irreparable harm to persons or groups of persons, </w:t>
      </w:r>
      <w:proofErr w:type="gramStart"/>
      <w:r w:rsidRPr="00524435">
        <w:t>as long as</w:t>
      </w:r>
      <w:proofErr w:type="gramEnd"/>
      <w:r w:rsidRPr="00524435">
        <w:t xml:space="preserve"> they may be determined or determinable according to the Rules of Procedure., The number of precautionary measures granted, therefore, does not reflect the number of persons protected through their adoption. Furthermore, the Rules of Procedure state that the granting of such measures and their adoption by the State shall not constitute a prejudgment on the violation of any right protected by the American Convention on Human Rights and other applicable instruments. </w:t>
      </w:r>
    </w:p>
    <w:p w14:paraId="36235A28" w14:textId="054F6B78" w:rsidR="00842401" w:rsidRPr="00524435" w:rsidRDefault="00842401" w:rsidP="00143FFA">
      <w:pPr>
        <w:pStyle w:val="ListParagraph"/>
      </w:pPr>
      <w:r w:rsidRPr="00524435">
        <w:t xml:space="preserve">In 2021, the Commission received 1185 new requests for precautionary measures, achieving a legal review of 98% of them for the year, in compliance with the requirements in Article 25 of the Rules of Procedure. This indicates that the IACHR has in real time maintained the optimal review of the requests for measures achieved in 2018, with an initial review of more than 90% of the requests filed in a single year, guaranteeing a timelier response to persons requesting protection in the region. This is the result of the action taken by the IACHR to reduce procedural delays and improve transparency, ranging from </w:t>
      </w:r>
      <w:hyperlink r:id="rId193" w:history="1">
        <w:r w:rsidRPr="00524435">
          <w:rPr>
            <w:rStyle w:val="Hyperlink0"/>
            <w:lang w:val="en-US"/>
          </w:rPr>
          <w:t>Resolution 3/2018 “</w:t>
        </w:r>
        <w:r w:rsidRPr="00524435">
          <w:t xml:space="preserve">Strengthening of the processing of </w:t>
        </w:r>
        <w:r w:rsidRPr="00524435">
          <w:rPr>
            <w:rStyle w:val="Hyperlink0"/>
            <w:lang w:val="en-US"/>
          </w:rPr>
          <w:t>,”</w:t>
        </w:r>
      </w:hyperlink>
      <w:r w:rsidRPr="00524435">
        <w:rPr>
          <w:rStyle w:val="Hyperlink0"/>
          <w:lang w:val="en-US"/>
        </w:rPr>
        <w:t>”</w:t>
      </w:r>
      <w:r w:rsidRPr="00524435">
        <w:rPr>
          <w:rStyle w:val="None"/>
        </w:rPr>
        <w:t xml:space="preserve"> to the strengthening of internal capacities through a substantial increase in the technical and administrative team, to the development of new methodologies and instruments for the review and supervision of the precautionary measures indicated below.</w:t>
      </w:r>
    </w:p>
    <w:p w14:paraId="05468A00" w14:textId="77777777" w:rsidR="00842401" w:rsidRPr="00524435" w:rsidRDefault="00842401" w:rsidP="00143FFA">
      <w:pPr>
        <w:pStyle w:val="ListParagraph"/>
      </w:pPr>
      <w:r w:rsidRPr="00524435">
        <w:rPr>
          <w:rStyle w:val="None"/>
        </w:rPr>
        <w:t>Implementation of Resolution 3/2018 strengthened the initial methodology for reviewing the requests received, which are assessed daily</w:t>
      </w:r>
      <w:r w:rsidRPr="00524435">
        <w:rPr>
          <w:rStyle w:val="None"/>
          <w:rFonts w:eastAsia="Cambria" w:cs="Cambria"/>
          <w:u w:val="single"/>
          <w:vertAlign w:val="superscript"/>
        </w:rPr>
        <w:footnoteReference w:id="149"/>
      </w:r>
      <w:r w:rsidRPr="00524435">
        <w:rPr>
          <w:rStyle w:val="None"/>
        </w:rPr>
        <w:t xml:space="preserve"> and classified </w:t>
      </w:r>
      <w:proofErr w:type="gramStart"/>
      <w:r w:rsidRPr="00524435">
        <w:rPr>
          <w:rStyle w:val="None"/>
        </w:rPr>
        <w:t>on the basis of</w:t>
      </w:r>
      <w:proofErr w:type="gramEnd"/>
      <w:r w:rsidRPr="00524435">
        <w:rPr>
          <w:rStyle w:val="None"/>
        </w:rPr>
        <w:t xml:space="preserve"> the available information on their respective urgency. This enables the IACHR to prioritize the requests with greater grounds for urgency, pursuant to Article 25 of the Rules of Procedure, facilitating more expeditious decisions on matters with greater indicators of risk. In this same vein, it streamlined the procedures for matters or claims that the Commission has consistently and historically not considered subject to scrutiny under the precautionary measures mechanism, as they would involve an in-depth review of a matter proper to the petition and case system. In addition, application of Resolution 3/2018 permitted the Commission, in certain situations, to inactivate requests for precautionary measures in which no response had been received from the petitioners by the deadlines stipulated</w:t>
      </w:r>
      <w:r w:rsidRPr="00524435">
        <w:rPr>
          <w:rStyle w:val="None"/>
          <w:rFonts w:eastAsia="Cambria" w:cs="Cambria"/>
          <w:vertAlign w:val="superscript"/>
        </w:rPr>
        <w:footnoteReference w:id="150"/>
      </w:r>
      <w:r w:rsidRPr="00524435">
        <w:rPr>
          <w:rStyle w:val="None"/>
        </w:rPr>
        <w:t>.</w:t>
      </w:r>
    </w:p>
    <w:p w14:paraId="7E28D0D4" w14:textId="77777777" w:rsidR="00842401" w:rsidRPr="00524435" w:rsidRDefault="00842401" w:rsidP="00143FFA">
      <w:pPr>
        <w:pStyle w:val="ListParagraph"/>
      </w:pPr>
      <w:r w:rsidRPr="00524435">
        <w:rPr>
          <w:rStyle w:val="None"/>
        </w:rPr>
        <w:t>As a result of these efforts under its Strategic Plan, in 2021 the Commission granted 73 precautionary measures and decided to extend 33 measures in force, through 73 Resolutions.</w:t>
      </w:r>
      <w:r w:rsidRPr="00524435">
        <w:t xml:space="preserve"> The IACHR granted an average of 6.16%</w:t>
      </w:r>
      <w:r w:rsidRPr="00524435">
        <w:rPr>
          <w:rStyle w:val="None"/>
        </w:rPr>
        <w:t xml:space="preserve"> of the precautionary measures reviewed that year. Some 34.9% of the precautionary measures granted or extended that year took less than 90 days after the request to process, and of these, 27% were granted the same month as the request</w:t>
      </w:r>
      <w:r w:rsidRPr="00524435">
        <w:rPr>
          <w:rStyle w:val="None"/>
          <w:rFonts w:eastAsia="Cambria" w:cs="Cambria"/>
          <w:vertAlign w:val="superscript"/>
        </w:rPr>
        <w:footnoteReference w:id="151"/>
      </w:r>
      <w:r w:rsidRPr="00524435">
        <w:rPr>
          <w:rStyle w:val="None"/>
        </w:rPr>
        <w:t>. It should be noted that a significant portion of the precautionary measures granted were in reference to Nicaragua (50.68%), whose human rights crisis is being closely monitored by the IACHR. In addition, a Resolution concerning 20 persons diagnosed with multiple sclerosis in Venezuela accounted for 63.63% of the extensions granted, as it included a group of 21 precautionary measures.</w:t>
      </w:r>
    </w:p>
    <w:p w14:paraId="7EE04302" w14:textId="77777777" w:rsidR="00842401" w:rsidRPr="00524435" w:rsidRDefault="00842401" w:rsidP="00143FFA">
      <w:pPr>
        <w:pStyle w:val="ListParagraph"/>
        <w:rPr>
          <w:rStyle w:val="None"/>
        </w:rPr>
      </w:pPr>
      <w:r w:rsidRPr="00524435">
        <w:rPr>
          <w:rStyle w:val="None"/>
        </w:rPr>
        <w:lastRenderedPageBreak/>
        <w:t xml:space="preserve">In 2021, the IACHR also achieved significant results in the review of requests for precautionary measures pending a final decision based on the chronological criterion. In this regard, the processing was concluded, with a final decision rendered on the precautionary measures requested prior to 2018, inclusive. It should be noted in 2018, a record number of requests for precautionary measures were filed: 1,625. </w:t>
      </w:r>
      <w:r w:rsidRPr="00524435">
        <w:rPr>
          <w:rStyle w:val="None"/>
          <w:u w:val="single"/>
        </w:rPr>
        <w:t>This was a historic achievement for the IACHR and strengthens its institutional capacity for timely decisions.</w:t>
      </w:r>
    </w:p>
    <w:p w14:paraId="7C779670" w14:textId="3A956F83" w:rsidR="00842401" w:rsidRPr="00524435" w:rsidRDefault="00842401" w:rsidP="00143FFA">
      <w:pPr>
        <w:pStyle w:val="ListParagraph"/>
      </w:pPr>
      <w:r w:rsidRPr="00524435">
        <w:rPr>
          <w:rStyle w:val="None"/>
        </w:rPr>
        <w:t xml:space="preserve">In </w:t>
      </w:r>
      <w:r w:rsidRPr="00524435">
        <w:rPr>
          <w:rStyle w:val="None"/>
          <w:color w:val="333333"/>
          <w:shd w:val="clear" w:color="auto" w:fill="FFFFFF"/>
        </w:rPr>
        <w:t xml:space="preserve">2021, the Commission has monitored the implementation of </w:t>
      </w:r>
      <w:hyperlink r:id="rId194" w:history="1">
        <w:r w:rsidRPr="00524435">
          <w:rPr>
            <w:rStyle w:val="Hyperlink"/>
            <w:shd w:val="clear" w:color="auto" w:fill="FFFFFF"/>
          </w:rPr>
          <w:t>Resolution 2/2020 "Strengthening of the Monitoring of Precautionary Measures in Force,"</w:t>
        </w:r>
      </w:hyperlink>
      <w:r w:rsidRPr="00524435">
        <w:rPr>
          <w:rStyle w:val="None"/>
          <w:color w:val="333333"/>
          <w:shd w:val="clear" w:color="auto" w:fill="FFFFFF"/>
        </w:rPr>
        <w:t xml:space="preserve"> with a view to increasing effective monitoring pursuant to Article 25 of the Rules of Procedure, for which it created the</w:t>
      </w:r>
      <w:hyperlink r:id="rId195" w:history="1">
        <w:r w:rsidRPr="00524435">
          <w:t xml:space="preserve"> </w:t>
        </w:r>
        <w:r w:rsidRPr="00524435">
          <w:rPr>
            <w:rStyle w:val="Hyperlink"/>
            <w:shd w:val="clear" w:color="auto" w:fill="FFFFFF"/>
          </w:rPr>
          <w:t>Special Protection Oversight Group (GESP, Spanish acronym) on</w:t>
        </w:r>
      </w:hyperlink>
      <w:r w:rsidRPr="00524435">
        <w:rPr>
          <w:rStyle w:val="None"/>
          <w:color w:val="333333"/>
          <w:shd w:val="clear" w:color="auto" w:fill="FFFFFF"/>
        </w:rPr>
        <w:t xml:space="preserve"> in 2020, with full-time staff. This Resolution is part of the IACHR plan to foster greater transparency in its work, indicating what tools it will use to continue monitoring precautionary measures – among them, the possibility of making on-site visits for greater outreach to the parties, the drafting of follow-up resolutions as part of the </w:t>
      </w:r>
      <w:r w:rsidRPr="00524435">
        <w:rPr>
          <w:rStyle w:val="None"/>
        </w:rPr>
        <w:t xml:space="preserve">IACHR’s actions for their effective implementation, and an increase in bilateral and working meetings.  Likewise, pursuant to Article 25, Section 9, </w:t>
      </w:r>
      <w:r w:rsidRPr="00524435">
        <w:rPr>
          <w:rStyle w:val="None"/>
          <w:color w:val="333333"/>
          <w:shd w:val="clear" w:color="auto" w:fill="FFFFFF"/>
        </w:rPr>
        <w:t>the IACHR reported on the review it was conducting of its portfolios to identify matters that no longer met the regulatory requirements with the information available</w:t>
      </w:r>
      <w:r w:rsidRPr="00524435">
        <w:rPr>
          <w:rStyle w:val="None"/>
          <w:rFonts w:eastAsia="Cambria" w:cs="Cambria"/>
          <w:color w:val="333333"/>
          <w:shd w:val="clear" w:color="auto" w:fill="FFFFFF"/>
          <w:vertAlign w:val="superscript"/>
        </w:rPr>
        <w:footnoteReference w:id="152"/>
      </w:r>
      <w:r w:rsidRPr="00524435">
        <w:rPr>
          <w:rStyle w:val="None"/>
          <w:color w:val="333333"/>
          <w:shd w:val="clear" w:color="auto" w:fill="FFFFFF"/>
        </w:rPr>
        <w:t>. This purpose of this initiative is to keep the portfolio focused on matters that meet the regulatory requirements and therefore require the IACHR’s due attention.</w:t>
      </w:r>
    </w:p>
    <w:p w14:paraId="12D34A7D" w14:textId="77777777" w:rsidR="00842401" w:rsidRPr="00524435" w:rsidRDefault="00842401" w:rsidP="00143FFA">
      <w:pPr>
        <w:pStyle w:val="ListParagraph"/>
      </w:pPr>
      <w:r w:rsidRPr="00524435">
        <w:rPr>
          <w:rStyle w:val="None"/>
        </w:rPr>
        <w:t>In 2021, the IACHR adopted four follow-up resolution based on the criteria set in Resolution No. 2/2020, which could include the persistence of risk factors, lack of a response by the State, or the identification of implementation challenges that merit a statement by the Commission.</w:t>
      </w:r>
    </w:p>
    <w:p w14:paraId="4EDD645E" w14:textId="77777777" w:rsidR="00842401" w:rsidRPr="00524435" w:rsidRDefault="00842401" w:rsidP="00143FFA">
      <w:pPr>
        <w:pStyle w:val="ListParagraph"/>
      </w:pPr>
      <w:r w:rsidRPr="00524435">
        <w:rPr>
          <w:rStyle w:val="None"/>
        </w:rPr>
        <w:t xml:space="preserve">Similarly, in 2021, the IACHR decided to lift 40 existing precautionary measures on inactive matters, with the loss of the object [of the measures], or in general, those in which risk factors to support their continuation in force were not verified. As indicated in Article 25 of the Rules of Procedure, decisions to lift precautionary measures are rendered through reasoned resolutions. In particular, the following factors are considered: </w:t>
      </w:r>
      <w:proofErr w:type="spellStart"/>
      <w:r w:rsidRPr="00524435">
        <w:rPr>
          <w:rStyle w:val="None"/>
        </w:rPr>
        <w:t>i</w:t>
      </w:r>
      <w:proofErr w:type="spellEnd"/>
      <w:r w:rsidRPr="00524435">
        <w:rPr>
          <w:rStyle w:val="None"/>
        </w:rPr>
        <w:t>) the existence or persistence of the risk; ii) whether it has varied throughout the implementation of the precautionary measure; iii) the effectiveness of the measures adopted by the State; iv) mitigation of the risk; v) whether the beneficiaries still reside or have a presence in the State in question; vi) inactivity or lack of response by the [beneficiaries’] representatives to IACHR requests for information, such that the Commissions lacks information justifying continuation of the precautionary measures – this latter, as part of its strategy to keep the portfolio more focused on matters whose level of risk demands special attention from the IACHR.</w:t>
      </w:r>
    </w:p>
    <w:p w14:paraId="1E604484" w14:textId="77777777" w:rsidR="00842401" w:rsidRPr="00524435" w:rsidRDefault="00842401" w:rsidP="00143FFA">
      <w:pPr>
        <w:pStyle w:val="ListParagraph"/>
      </w:pPr>
      <w:r w:rsidRPr="00524435">
        <w:rPr>
          <w:rStyle w:val="None"/>
        </w:rPr>
        <w:t>Furthermore, the Strategy for Strengthening of the Monitoring of Precautionary Measures in Force has enabled the IACHR to exchange more than 620 monitoring communications with States and representatives requesting specific information to supervise the implementation of such measures and to hold 3 public hearings in regard to 8 precautionary measures,</w:t>
      </w:r>
      <w:r w:rsidRPr="00524435">
        <w:rPr>
          <w:rStyle w:val="FootnoteReference"/>
        </w:rPr>
        <w:footnoteReference w:id="153"/>
      </w:r>
      <w:r w:rsidRPr="00524435">
        <w:rPr>
          <w:rStyle w:val="None"/>
        </w:rPr>
        <w:t xml:space="preserve"> 36 working meetings, and 29 bilateral meetings with the parties to a precautionary measure in force, which were on matters related to indigenous peoples; Afro-descendants; women’s rights; human rights defenders; children; migrants; economic, social, cultural, and environmental rights, etc. </w:t>
      </w:r>
    </w:p>
    <w:p w14:paraId="6E3131AD" w14:textId="77777777" w:rsidR="00842401" w:rsidRPr="00524435" w:rsidRDefault="00842401" w:rsidP="00143FFA">
      <w:pPr>
        <w:pStyle w:val="ListParagraph"/>
      </w:pPr>
      <w:r w:rsidRPr="00524435">
        <w:rPr>
          <w:rStyle w:val="None"/>
        </w:rPr>
        <w:t xml:space="preserve">Furthermore, given the </w:t>
      </w:r>
      <w:proofErr w:type="gramStart"/>
      <w:r w:rsidRPr="00524435">
        <w:rPr>
          <w:rStyle w:val="None"/>
        </w:rPr>
        <w:t>particular circumstances</w:t>
      </w:r>
      <w:proofErr w:type="gramEnd"/>
      <w:r w:rsidRPr="00524435">
        <w:rPr>
          <w:rStyle w:val="None"/>
        </w:rPr>
        <w:t xml:space="preserve"> in 2021 due to the COVID-19 pandemic, four Periods of Sessions were held 100% virtually. In the working meetings, the parties provided information on progress and challenges in implementing the measures, and compliance with the measures granted by the </w:t>
      </w:r>
      <w:r w:rsidRPr="00524435">
        <w:rPr>
          <w:rStyle w:val="None"/>
        </w:rPr>
        <w:lastRenderedPageBreak/>
        <w:t xml:space="preserve">IACHR was urged. The Commission also held 11 portfolio meetings with the States of Bolivia, Chile, Costa Rica, Dominican Republic, Ecuador, Guatemala, Mexico Panama, </w:t>
      </w:r>
      <w:proofErr w:type="gramStart"/>
      <w:r w:rsidRPr="00524435">
        <w:rPr>
          <w:rStyle w:val="None"/>
        </w:rPr>
        <w:t>Peru</w:t>
      </w:r>
      <w:proofErr w:type="gramEnd"/>
      <w:r w:rsidRPr="00524435">
        <w:rPr>
          <w:rStyle w:val="None"/>
        </w:rPr>
        <w:t xml:space="preserve"> and the United States.</w:t>
      </w:r>
    </w:p>
    <w:p w14:paraId="704B9CC0" w14:textId="77777777" w:rsidR="00842401" w:rsidRPr="00524435" w:rsidRDefault="00842401" w:rsidP="00143FFA">
      <w:pPr>
        <w:pStyle w:val="ListParagraph"/>
      </w:pPr>
      <w:r w:rsidRPr="00524435">
        <w:rPr>
          <w:rStyle w:val="None"/>
        </w:rPr>
        <w:t>In 2021, the Commission deliberated on 979 matters, providing continuity for clearing the portfolio of requests pending a definitive decision. Furthermore, in 2021, given the continuing COVID</w:t>
      </w:r>
      <w:r w:rsidRPr="00524435">
        <w:rPr>
          <w:rStyle w:val="None"/>
        </w:rPr>
        <w:noBreakHyphen/>
        <w:t>19 pandemic, the Commission conducted an initial review of 100% of the requests related to the pandemic and rendered a final decision on 438 requests for precautionary measures filed between 2020 and 2021. Of these, 2 precautionary measures were granted in 2021 in reference to the States of Brazil and Argentina.</w:t>
      </w:r>
    </w:p>
    <w:p w14:paraId="1FC968F7" w14:textId="77777777" w:rsidR="00842401" w:rsidRPr="00524435" w:rsidRDefault="00842401" w:rsidP="00143FFA">
      <w:pPr>
        <w:pStyle w:val="ListParagraph"/>
        <w:rPr>
          <w:rStyle w:val="None"/>
        </w:rPr>
      </w:pPr>
      <w:r w:rsidRPr="00524435">
        <w:rPr>
          <w:rStyle w:val="None"/>
        </w:rPr>
        <w:t xml:space="preserve">Concerning IACHR action before the Inter-American Court of Human Rights on provisional measures in 2021, the Commission presented 80 legal briefs and participated in 7 hearings on provisional measures. It also submitted one new request for precautionary measures </w:t>
      </w:r>
      <w:proofErr w:type="gramStart"/>
      <w:r w:rsidRPr="00524435">
        <w:rPr>
          <w:rStyle w:val="None"/>
        </w:rPr>
        <w:t>with regard to</w:t>
      </w:r>
      <w:proofErr w:type="gramEnd"/>
      <w:r w:rsidRPr="00524435">
        <w:rPr>
          <w:rStyle w:val="None"/>
        </w:rPr>
        <w:t xml:space="preserve"> opposition figures detained in Nicaragua, three requests for the extension of measure in force, and another in regard to the community of Santa </w:t>
      </w:r>
      <w:proofErr w:type="spellStart"/>
      <w:r w:rsidRPr="00524435">
        <w:rPr>
          <w:rStyle w:val="None"/>
        </w:rPr>
        <w:t>Fé</w:t>
      </w:r>
      <w:proofErr w:type="spellEnd"/>
      <w:r w:rsidRPr="00524435">
        <w:rPr>
          <w:rStyle w:val="None"/>
        </w:rPr>
        <w:t xml:space="preserve">, </w:t>
      </w:r>
      <w:proofErr w:type="spellStart"/>
      <w:r w:rsidRPr="00524435">
        <w:rPr>
          <w:rStyle w:val="None"/>
        </w:rPr>
        <w:t>Miskitus</w:t>
      </w:r>
      <w:proofErr w:type="spellEnd"/>
      <w:r w:rsidRPr="00524435">
        <w:rPr>
          <w:rStyle w:val="None"/>
        </w:rPr>
        <w:t>, all in reference to Nicaragua.</w:t>
      </w:r>
    </w:p>
    <w:p w14:paraId="0CCC7EE9" w14:textId="77777777" w:rsidR="00842401" w:rsidRPr="00524435" w:rsidRDefault="00842401" w:rsidP="00143FFA">
      <w:pPr>
        <w:pStyle w:val="ListParagraph"/>
      </w:pPr>
      <w:r w:rsidRPr="00524435">
        <w:rPr>
          <w:rStyle w:val="None"/>
        </w:rPr>
        <w:t xml:space="preserve">To lend greater transparency to the precautionary measures mechanism and disseminate information on its consolidated practice, the IACHR published an </w:t>
      </w:r>
      <w:hyperlink r:id="rId196">
        <w:r w:rsidRPr="00524435">
          <w:rPr>
            <w:rStyle w:val="Hyperlink"/>
          </w:rPr>
          <w:t>Informative Brochure on Precautionary Measures,</w:t>
        </w:r>
      </w:hyperlink>
      <w:r w:rsidRPr="00524435">
        <w:rPr>
          <w:rStyle w:val="None"/>
        </w:rPr>
        <w:t xml:space="preserve"> in the four official languages of the OAS, providing more detailed information on how to request a precautionary measure in a question-and-answer format to guide and support persons requesting precautionary measures. The Informative Brochure also details the flow of requests for precautionary measures and provides information on the monitoring of precautionary measures in force. The Commission also published information on </w:t>
      </w:r>
      <w:hyperlink r:id="rId197">
        <w:r w:rsidRPr="00524435">
          <w:rPr>
            <w:rStyle w:val="Hyperlink"/>
          </w:rPr>
          <w:t xml:space="preserve">time frames and extensions in the precautionary </w:t>
        </w:r>
        <w:proofErr w:type="gramStart"/>
        <w:r w:rsidRPr="00524435">
          <w:rPr>
            <w:rStyle w:val="Hyperlink"/>
          </w:rPr>
          <w:t>measures</w:t>
        </w:r>
        <w:proofErr w:type="gramEnd"/>
        <w:r w:rsidRPr="00524435">
          <w:rPr>
            <w:rStyle w:val="Hyperlink"/>
          </w:rPr>
          <w:t xml:space="preserve"> mechanism</w:t>
        </w:r>
      </w:hyperlink>
      <w:r w:rsidRPr="00524435">
        <w:rPr>
          <w:rStyle w:val="None"/>
        </w:rPr>
        <w:t>.</w:t>
      </w:r>
      <w:r w:rsidRPr="00524435">
        <w:rPr>
          <w:rStyle w:val="None"/>
          <w:sz w:val="18"/>
          <w:szCs w:val="18"/>
        </w:rPr>
        <w:t xml:space="preserve"> </w:t>
      </w:r>
    </w:p>
    <w:p w14:paraId="1C2D6672" w14:textId="77777777" w:rsidR="00842401" w:rsidRPr="00524435" w:rsidRDefault="00842401" w:rsidP="00143FFA">
      <w:pPr>
        <w:pStyle w:val="ListParagraph"/>
        <w:rPr>
          <w:rFonts w:eastAsia="Cambria" w:cs="Cambria"/>
          <w:color w:val="000000" w:themeColor="text1"/>
        </w:rPr>
      </w:pPr>
      <w:r w:rsidRPr="00524435">
        <w:rPr>
          <w:rStyle w:val="None"/>
        </w:rPr>
        <w:t xml:space="preserve">Likewise, the IACHR kept the section of its </w:t>
      </w:r>
      <w:hyperlink r:id="rId198" w:history="1">
        <w:r w:rsidRPr="00524435">
          <w:rPr>
            <w:rStyle w:val="Hyperlink"/>
          </w:rPr>
          <w:t>website on precautionary measures</w:t>
        </w:r>
      </w:hyperlink>
      <w:r w:rsidRPr="00524435">
        <w:t xml:space="preserve"> up to date</w:t>
      </w:r>
      <w:r w:rsidRPr="00524435">
        <w:rPr>
          <w:rStyle w:val="None"/>
        </w:rPr>
        <w:t xml:space="preserve">, publishing the resolutions adopted in the available translations and updating its </w:t>
      </w:r>
      <w:hyperlink r:id="rId199" w:history="1">
        <w:r w:rsidRPr="00524435">
          <w:rPr>
            <w:rStyle w:val="Hyperlink0"/>
            <w:lang w:val="en-US"/>
          </w:rPr>
          <w:t>Interactive Map of Precautionary Measures granted since 2013</w:t>
        </w:r>
      </w:hyperlink>
      <w:r w:rsidRPr="00524435">
        <w:rPr>
          <w:rStyle w:val="None"/>
        </w:rPr>
        <w:t xml:space="preserve">. In 2021, the IACHR also reported on the status of certain precautionary measures through the production and dissemination of informative videos and press releases. </w:t>
      </w:r>
      <w:hyperlink r:id="rId200" w:history="1">
        <w:r w:rsidRPr="00524435">
          <w:rPr>
            <w:rStyle w:val="Link"/>
          </w:rPr>
          <w:t>TV CIDH</w:t>
        </w:r>
      </w:hyperlink>
      <w:r w:rsidRPr="00524435">
        <w:rPr>
          <w:rStyle w:val="Link"/>
        </w:rPr>
        <w:t xml:space="preserve"> </w:t>
      </w:r>
      <w:r w:rsidRPr="00524435">
        <w:rPr>
          <w:rStyle w:val="None"/>
        </w:rPr>
        <w:t xml:space="preserve">also broadcast new videos </w:t>
      </w:r>
      <w:proofErr w:type="gramStart"/>
      <w:r w:rsidRPr="00524435">
        <w:rPr>
          <w:rStyle w:val="None"/>
        </w:rPr>
        <w:t>on the situation of</w:t>
      </w:r>
      <w:proofErr w:type="gramEnd"/>
      <w:r w:rsidRPr="00524435">
        <w:rPr>
          <w:rStyle w:val="None"/>
        </w:rPr>
        <w:t xml:space="preserve"> persons benefitting from precautionary measures, such as MC </w:t>
      </w:r>
      <w:r w:rsidRPr="00524435">
        <w:t xml:space="preserve">405-09 and MC 112-26 </w:t>
      </w:r>
      <w:r w:rsidRPr="00524435">
        <w:rPr>
          <w:rStyle w:val="Link"/>
        </w:rPr>
        <w:t xml:space="preserve">Berta </w:t>
      </w:r>
      <w:proofErr w:type="spellStart"/>
      <w:r w:rsidRPr="00524435">
        <w:rPr>
          <w:rStyle w:val="Link"/>
        </w:rPr>
        <w:t>Cáceres</w:t>
      </w:r>
      <w:proofErr w:type="spellEnd"/>
      <w:r w:rsidRPr="00524435">
        <w:rPr>
          <w:rStyle w:val="Link"/>
        </w:rPr>
        <w:t xml:space="preserve"> (Honduras)</w:t>
      </w:r>
      <w:r w:rsidRPr="00524435">
        <w:rPr>
          <w:rStyle w:val="None"/>
        </w:rPr>
        <w:t xml:space="preserve">, MC 888-19 Public Penitentiary Jorge Santana (Brazil), and MC 51-15 Wayuu Indigenous People (Colombia) and MC 882-17 </w:t>
      </w:r>
      <w:proofErr w:type="spellStart"/>
      <w:r w:rsidRPr="00524435">
        <w:rPr>
          <w:rStyle w:val="None"/>
        </w:rPr>
        <w:t>Tsotsil</w:t>
      </w:r>
      <w:proofErr w:type="spellEnd"/>
      <w:r w:rsidRPr="00524435">
        <w:rPr>
          <w:rStyle w:val="None"/>
        </w:rPr>
        <w:t xml:space="preserve"> indigenous communities from </w:t>
      </w:r>
      <w:proofErr w:type="spellStart"/>
      <w:r w:rsidRPr="00524435">
        <w:rPr>
          <w:rStyle w:val="None"/>
        </w:rPr>
        <w:t>Chalchihuitán</w:t>
      </w:r>
      <w:proofErr w:type="spellEnd"/>
      <w:r w:rsidRPr="00524435">
        <w:rPr>
          <w:rStyle w:val="None"/>
        </w:rPr>
        <w:t xml:space="preserve"> and </w:t>
      </w:r>
      <w:proofErr w:type="spellStart"/>
      <w:r w:rsidRPr="00524435">
        <w:rPr>
          <w:rStyle w:val="None"/>
        </w:rPr>
        <w:t>Chenalhó</w:t>
      </w:r>
      <w:proofErr w:type="spellEnd"/>
      <w:r w:rsidRPr="00524435">
        <w:rPr>
          <w:rStyle w:val="None"/>
        </w:rPr>
        <w:t xml:space="preserve"> (Mexico). The IACHR also participated in 10 trainings on precautionary measures together with civil society organizations and social leaders in the region.</w:t>
      </w:r>
    </w:p>
    <w:p w14:paraId="14BFE6ED" w14:textId="77777777" w:rsidR="00842401" w:rsidRPr="00524435" w:rsidRDefault="00842401" w:rsidP="00143FFA">
      <w:pPr>
        <w:pStyle w:val="ListParagraph"/>
        <w:rPr>
          <w:rStyle w:val="None"/>
          <w:rFonts w:eastAsia="Cambria" w:cs="Cambria"/>
        </w:rPr>
      </w:pPr>
      <w:r w:rsidRPr="00524435">
        <w:rPr>
          <w:rStyle w:val="None"/>
        </w:rPr>
        <w:t xml:space="preserve">The following details the 115 resolutions on precautionary measures adopted in 2021, with 73 measures granted, 33 current measures extended, and 39 measures lifted completely, one measure lifted partially, and six measures in which a follow-up resolution was issued, in 2021. It also indicates the time it took to process the requests, the working meetings held, and the proceedings before the Inter-American Court in relation to provisional measures. </w:t>
      </w:r>
    </w:p>
    <w:p w14:paraId="210ADED4" w14:textId="6E6EBD2D" w:rsidR="00842401" w:rsidRPr="00524435" w:rsidRDefault="00842401" w:rsidP="006C496D">
      <w:pPr>
        <w:pStyle w:val="Heading3"/>
        <w:numPr>
          <w:ilvl w:val="0"/>
          <w:numId w:val="43"/>
        </w:numPr>
        <w:ind w:left="1440" w:hanging="720"/>
      </w:pPr>
      <w:r w:rsidRPr="00524435">
        <w:rPr>
          <w:rStyle w:val="None"/>
        </w:rPr>
        <w:t>Resolutions adopted</w:t>
      </w:r>
    </w:p>
    <w:p w14:paraId="39131E7E" w14:textId="77777777" w:rsidR="00842401" w:rsidRPr="00524435" w:rsidRDefault="00842401" w:rsidP="00842401">
      <w:pPr>
        <w:pStyle w:val="Body"/>
        <w:jc w:val="both"/>
        <w:rPr>
          <w:rStyle w:val="None"/>
          <w:rFonts w:ascii="Cambria" w:eastAsia="Cambria" w:hAnsi="Cambria" w:cs="Cambria"/>
          <w:b/>
          <w:sz w:val="20"/>
          <w:szCs w:val="20"/>
        </w:rPr>
      </w:pPr>
      <w:r w:rsidRPr="00524435">
        <w:rPr>
          <w:rStyle w:val="None"/>
          <w:rFonts w:ascii="Cambria" w:hAnsi="Cambria"/>
          <w:b/>
          <w:sz w:val="20"/>
          <w:szCs w:val="20"/>
        </w:rPr>
        <w:t>ARGENTINA</w:t>
      </w:r>
    </w:p>
    <w:p w14:paraId="2D859972" w14:textId="77777777" w:rsidR="00842401" w:rsidRPr="00524435" w:rsidRDefault="00842401" w:rsidP="00842401">
      <w:pPr>
        <w:pStyle w:val="Body"/>
        <w:jc w:val="both"/>
        <w:rPr>
          <w:rStyle w:val="None"/>
          <w:rFonts w:ascii="Cambria" w:eastAsia="Cambria" w:hAnsi="Cambria" w:cs="Cambria"/>
          <w:b/>
          <w:sz w:val="20"/>
          <w:szCs w:val="20"/>
        </w:rPr>
      </w:pPr>
    </w:p>
    <w:p w14:paraId="795C83CD" w14:textId="77777777" w:rsidR="00842401" w:rsidRPr="00E42B49" w:rsidRDefault="00842401" w:rsidP="00EE2E94">
      <w:pPr>
        <w:pStyle w:val="Body"/>
        <w:rPr>
          <w:rStyle w:val="None"/>
          <w:rFonts w:ascii="Cambria" w:eastAsia="Cambria" w:hAnsi="Cambria" w:cs="Cambria"/>
          <w:b/>
          <w:sz w:val="20"/>
          <w:szCs w:val="20"/>
          <w:lang w:val="es-US"/>
        </w:rPr>
      </w:pPr>
      <w:proofErr w:type="spellStart"/>
      <w:r w:rsidRPr="00E42B49">
        <w:rPr>
          <w:rStyle w:val="None"/>
          <w:rFonts w:ascii="Cambria" w:hAnsi="Cambria"/>
          <w:b/>
          <w:sz w:val="20"/>
          <w:szCs w:val="20"/>
          <w:lang w:val="es-US"/>
        </w:rPr>
        <w:t>Resolution</w:t>
      </w:r>
      <w:proofErr w:type="spellEnd"/>
      <w:r w:rsidRPr="00E42B49">
        <w:rPr>
          <w:rStyle w:val="None"/>
          <w:rFonts w:ascii="Cambria" w:hAnsi="Cambria"/>
          <w:b/>
          <w:sz w:val="20"/>
          <w:szCs w:val="20"/>
          <w:lang w:val="es-US"/>
        </w:rPr>
        <w:t xml:space="preserve"> No. 23/21 (</w:t>
      </w:r>
      <w:proofErr w:type="gramStart"/>
      <w:r w:rsidRPr="00E42B49">
        <w:rPr>
          <w:rStyle w:val="None"/>
          <w:rFonts w:ascii="Cambria" w:hAnsi="Cambria"/>
          <w:b/>
          <w:sz w:val="20"/>
          <w:szCs w:val="20"/>
          <w:lang w:val="es-US"/>
        </w:rPr>
        <w:t>LIFTING</w:t>
      </w:r>
      <w:proofErr w:type="gramEnd"/>
      <w:r w:rsidRPr="00E42B49">
        <w:rPr>
          <w:rStyle w:val="None"/>
          <w:rFonts w:ascii="Cambria" w:hAnsi="Cambria"/>
          <w:b/>
          <w:sz w:val="20"/>
          <w:szCs w:val="20"/>
          <w:lang w:val="es-US"/>
        </w:rPr>
        <w:t>)</w:t>
      </w:r>
      <w:r w:rsidRPr="00E42B49">
        <w:rPr>
          <w:rStyle w:val="None"/>
          <w:rFonts w:ascii="Cambria" w:hAnsi="Cambria"/>
          <w:b/>
          <w:sz w:val="20"/>
          <w:szCs w:val="20"/>
          <w:lang w:val="es-US"/>
        </w:rPr>
        <w:br/>
        <w:t>MC 691-20 - Facundo José Astudillo Castro, Argentina</w:t>
      </w:r>
    </w:p>
    <w:p w14:paraId="6D39440F" w14:textId="77777777" w:rsidR="00842401" w:rsidRPr="00E42B49" w:rsidRDefault="00842401" w:rsidP="00842401">
      <w:pPr>
        <w:pStyle w:val="Body"/>
        <w:jc w:val="both"/>
        <w:rPr>
          <w:rStyle w:val="None"/>
          <w:rFonts w:ascii="Cambria" w:hAnsi="Cambria"/>
          <w:sz w:val="20"/>
          <w:szCs w:val="20"/>
          <w:lang w:val="es-US"/>
        </w:rPr>
      </w:pPr>
    </w:p>
    <w:p w14:paraId="48F4E591" w14:textId="77777777" w:rsidR="00842401" w:rsidRPr="00524435" w:rsidRDefault="00842401" w:rsidP="00000BF8">
      <w:pPr>
        <w:pStyle w:val="ListParagraph"/>
        <w:rPr>
          <w:rStyle w:val="None"/>
          <w:rFonts w:eastAsia="Cambria" w:cs="Cambria"/>
        </w:rPr>
      </w:pPr>
      <w:r w:rsidRPr="00524435">
        <w:rPr>
          <w:rStyle w:val="None"/>
        </w:rPr>
        <w:t xml:space="preserve">The Inter-American Commission on Human Rights (IACHR) decided to lift the current precautionary </w:t>
      </w:r>
      <w:r w:rsidRPr="00524435">
        <w:rPr>
          <w:rStyle w:val="ListParagraphChar"/>
        </w:rPr>
        <w:t>measures</w:t>
      </w:r>
      <w:r w:rsidRPr="00524435">
        <w:rPr>
          <w:rStyle w:val="None"/>
        </w:rPr>
        <w:t xml:space="preserve">, having identified the situation and whereabouts of Facundo José </w:t>
      </w:r>
      <w:proofErr w:type="spellStart"/>
      <w:r w:rsidRPr="00524435">
        <w:rPr>
          <w:rStyle w:val="None"/>
        </w:rPr>
        <w:t>Astudillo</w:t>
      </w:r>
      <w:proofErr w:type="spellEnd"/>
      <w:r w:rsidRPr="00524435">
        <w:rPr>
          <w:rStyle w:val="None"/>
        </w:rPr>
        <w:t xml:space="preserve"> Castro. Therefore, having determined the beneficiary’s whereabouts, the IACHR lamented the death of young Facundo José </w:t>
      </w:r>
      <w:proofErr w:type="spellStart"/>
      <w:r w:rsidRPr="00524435">
        <w:rPr>
          <w:rStyle w:val="None"/>
        </w:rPr>
        <w:t>Astudillo</w:t>
      </w:r>
      <w:proofErr w:type="spellEnd"/>
      <w:r w:rsidRPr="00524435">
        <w:rPr>
          <w:rStyle w:val="None"/>
        </w:rPr>
        <w:t xml:space="preserve"> Castro and, given the change in circumstances, found that the measures were now moot in the absence of the requirements of Article 25 of the Rules of Procedure.</w:t>
      </w:r>
    </w:p>
    <w:p w14:paraId="7617B7BA" w14:textId="77777777" w:rsidR="00842401" w:rsidRPr="00524435" w:rsidRDefault="00842401" w:rsidP="00842401">
      <w:pPr>
        <w:pStyle w:val="Body"/>
        <w:rPr>
          <w:rStyle w:val="None"/>
          <w:rFonts w:ascii="Cambria" w:hAnsi="Cambria"/>
          <w:b/>
          <w:sz w:val="20"/>
          <w:szCs w:val="20"/>
        </w:rPr>
      </w:pPr>
      <w:r w:rsidRPr="00524435">
        <w:rPr>
          <w:rStyle w:val="None"/>
          <w:rFonts w:ascii="Cambria" w:hAnsi="Cambria"/>
          <w:b/>
          <w:sz w:val="20"/>
          <w:szCs w:val="20"/>
        </w:rPr>
        <w:lastRenderedPageBreak/>
        <w:t>Resolution No. 32/21</w:t>
      </w:r>
      <w:r w:rsidRPr="00524435">
        <w:rPr>
          <w:rStyle w:val="None"/>
          <w:rFonts w:ascii="Cambria" w:hAnsi="Cambria"/>
          <w:b/>
          <w:sz w:val="20"/>
          <w:szCs w:val="20"/>
        </w:rPr>
        <w:br/>
        <w:t xml:space="preserve">MC 216-21 - 7 Pregnant </w:t>
      </w:r>
      <w:proofErr w:type="spellStart"/>
      <w:r w:rsidRPr="00524435">
        <w:rPr>
          <w:rStyle w:val="None"/>
          <w:rFonts w:ascii="Cambria" w:hAnsi="Cambria"/>
          <w:b/>
          <w:sz w:val="20"/>
          <w:szCs w:val="20"/>
        </w:rPr>
        <w:t>Wichí</w:t>
      </w:r>
      <w:proofErr w:type="spellEnd"/>
      <w:r w:rsidRPr="00524435">
        <w:rPr>
          <w:rStyle w:val="None"/>
          <w:rFonts w:ascii="Cambria" w:hAnsi="Cambria"/>
          <w:b/>
          <w:sz w:val="20"/>
          <w:szCs w:val="20"/>
        </w:rPr>
        <w:t xml:space="preserve"> Women, Argentina</w:t>
      </w:r>
    </w:p>
    <w:p w14:paraId="06F0426D" w14:textId="77777777" w:rsidR="00842401" w:rsidRPr="00524435" w:rsidRDefault="00842401" w:rsidP="00842401">
      <w:pPr>
        <w:pStyle w:val="Body"/>
        <w:jc w:val="both"/>
        <w:rPr>
          <w:rStyle w:val="None"/>
          <w:rFonts w:ascii="Cambria" w:hAnsi="Cambria"/>
          <w:sz w:val="20"/>
          <w:szCs w:val="20"/>
        </w:rPr>
      </w:pPr>
    </w:p>
    <w:p w14:paraId="4A30F9C8" w14:textId="77777777" w:rsidR="00842401" w:rsidRPr="00524435" w:rsidRDefault="00842401" w:rsidP="00000BF8">
      <w:pPr>
        <w:pStyle w:val="ListParagraph"/>
        <w:rPr>
          <w:rStyle w:val="None"/>
          <w:rFonts w:eastAsia="Cambria" w:cs="Cambria"/>
        </w:rPr>
      </w:pPr>
      <w:r w:rsidRPr="00524435">
        <w:rPr>
          <w:rStyle w:val="None"/>
        </w:rPr>
        <w:t xml:space="preserve">On April 16, 2021, the IACHR decided to grant precautionary measures on behalf of seven indigenous women who were going through pregnancy in hiding in the town of El </w:t>
      </w:r>
      <w:proofErr w:type="spellStart"/>
      <w:r w:rsidRPr="00524435">
        <w:rPr>
          <w:rStyle w:val="None"/>
        </w:rPr>
        <w:t>Potrillo</w:t>
      </w:r>
      <w:proofErr w:type="spellEnd"/>
      <w:r w:rsidRPr="00524435">
        <w:rPr>
          <w:rStyle w:val="None"/>
        </w:rPr>
        <w:t>, for fear of the authorities of Formosa Province, Argentina. As a result of this situation, they were unable to obtain the medical care they required for their pregnancy and upcoming delivery, putting them at serious and urgent risk of irreparable harm to their rights in Argentina. Therefore, pursuant to Article 25 of the Rules of Procedure, the Commission requested Argentina to: a) adopt the measures necessary to protect the right to life, personal integrity, and health of the beneficiaries – in particular, immediate measures to allow them access to adequate medical care in accordance with the applicable international standards. These measures should be adopted with the prior, voluntary, and informed consent of the beneficiaries and include a culturally and linguistically appropriate approach, taking their indigenous worldview into account and adopting a gender approach; and b) reach an agreement with the representatives and beneficiaries on the measures to adopt. The Commission also requested the petitioners to immediately provide any additional information in their possession on their collaboration with the State in the implementation of the precautionary measures.</w:t>
      </w:r>
    </w:p>
    <w:p w14:paraId="53EB519C" w14:textId="77777777" w:rsidR="00842401" w:rsidRPr="00524435" w:rsidRDefault="00842401" w:rsidP="00842401">
      <w:pPr>
        <w:pStyle w:val="Body"/>
        <w:rPr>
          <w:rStyle w:val="None"/>
          <w:rFonts w:ascii="Cambria" w:hAnsi="Cambria"/>
          <w:b/>
          <w:sz w:val="20"/>
          <w:szCs w:val="20"/>
        </w:rPr>
      </w:pPr>
      <w:r w:rsidRPr="00524435">
        <w:rPr>
          <w:rStyle w:val="None"/>
          <w:rFonts w:ascii="Cambria" w:hAnsi="Cambria"/>
          <w:b/>
          <w:sz w:val="20"/>
          <w:szCs w:val="20"/>
        </w:rPr>
        <w:t>Resolution No. 50/21 (LIFTING)</w:t>
      </w:r>
      <w:r w:rsidRPr="00524435">
        <w:rPr>
          <w:rStyle w:val="None"/>
          <w:rFonts w:ascii="Cambria" w:hAnsi="Cambria"/>
          <w:b/>
          <w:sz w:val="20"/>
          <w:szCs w:val="20"/>
        </w:rPr>
        <w:br/>
        <w:t xml:space="preserve">MC 216-21 - 7 Pregnant </w:t>
      </w:r>
      <w:proofErr w:type="spellStart"/>
      <w:r w:rsidRPr="00524435">
        <w:rPr>
          <w:rStyle w:val="None"/>
          <w:rFonts w:ascii="Cambria" w:hAnsi="Cambria"/>
          <w:b/>
          <w:sz w:val="20"/>
          <w:szCs w:val="20"/>
        </w:rPr>
        <w:t>Wichí</w:t>
      </w:r>
      <w:proofErr w:type="spellEnd"/>
      <w:r w:rsidRPr="00524435">
        <w:rPr>
          <w:rStyle w:val="None"/>
          <w:rFonts w:ascii="Cambria" w:hAnsi="Cambria"/>
          <w:b/>
          <w:sz w:val="20"/>
          <w:szCs w:val="20"/>
        </w:rPr>
        <w:t xml:space="preserve"> Women, Argentina</w:t>
      </w:r>
    </w:p>
    <w:p w14:paraId="05A6B35A" w14:textId="77777777" w:rsidR="00842401" w:rsidRPr="00524435" w:rsidRDefault="00842401" w:rsidP="00842401">
      <w:pPr>
        <w:pStyle w:val="Body"/>
        <w:jc w:val="both"/>
        <w:rPr>
          <w:rStyle w:val="None"/>
          <w:rFonts w:ascii="Cambria" w:hAnsi="Cambria"/>
          <w:sz w:val="20"/>
          <w:szCs w:val="20"/>
        </w:rPr>
      </w:pPr>
    </w:p>
    <w:p w14:paraId="673B49D3" w14:textId="77777777" w:rsidR="00842401" w:rsidRPr="00524435" w:rsidRDefault="00842401" w:rsidP="00000BF8">
      <w:pPr>
        <w:pStyle w:val="ListParagraph"/>
        <w:rPr>
          <w:rStyle w:val="None"/>
          <w:rFonts w:eastAsia="Cambria" w:cs="Cambria"/>
        </w:rPr>
      </w:pPr>
      <w:r w:rsidRPr="00524435">
        <w:rPr>
          <w:rStyle w:val="None"/>
        </w:rPr>
        <w:t xml:space="preserve">The Inter-American Commission on Human Rights (IACHR) decided to lift the current precautionary measures. When evaluating the requirements of Article 25 of the Rules of Procedure, the IACHR deemed that the facts </w:t>
      </w:r>
      <w:proofErr w:type="gramStart"/>
      <w:r w:rsidRPr="00524435">
        <w:rPr>
          <w:rStyle w:val="None"/>
        </w:rPr>
        <w:t>in regard to</w:t>
      </w:r>
      <w:proofErr w:type="gramEnd"/>
      <w:r w:rsidRPr="00524435">
        <w:rPr>
          <w:rStyle w:val="None"/>
        </w:rPr>
        <w:t xml:space="preserve"> the seven beneficiaries had substantially changed since the Commission had reviewed them to grant the current precautionary measures, since six of them had received medical care and were no longer pregnant, and the last one would be receiving medical care. The IACHR likewise deemed that it had no grounds to grant precautionary measures on behalf of six other women proposed as beneficiaries. The IACHR welcomed the action taken by the State to implement the current precautionary measures.</w:t>
      </w:r>
    </w:p>
    <w:p w14:paraId="688C2474" w14:textId="77777777" w:rsidR="00842401" w:rsidRPr="00524435" w:rsidRDefault="00842401" w:rsidP="00EE2E94">
      <w:pPr>
        <w:pStyle w:val="Body"/>
        <w:rPr>
          <w:rStyle w:val="None"/>
          <w:rFonts w:ascii="Cambria" w:hAnsi="Cambria"/>
          <w:b/>
          <w:sz w:val="20"/>
          <w:szCs w:val="20"/>
        </w:rPr>
      </w:pPr>
      <w:r w:rsidRPr="00524435">
        <w:rPr>
          <w:rStyle w:val="None"/>
          <w:rFonts w:ascii="Cambria" w:hAnsi="Cambria"/>
          <w:b/>
          <w:sz w:val="20"/>
          <w:szCs w:val="20"/>
        </w:rPr>
        <w:t>BELIZE</w:t>
      </w:r>
    </w:p>
    <w:p w14:paraId="635F5932" w14:textId="77777777" w:rsidR="00842401" w:rsidRPr="00524435" w:rsidRDefault="00842401" w:rsidP="00EE2E94">
      <w:pPr>
        <w:pStyle w:val="Body"/>
        <w:rPr>
          <w:rStyle w:val="None"/>
          <w:rFonts w:ascii="Cambria" w:hAnsi="Cambria"/>
          <w:b/>
          <w:sz w:val="20"/>
          <w:szCs w:val="20"/>
        </w:rPr>
      </w:pPr>
    </w:p>
    <w:p w14:paraId="5BEDB1F2" w14:textId="77777777" w:rsidR="00842401" w:rsidRPr="00524435" w:rsidRDefault="00842401" w:rsidP="00842401">
      <w:pPr>
        <w:pStyle w:val="Body"/>
        <w:rPr>
          <w:rStyle w:val="None"/>
          <w:rFonts w:ascii="Cambria" w:hAnsi="Cambria"/>
          <w:b/>
          <w:sz w:val="20"/>
          <w:szCs w:val="20"/>
        </w:rPr>
      </w:pPr>
      <w:r w:rsidRPr="00524435">
        <w:rPr>
          <w:rStyle w:val="None"/>
          <w:rFonts w:ascii="Cambria" w:hAnsi="Cambria"/>
          <w:b/>
          <w:sz w:val="20"/>
          <w:szCs w:val="20"/>
        </w:rPr>
        <w:t>Resolution No. 51/21(LIFTING)</w:t>
      </w:r>
      <w:r w:rsidRPr="00524435">
        <w:rPr>
          <w:rStyle w:val="None"/>
          <w:rFonts w:ascii="Cambria" w:hAnsi="Cambria"/>
          <w:b/>
          <w:sz w:val="20"/>
          <w:szCs w:val="20"/>
        </w:rPr>
        <w:br/>
        <w:t>MC 155-13 - Caleb Orozco, Belize</w:t>
      </w:r>
    </w:p>
    <w:p w14:paraId="48D08880" w14:textId="77777777" w:rsidR="00842401" w:rsidRPr="00524435" w:rsidRDefault="00842401" w:rsidP="00842401">
      <w:pPr>
        <w:pStyle w:val="Body"/>
        <w:jc w:val="both"/>
        <w:rPr>
          <w:rStyle w:val="None"/>
          <w:rFonts w:ascii="Cambria" w:hAnsi="Cambria"/>
          <w:sz w:val="20"/>
          <w:szCs w:val="20"/>
        </w:rPr>
      </w:pPr>
    </w:p>
    <w:p w14:paraId="03116C72" w14:textId="77777777" w:rsidR="00842401" w:rsidRPr="00524435" w:rsidRDefault="00842401" w:rsidP="00000BF8">
      <w:pPr>
        <w:pStyle w:val="ListParagraph"/>
        <w:rPr>
          <w:rStyle w:val="None"/>
          <w:rFonts w:eastAsia="Cambria" w:cs="Cambria"/>
        </w:rPr>
      </w:pPr>
      <w:r w:rsidRPr="00524435">
        <w:rPr>
          <w:rStyle w:val="None"/>
        </w:rPr>
        <w:t xml:space="preserve">The Inter-American Commission on Human Rights (IACHR) decided to lift the current precautionary measures. On reviewing the status of the matter, Commission reported that it had not received any information from the parties in approximately nine years. </w:t>
      </w:r>
      <w:proofErr w:type="gramStart"/>
      <w:r w:rsidRPr="00524435">
        <w:rPr>
          <w:rStyle w:val="None"/>
        </w:rPr>
        <w:t>In particular, after</w:t>
      </w:r>
      <w:proofErr w:type="gramEnd"/>
      <w:r w:rsidRPr="00524435">
        <w:rPr>
          <w:rStyle w:val="None"/>
        </w:rPr>
        <w:t xml:space="preserve"> informing his representatives that it would proceed to review the appropriateness of the measures, it still had received no information from them. The IACHR reminded the parties that the State it must honor its respective obligations under the American Declaration regardless of the lifting of the current precautionary measures.</w:t>
      </w:r>
    </w:p>
    <w:p w14:paraId="4E7A1200" w14:textId="77777777" w:rsidR="00842401" w:rsidRPr="00524435" w:rsidRDefault="00842401" w:rsidP="00EE2E94">
      <w:pPr>
        <w:pStyle w:val="Body"/>
        <w:rPr>
          <w:rStyle w:val="None"/>
          <w:rFonts w:ascii="Cambria" w:hAnsi="Cambria"/>
          <w:b/>
          <w:sz w:val="20"/>
          <w:szCs w:val="20"/>
        </w:rPr>
      </w:pPr>
      <w:r w:rsidRPr="00524435">
        <w:rPr>
          <w:rStyle w:val="None"/>
          <w:rFonts w:ascii="Cambria" w:hAnsi="Cambria"/>
          <w:b/>
          <w:sz w:val="20"/>
          <w:szCs w:val="20"/>
        </w:rPr>
        <w:t>BRAZIL</w:t>
      </w:r>
    </w:p>
    <w:p w14:paraId="3C1179DF" w14:textId="77777777" w:rsidR="00842401" w:rsidRPr="00524435" w:rsidRDefault="00842401" w:rsidP="00EE2E94">
      <w:pPr>
        <w:pStyle w:val="Body"/>
        <w:rPr>
          <w:rStyle w:val="None"/>
          <w:rFonts w:ascii="Cambria" w:hAnsi="Cambria"/>
          <w:b/>
          <w:sz w:val="20"/>
          <w:szCs w:val="20"/>
        </w:rPr>
      </w:pPr>
    </w:p>
    <w:p w14:paraId="057D31C3" w14:textId="77777777" w:rsidR="00842401" w:rsidRPr="00524435" w:rsidRDefault="00842401" w:rsidP="00842401">
      <w:pPr>
        <w:pStyle w:val="Body"/>
        <w:rPr>
          <w:rStyle w:val="None"/>
          <w:rFonts w:ascii="Cambria" w:hAnsi="Cambria"/>
          <w:b/>
          <w:sz w:val="20"/>
          <w:szCs w:val="20"/>
        </w:rPr>
      </w:pPr>
      <w:r w:rsidRPr="00524435">
        <w:rPr>
          <w:rStyle w:val="None"/>
          <w:rFonts w:ascii="Cambria" w:hAnsi="Cambria"/>
          <w:b/>
          <w:sz w:val="20"/>
          <w:szCs w:val="20"/>
        </w:rPr>
        <w:t>Resolution No. 1/21</w:t>
      </w:r>
      <w:r w:rsidRPr="00524435">
        <w:rPr>
          <w:rStyle w:val="None"/>
          <w:rFonts w:ascii="Cambria" w:hAnsi="Cambria"/>
          <w:b/>
          <w:sz w:val="20"/>
          <w:szCs w:val="20"/>
        </w:rPr>
        <w:br/>
        <w:t xml:space="preserve">MC 754-20 – Members of the Guajajara and </w:t>
      </w:r>
      <w:proofErr w:type="spellStart"/>
      <w:r w:rsidRPr="00524435">
        <w:rPr>
          <w:rStyle w:val="None"/>
          <w:rFonts w:ascii="Cambria" w:hAnsi="Cambria"/>
          <w:b/>
          <w:sz w:val="20"/>
          <w:szCs w:val="20"/>
        </w:rPr>
        <w:t>Awá</w:t>
      </w:r>
      <w:proofErr w:type="spellEnd"/>
      <w:r w:rsidRPr="00524435">
        <w:rPr>
          <w:rStyle w:val="None"/>
          <w:rFonts w:ascii="Cambria" w:hAnsi="Cambria"/>
          <w:b/>
          <w:sz w:val="20"/>
          <w:szCs w:val="20"/>
        </w:rPr>
        <w:t xml:space="preserve"> Peoples of the </w:t>
      </w:r>
      <w:proofErr w:type="spellStart"/>
      <w:r w:rsidRPr="00524435">
        <w:rPr>
          <w:rStyle w:val="None"/>
          <w:rFonts w:ascii="Cambria" w:hAnsi="Cambria"/>
          <w:b/>
          <w:sz w:val="20"/>
          <w:szCs w:val="20"/>
        </w:rPr>
        <w:t>Araribóia</w:t>
      </w:r>
      <w:proofErr w:type="spellEnd"/>
      <w:r w:rsidRPr="00524435">
        <w:rPr>
          <w:rStyle w:val="None"/>
          <w:rFonts w:ascii="Cambria" w:hAnsi="Cambria"/>
          <w:b/>
          <w:sz w:val="20"/>
          <w:szCs w:val="20"/>
        </w:rPr>
        <w:t xml:space="preserve"> Indigenous Territory, Brazil</w:t>
      </w:r>
    </w:p>
    <w:p w14:paraId="2EEABFD6" w14:textId="77777777" w:rsidR="00842401" w:rsidRPr="00524435" w:rsidRDefault="00842401" w:rsidP="00842401">
      <w:pPr>
        <w:pStyle w:val="Body"/>
        <w:jc w:val="both"/>
        <w:rPr>
          <w:rStyle w:val="None"/>
          <w:rFonts w:ascii="Cambria" w:hAnsi="Cambria"/>
          <w:sz w:val="20"/>
          <w:szCs w:val="20"/>
        </w:rPr>
      </w:pPr>
    </w:p>
    <w:p w14:paraId="7ECE3ED8" w14:textId="77777777" w:rsidR="00842401" w:rsidRPr="00524435" w:rsidRDefault="00842401" w:rsidP="00000BF8">
      <w:pPr>
        <w:pStyle w:val="ListParagraph"/>
        <w:rPr>
          <w:rStyle w:val="None"/>
          <w:rFonts w:eastAsia="Cambria" w:cs="Cambria"/>
        </w:rPr>
      </w:pPr>
      <w:r w:rsidRPr="00524435">
        <w:rPr>
          <w:rStyle w:val="None"/>
        </w:rPr>
        <w:t xml:space="preserve">On January 4, 2021, the IACHR decided to grant precautionary measures on behalf of the members of the indigenous Guajajara and </w:t>
      </w:r>
      <w:proofErr w:type="spellStart"/>
      <w:r w:rsidRPr="00524435">
        <w:rPr>
          <w:rStyle w:val="None"/>
        </w:rPr>
        <w:t>Awá</w:t>
      </w:r>
      <w:proofErr w:type="spellEnd"/>
      <w:r w:rsidRPr="00524435">
        <w:rPr>
          <w:rStyle w:val="None"/>
        </w:rPr>
        <w:t xml:space="preserve"> Peoples of the </w:t>
      </w:r>
      <w:proofErr w:type="spellStart"/>
      <w:r w:rsidRPr="00524435">
        <w:rPr>
          <w:rStyle w:val="None"/>
        </w:rPr>
        <w:t>Araribóia</w:t>
      </w:r>
      <w:proofErr w:type="spellEnd"/>
      <w:r w:rsidRPr="00524435">
        <w:rPr>
          <w:rStyle w:val="None"/>
        </w:rPr>
        <w:t xml:space="preserve"> Indigenous Territory living in voluntary isolation. According to the request, the persons proposed as beneficiaries were at risk in the context of the COVID-19 pandemic, especially given their situation of </w:t>
      </w:r>
      <w:proofErr w:type="gramStart"/>
      <w:r w:rsidRPr="00524435">
        <w:rPr>
          <w:rStyle w:val="None"/>
        </w:rPr>
        <w:t>particular vulnerability</w:t>
      </w:r>
      <w:proofErr w:type="gramEnd"/>
      <w:r w:rsidRPr="00524435">
        <w:rPr>
          <w:rStyle w:val="None"/>
        </w:rPr>
        <w:t xml:space="preserve">, deficient health care, and the presence of unauthorized third parties in their territory. Therefore, pursuant to Article 25 of the IACHR Rules of Procedure, the Commission requested Brazil to: a) adopt the measures necessary to protect the right to health, life, and personal integrity of the members of the indigenous Guajajara and </w:t>
      </w:r>
      <w:proofErr w:type="spellStart"/>
      <w:r w:rsidRPr="00524435">
        <w:rPr>
          <w:rStyle w:val="None"/>
        </w:rPr>
        <w:t>Awá</w:t>
      </w:r>
      <w:proofErr w:type="spellEnd"/>
      <w:r w:rsidRPr="00524435">
        <w:rPr>
          <w:rStyle w:val="None"/>
        </w:rPr>
        <w:t xml:space="preserve"> Peoples of the </w:t>
      </w:r>
      <w:proofErr w:type="spellStart"/>
      <w:r w:rsidRPr="00524435">
        <w:rPr>
          <w:rStyle w:val="None"/>
        </w:rPr>
        <w:t>Araribóia</w:t>
      </w:r>
      <w:proofErr w:type="spellEnd"/>
      <w:r w:rsidRPr="00524435">
        <w:rPr>
          <w:rStyle w:val="None"/>
        </w:rPr>
        <w:t xml:space="preserve"> Indigenous Territory, implementing measures with an appropriate cultural approach to prevent the spread of COVID-19 and providing them with quality medical care that was adequate, available, accessible, and </w:t>
      </w:r>
      <w:r w:rsidRPr="00524435">
        <w:rPr>
          <w:rStyle w:val="None"/>
        </w:rPr>
        <w:lastRenderedPageBreak/>
        <w:t>acceptable, in accordance with the applicable international standards; b) reach an agreement with the beneficiaries and their representatives on the measures to adopt; and c) report on the action taken to investigate the events that had led to the granting of this precautionary measure and thus, avoid their repetition.</w:t>
      </w:r>
    </w:p>
    <w:p w14:paraId="494DD6F5" w14:textId="77777777" w:rsidR="00842401" w:rsidRPr="007A5442" w:rsidRDefault="00842401" w:rsidP="00EE2E94">
      <w:pPr>
        <w:pStyle w:val="Body"/>
        <w:rPr>
          <w:rStyle w:val="None"/>
          <w:rFonts w:ascii="Cambria" w:hAnsi="Cambria"/>
          <w:b/>
          <w:sz w:val="20"/>
          <w:szCs w:val="20"/>
          <w:lang w:val="pt-PT"/>
        </w:rPr>
      </w:pPr>
      <w:r w:rsidRPr="007A5442">
        <w:rPr>
          <w:rStyle w:val="None"/>
          <w:rFonts w:ascii="Cambria" w:hAnsi="Cambria"/>
          <w:b/>
          <w:sz w:val="20"/>
          <w:szCs w:val="20"/>
          <w:lang w:val="pt-PT"/>
        </w:rPr>
        <w:t>Resolution No. 86/21</w:t>
      </w:r>
      <w:r w:rsidRPr="007A5442">
        <w:rPr>
          <w:rStyle w:val="None"/>
          <w:rFonts w:ascii="Cambria" w:hAnsi="Cambria"/>
          <w:b/>
          <w:sz w:val="20"/>
          <w:szCs w:val="20"/>
          <w:lang w:val="pt-PT"/>
        </w:rPr>
        <w:br/>
        <w:t>PM 869-21 - Antônio Martins Alves, Brazil</w:t>
      </w:r>
    </w:p>
    <w:p w14:paraId="4A3C63D3" w14:textId="77777777" w:rsidR="00842401" w:rsidRPr="007A5442" w:rsidRDefault="00842401" w:rsidP="002645C5">
      <w:pPr>
        <w:spacing w:after="0" w:line="240" w:lineRule="auto"/>
        <w:jc w:val="both"/>
        <w:rPr>
          <w:rFonts w:ascii="Cambria" w:eastAsia="Cambria" w:hAnsi="Cambria" w:cs="Cambria"/>
          <w:color w:val="000000" w:themeColor="text1"/>
          <w:sz w:val="20"/>
          <w:szCs w:val="20"/>
          <w:lang w:val="pt-PT"/>
        </w:rPr>
      </w:pPr>
    </w:p>
    <w:p w14:paraId="09CE61EF" w14:textId="77777777" w:rsidR="00842401" w:rsidRPr="00524435" w:rsidRDefault="00842401" w:rsidP="00000BF8">
      <w:pPr>
        <w:pStyle w:val="ListParagraph"/>
      </w:pPr>
      <w:r w:rsidRPr="00524435">
        <w:t xml:space="preserve">On October 21, 2021, the IACHR granted precautionary measures in favor of Antônio Martins Alves. According to the request, the whereabouts or fate of the proposed beneficiary is unknown since July 16, 2021. The Commission did not have information that would indicate that substantial progress has been made in clarifying what happened or in locating the beneficiary. Consequently, in accordance with Article 25 of the Rules of Procedure, the Commission requested that Brazil: a) adopt the necessary measures to determine the situation and whereabouts of Antônio Martins Alves, </w:t>
      </w:r>
      <w:proofErr w:type="gramStart"/>
      <w:r w:rsidRPr="00524435">
        <w:t>in order to</w:t>
      </w:r>
      <w:proofErr w:type="gramEnd"/>
      <w:r w:rsidRPr="00524435">
        <w:t xml:space="preserve"> protect his rights to life and personal integrity; and b) report on the actions taken to investigate the alleged events that led to the adoption of this precautionary measure, so as to prevent them from reoccurring.</w:t>
      </w:r>
    </w:p>
    <w:p w14:paraId="4D8FBDDA" w14:textId="77777777" w:rsidR="00842401" w:rsidRPr="00E42B49" w:rsidRDefault="00842401" w:rsidP="00EE2E94">
      <w:pPr>
        <w:pStyle w:val="Body"/>
        <w:rPr>
          <w:rStyle w:val="None"/>
          <w:rFonts w:ascii="Cambria" w:hAnsi="Cambria"/>
          <w:b/>
          <w:sz w:val="20"/>
          <w:szCs w:val="20"/>
          <w:lang w:val="es-US"/>
        </w:rPr>
      </w:pPr>
      <w:r w:rsidRPr="00E42B49">
        <w:rPr>
          <w:rStyle w:val="None"/>
          <w:rFonts w:ascii="Cambria" w:hAnsi="Cambria"/>
          <w:b/>
          <w:sz w:val="20"/>
          <w:szCs w:val="20"/>
          <w:lang w:val="es-US"/>
        </w:rPr>
        <w:t>COLOMBIA</w:t>
      </w:r>
    </w:p>
    <w:p w14:paraId="1E733E99" w14:textId="77777777" w:rsidR="00842401" w:rsidRPr="00E42B49" w:rsidRDefault="00842401" w:rsidP="00EE2E94">
      <w:pPr>
        <w:pStyle w:val="Body"/>
        <w:rPr>
          <w:rStyle w:val="None"/>
          <w:rFonts w:ascii="Cambria" w:hAnsi="Cambria"/>
          <w:b/>
          <w:sz w:val="20"/>
          <w:szCs w:val="20"/>
          <w:lang w:val="es-US"/>
        </w:rPr>
      </w:pPr>
    </w:p>
    <w:p w14:paraId="4635245C" w14:textId="77777777" w:rsidR="00842401" w:rsidRPr="00E42B49" w:rsidRDefault="00842401" w:rsidP="00842401">
      <w:pPr>
        <w:pStyle w:val="Body"/>
        <w:rPr>
          <w:rStyle w:val="None"/>
          <w:rFonts w:ascii="Cambria" w:hAnsi="Cambria"/>
          <w:b/>
          <w:sz w:val="20"/>
          <w:szCs w:val="20"/>
          <w:lang w:val="es-US"/>
        </w:rPr>
      </w:pPr>
      <w:proofErr w:type="spellStart"/>
      <w:r w:rsidRPr="00E42B49">
        <w:rPr>
          <w:rStyle w:val="None"/>
          <w:rFonts w:ascii="Cambria" w:hAnsi="Cambria"/>
          <w:b/>
          <w:sz w:val="20"/>
          <w:szCs w:val="20"/>
          <w:lang w:val="es-US"/>
        </w:rPr>
        <w:t>Resolution</w:t>
      </w:r>
      <w:proofErr w:type="spellEnd"/>
      <w:r w:rsidRPr="00E42B49">
        <w:rPr>
          <w:rStyle w:val="None"/>
          <w:rFonts w:ascii="Cambria" w:hAnsi="Cambria"/>
          <w:b/>
          <w:sz w:val="20"/>
          <w:szCs w:val="20"/>
          <w:lang w:val="es-US"/>
        </w:rPr>
        <w:t xml:space="preserve"> No. 6/21</w:t>
      </w:r>
      <w:r w:rsidRPr="00E42B49">
        <w:rPr>
          <w:rStyle w:val="None"/>
          <w:rFonts w:ascii="Cambria" w:hAnsi="Cambria"/>
          <w:b/>
          <w:sz w:val="20"/>
          <w:szCs w:val="20"/>
          <w:lang w:val="es-US"/>
        </w:rPr>
        <w:br/>
        <w:t>MC 207-20 - Ricardo Calderón Villegas, Colombia</w:t>
      </w:r>
    </w:p>
    <w:p w14:paraId="7FC0C0C6" w14:textId="77777777" w:rsidR="00842401" w:rsidRPr="00E42B49" w:rsidRDefault="00842401" w:rsidP="00842401">
      <w:pPr>
        <w:pStyle w:val="Body"/>
        <w:jc w:val="both"/>
        <w:rPr>
          <w:rStyle w:val="None"/>
          <w:rFonts w:ascii="Cambria" w:hAnsi="Cambria"/>
          <w:sz w:val="20"/>
          <w:szCs w:val="20"/>
          <w:lang w:val="es-US"/>
        </w:rPr>
      </w:pPr>
    </w:p>
    <w:p w14:paraId="20B06697" w14:textId="77777777" w:rsidR="00842401" w:rsidRPr="00524435" w:rsidRDefault="00842401" w:rsidP="00000BF8">
      <w:pPr>
        <w:pStyle w:val="ListParagraph"/>
        <w:rPr>
          <w:rStyle w:val="None"/>
          <w:rFonts w:eastAsia="Cambria" w:cs="Cambria"/>
        </w:rPr>
      </w:pPr>
      <w:r w:rsidRPr="00524435">
        <w:rPr>
          <w:rStyle w:val="None"/>
        </w:rPr>
        <w:t xml:space="preserve">On January 14, 2021, the IACHR granted precautionary measures for the protection of Ricardo Calderón Villegas in Colombia. It was alleged that Mr. Calderón was at risk due to threats, surveillance, and stalking by individuals identified as agents of the State and other third parties </w:t>
      </w:r>
      <w:proofErr w:type="gramStart"/>
      <w:r w:rsidRPr="00524435">
        <w:rPr>
          <w:rStyle w:val="None"/>
        </w:rPr>
        <w:t>as a result of</w:t>
      </w:r>
      <w:proofErr w:type="gramEnd"/>
      <w:r w:rsidRPr="00524435">
        <w:rPr>
          <w:rStyle w:val="None"/>
        </w:rPr>
        <w:t xml:space="preserve"> his journalistic investigations. After reviewing the allegations of fact and law submitted by the parties, the Commission requested Colombia to adopt the measures necessary to protect the right to life and personal integrity of Ricardo Calderón Villegas to allow him to safely continue his journalistic activities; to reach an agreement with the beneficiary and his representatives on the measures to adopt; and to report on the action taken to investigate the alleged events that had led to the granting of this precautionary measure and thus, avoid their repetition.</w:t>
      </w:r>
    </w:p>
    <w:p w14:paraId="2A5C6FAC" w14:textId="77777777" w:rsidR="00842401" w:rsidRPr="00524435" w:rsidRDefault="00842401" w:rsidP="00842401">
      <w:pPr>
        <w:pStyle w:val="Body"/>
        <w:rPr>
          <w:rStyle w:val="None"/>
          <w:rFonts w:ascii="Cambria" w:hAnsi="Cambria"/>
          <w:b/>
          <w:sz w:val="20"/>
          <w:szCs w:val="20"/>
        </w:rPr>
      </w:pPr>
      <w:r w:rsidRPr="00524435">
        <w:rPr>
          <w:rStyle w:val="None"/>
          <w:rFonts w:ascii="Cambria" w:hAnsi="Cambria"/>
          <w:b/>
          <w:sz w:val="20"/>
          <w:szCs w:val="20"/>
        </w:rPr>
        <w:t>Resolution No. 25/21 (LIFTING)</w:t>
      </w:r>
      <w:r w:rsidRPr="00524435">
        <w:rPr>
          <w:rStyle w:val="None"/>
          <w:rFonts w:ascii="Cambria" w:hAnsi="Cambria"/>
          <w:b/>
          <w:sz w:val="20"/>
          <w:szCs w:val="20"/>
        </w:rPr>
        <w:br/>
        <w:t xml:space="preserve">MC 36-10 - Rodrigo </w:t>
      </w:r>
      <w:proofErr w:type="spellStart"/>
      <w:r w:rsidRPr="00524435">
        <w:rPr>
          <w:rStyle w:val="None"/>
          <w:rFonts w:ascii="Cambria" w:hAnsi="Cambria"/>
          <w:b/>
          <w:sz w:val="20"/>
          <w:szCs w:val="20"/>
        </w:rPr>
        <w:t>Callejas</w:t>
      </w:r>
      <w:proofErr w:type="spellEnd"/>
      <w:r w:rsidRPr="00524435">
        <w:rPr>
          <w:rStyle w:val="None"/>
          <w:rFonts w:ascii="Cambria" w:hAnsi="Cambria"/>
          <w:b/>
          <w:sz w:val="20"/>
          <w:szCs w:val="20"/>
        </w:rPr>
        <w:t xml:space="preserve"> Bedoya and family, Colombia</w:t>
      </w:r>
    </w:p>
    <w:p w14:paraId="3734D188" w14:textId="77777777" w:rsidR="00842401" w:rsidRPr="00524435" w:rsidRDefault="00842401" w:rsidP="00842401">
      <w:pPr>
        <w:pStyle w:val="Body"/>
        <w:jc w:val="both"/>
        <w:rPr>
          <w:rStyle w:val="None"/>
          <w:rFonts w:ascii="Cambria" w:hAnsi="Cambria"/>
          <w:sz w:val="20"/>
          <w:szCs w:val="20"/>
        </w:rPr>
      </w:pPr>
    </w:p>
    <w:p w14:paraId="00572328" w14:textId="77777777" w:rsidR="00842401" w:rsidRPr="00524435" w:rsidRDefault="00842401" w:rsidP="00000BF8">
      <w:pPr>
        <w:pStyle w:val="ListParagraph"/>
        <w:rPr>
          <w:rStyle w:val="None"/>
          <w:rFonts w:eastAsia="Cambria" w:cs="Cambria"/>
        </w:rPr>
      </w:pPr>
      <w:r w:rsidRPr="00524435">
        <w:rPr>
          <w:rStyle w:val="None"/>
        </w:rPr>
        <w:t xml:space="preserve">The Inter-American Commission on Human Rights (IACHR) decided to lift the current precautionary measures, pursuant to Article 25 of the Rules of Procedure. Despite reiterated requests for information from their representatives, no response had been received for approximately nine years. Notwithstanding, the IACHR reminded the parties of the State’s obligation under Article 1.1 of the American Convention to respect and guarantee the rights recognized therein, including Mr. </w:t>
      </w:r>
      <w:proofErr w:type="spellStart"/>
      <w:r w:rsidRPr="00524435">
        <w:rPr>
          <w:rStyle w:val="None"/>
        </w:rPr>
        <w:t>Callejas</w:t>
      </w:r>
      <w:proofErr w:type="spellEnd"/>
      <w:r w:rsidRPr="00524435">
        <w:rPr>
          <w:rStyle w:val="None"/>
        </w:rPr>
        <w:t xml:space="preserve">’ right to life and personal integrity. </w:t>
      </w:r>
    </w:p>
    <w:p w14:paraId="29EC535B" w14:textId="77777777" w:rsidR="00842401" w:rsidRPr="00E42B49" w:rsidRDefault="00842401" w:rsidP="00842401">
      <w:pPr>
        <w:pStyle w:val="Body"/>
        <w:rPr>
          <w:rStyle w:val="None"/>
          <w:rFonts w:ascii="Cambria" w:hAnsi="Cambria"/>
          <w:b/>
          <w:sz w:val="20"/>
          <w:szCs w:val="20"/>
          <w:lang w:val="es-US"/>
        </w:rPr>
      </w:pPr>
      <w:proofErr w:type="spellStart"/>
      <w:r w:rsidRPr="00E42B49">
        <w:rPr>
          <w:rStyle w:val="None"/>
          <w:rFonts w:ascii="Cambria" w:hAnsi="Cambria"/>
          <w:b/>
          <w:sz w:val="20"/>
          <w:szCs w:val="20"/>
          <w:lang w:val="es-US"/>
        </w:rPr>
        <w:t>Resolution</w:t>
      </w:r>
      <w:proofErr w:type="spellEnd"/>
      <w:r w:rsidRPr="00E42B49">
        <w:rPr>
          <w:rStyle w:val="None"/>
          <w:rFonts w:ascii="Cambria" w:hAnsi="Cambria"/>
          <w:b/>
          <w:sz w:val="20"/>
          <w:szCs w:val="20"/>
          <w:lang w:val="es-US"/>
        </w:rPr>
        <w:t xml:space="preserve"> No. 42/21 (</w:t>
      </w:r>
      <w:proofErr w:type="gramStart"/>
      <w:r w:rsidRPr="00E42B49">
        <w:rPr>
          <w:rStyle w:val="None"/>
          <w:rFonts w:ascii="Cambria" w:hAnsi="Cambria"/>
          <w:b/>
          <w:sz w:val="20"/>
          <w:szCs w:val="20"/>
          <w:lang w:val="es-US"/>
        </w:rPr>
        <w:t>LIFTING</w:t>
      </w:r>
      <w:proofErr w:type="gramEnd"/>
      <w:r w:rsidRPr="00E42B49">
        <w:rPr>
          <w:rStyle w:val="None"/>
          <w:rFonts w:ascii="Cambria" w:hAnsi="Cambria"/>
          <w:b/>
          <w:sz w:val="20"/>
          <w:szCs w:val="20"/>
          <w:lang w:val="es-US"/>
        </w:rPr>
        <w:t>)</w:t>
      </w:r>
      <w:r w:rsidRPr="00E42B49">
        <w:rPr>
          <w:rStyle w:val="None"/>
          <w:rFonts w:ascii="Cambria" w:hAnsi="Cambria"/>
          <w:b/>
          <w:sz w:val="20"/>
          <w:szCs w:val="20"/>
          <w:lang w:val="es-US"/>
        </w:rPr>
        <w:br/>
        <w:t>MC 240-09 - Mauricio Meza Blanco, Colombia</w:t>
      </w:r>
    </w:p>
    <w:p w14:paraId="6A4688C6" w14:textId="77777777" w:rsidR="00842401" w:rsidRPr="00E42B49" w:rsidRDefault="00842401" w:rsidP="00EE2E94">
      <w:pPr>
        <w:pStyle w:val="Body"/>
        <w:rPr>
          <w:rStyle w:val="None"/>
          <w:rFonts w:ascii="Cambria" w:hAnsi="Cambria"/>
          <w:b/>
          <w:sz w:val="20"/>
          <w:szCs w:val="20"/>
          <w:lang w:val="es-US"/>
        </w:rPr>
      </w:pPr>
    </w:p>
    <w:p w14:paraId="2EF9FD6E" w14:textId="77777777" w:rsidR="00842401" w:rsidRPr="00524435" w:rsidRDefault="00842401" w:rsidP="00000BF8">
      <w:pPr>
        <w:pStyle w:val="ListParagraph"/>
        <w:rPr>
          <w:rStyle w:val="None"/>
          <w:rFonts w:eastAsia="Cambria" w:cs="Cambria"/>
        </w:rPr>
      </w:pPr>
      <w:r w:rsidRPr="00524435">
        <w:rPr>
          <w:rStyle w:val="None"/>
        </w:rPr>
        <w:t xml:space="preserve">The Inter-American Commission on Human Rights (IACHR) decided to lift the current precautionary measures, as it had no information to support the requirements of Article 25 of the Rules of Procedure. After the submission and reiteration of a request by the State to lift the measures and having no information from his representative in the last seven years, the Commission had no current and specific evidence of Mr. Meza’s situation. </w:t>
      </w:r>
    </w:p>
    <w:p w14:paraId="1B7D6B81" w14:textId="77777777" w:rsidR="009C314A" w:rsidRPr="00524435" w:rsidRDefault="009C314A">
      <w:pPr>
        <w:rPr>
          <w:rStyle w:val="None"/>
          <w:rFonts w:ascii="Cambria" w:eastAsia="Calibri" w:hAnsi="Cambria" w:cs="Calibri"/>
          <w:b/>
          <w:color w:val="000000"/>
          <w:sz w:val="20"/>
          <w:szCs w:val="20"/>
          <w:u w:color="000000"/>
          <w:bdr w:val="nil"/>
        </w:rPr>
      </w:pPr>
      <w:r w:rsidRPr="00524435">
        <w:rPr>
          <w:rStyle w:val="None"/>
          <w:rFonts w:ascii="Cambria" w:hAnsi="Cambria"/>
          <w:b/>
          <w:sz w:val="20"/>
          <w:szCs w:val="20"/>
        </w:rPr>
        <w:br w:type="page"/>
      </w:r>
    </w:p>
    <w:p w14:paraId="477C3536" w14:textId="5BD1D24B" w:rsidR="00842401" w:rsidRPr="00524435" w:rsidRDefault="00842401" w:rsidP="00842401">
      <w:pPr>
        <w:pStyle w:val="Body"/>
        <w:rPr>
          <w:rStyle w:val="None"/>
          <w:rFonts w:ascii="Cambria" w:hAnsi="Cambria"/>
          <w:b/>
          <w:sz w:val="20"/>
          <w:szCs w:val="20"/>
        </w:rPr>
      </w:pPr>
      <w:r w:rsidRPr="00524435">
        <w:rPr>
          <w:rStyle w:val="None"/>
          <w:rFonts w:ascii="Cambria" w:hAnsi="Cambria"/>
          <w:b/>
          <w:sz w:val="20"/>
          <w:szCs w:val="20"/>
        </w:rPr>
        <w:lastRenderedPageBreak/>
        <w:t>Resolution No. 45/21</w:t>
      </w:r>
      <w:r w:rsidRPr="00524435">
        <w:rPr>
          <w:rStyle w:val="None"/>
          <w:rFonts w:ascii="Cambria" w:hAnsi="Cambria"/>
          <w:b/>
          <w:sz w:val="20"/>
          <w:szCs w:val="20"/>
        </w:rPr>
        <w:br/>
        <w:t xml:space="preserve">MC 649-20 - </w:t>
      </w:r>
      <w:proofErr w:type="spellStart"/>
      <w:r w:rsidRPr="00524435">
        <w:rPr>
          <w:rStyle w:val="None"/>
          <w:rFonts w:ascii="Cambria" w:hAnsi="Cambria"/>
          <w:b/>
          <w:sz w:val="20"/>
          <w:szCs w:val="20"/>
        </w:rPr>
        <w:t>Leyner</w:t>
      </w:r>
      <w:proofErr w:type="spellEnd"/>
      <w:r w:rsidRPr="00524435">
        <w:rPr>
          <w:rStyle w:val="None"/>
          <w:rFonts w:ascii="Cambria" w:hAnsi="Cambria"/>
          <w:b/>
          <w:sz w:val="20"/>
          <w:szCs w:val="20"/>
        </w:rPr>
        <w:t xml:space="preserve"> Palacios </w:t>
      </w:r>
      <w:proofErr w:type="spellStart"/>
      <w:r w:rsidRPr="00524435">
        <w:rPr>
          <w:rStyle w:val="None"/>
          <w:rFonts w:ascii="Cambria" w:hAnsi="Cambria"/>
          <w:b/>
          <w:sz w:val="20"/>
          <w:szCs w:val="20"/>
        </w:rPr>
        <w:t>Asprilla</w:t>
      </w:r>
      <w:proofErr w:type="spellEnd"/>
      <w:r w:rsidRPr="00524435">
        <w:rPr>
          <w:rStyle w:val="None"/>
          <w:rFonts w:ascii="Cambria" w:hAnsi="Cambria"/>
          <w:b/>
          <w:sz w:val="20"/>
          <w:szCs w:val="20"/>
        </w:rPr>
        <w:t xml:space="preserve"> and immediate family, Colombia</w:t>
      </w:r>
    </w:p>
    <w:p w14:paraId="031220B4" w14:textId="77777777" w:rsidR="00842401" w:rsidRPr="00524435" w:rsidRDefault="00842401" w:rsidP="00842401">
      <w:pPr>
        <w:pStyle w:val="Body"/>
        <w:jc w:val="both"/>
        <w:rPr>
          <w:rStyle w:val="None"/>
          <w:rFonts w:ascii="Cambria" w:hAnsi="Cambria"/>
          <w:sz w:val="20"/>
          <w:szCs w:val="20"/>
        </w:rPr>
      </w:pPr>
    </w:p>
    <w:p w14:paraId="697D42D3" w14:textId="77777777" w:rsidR="00842401" w:rsidRPr="00524435" w:rsidRDefault="00842401" w:rsidP="009242CD">
      <w:pPr>
        <w:pStyle w:val="ListParagraph"/>
        <w:rPr>
          <w:rStyle w:val="None"/>
          <w:rFonts w:eastAsia="Cambria" w:cs="Cambria"/>
        </w:rPr>
      </w:pPr>
      <w:r w:rsidRPr="00524435">
        <w:rPr>
          <w:rStyle w:val="None"/>
        </w:rPr>
        <w:t xml:space="preserve">On June 1, 2021, the IACHR decided to grant precautionary measures on behalf of </w:t>
      </w:r>
      <w:proofErr w:type="spellStart"/>
      <w:r w:rsidRPr="00524435">
        <w:rPr>
          <w:rStyle w:val="None"/>
        </w:rPr>
        <w:t>Leyner</w:t>
      </w:r>
      <w:proofErr w:type="spellEnd"/>
      <w:r w:rsidRPr="00524435">
        <w:rPr>
          <w:rStyle w:val="None"/>
        </w:rPr>
        <w:t xml:space="preserve"> </w:t>
      </w:r>
      <w:proofErr w:type="spellStart"/>
      <w:r w:rsidRPr="00524435">
        <w:rPr>
          <w:rStyle w:val="None"/>
        </w:rPr>
        <w:t>Aspirilla</w:t>
      </w:r>
      <w:proofErr w:type="spellEnd"/>
      <w:r w:rsidRPr="00524435">
        <w:rPr>
          <w:rStyle w:val="None"/>
        </w:rPr>
        <w:t xml:space="preserve"> and his immediate family, in Colombia. When conducting the review, the Commission considered Mr. Palacios’ current role in the Colombian context. After requesting information from the State, the Commission reviewed the implementation of a series of protective measures for Mr. Palacios and his family. However, it noted indications of a lack of effectiveness in the protection plan, as well as the persistence of events that put Mr. Palacios at risk. The IACHR therefore requested Colombia to: a) adopt the necessary measures, with the respective ethnic and gender approach, to protect the right to life and personal integrity of </w:t>
      </w:r>
      <w:proofErr w:type="spellStart"/>
      <w:r w:rsidRPr="00524435">
        <w:rPr>
          <w:rStyle w:val="None"/>
        </w:rPr>
        <w:t>Leyner</w:t>
      </w:r>
      <w:proofErr w:type="spellEnd"/>
      <w:r w:rsidRPr="00524435">
        <w:rPr>
          <w:rStyle w:val="None"/>
        </w:rPr>
        <w:t xml:space="preserve"> Palacios and his immediate family. In particular, the State should ensure that the protective measures implemented were sufficiently effective and appropriate, given the risks identified in the Resolution, and addressed the shortcomings noted; b) adopt the protective measures necessary for Mr. </w:t>
      </w:r>
      <w:proofErr w:type="spellStart"/>
      <w:r w:rsidRPr="00524435">
        <w:rPr>
          <w:rStyle w:val="None"/>
        </w:rPr>
        <w:t>Leyner</w:t>
      </w:r>
      <w:proofErr w:type="spellEnd"/>
      <w:r w:rsidRPr="00524435">
        <w:rPr>
          <w:rStyle w:val="None"/>
        </w:rPr>
        <w:t xml:space="preserve"> Palacios to continue his activities in defense of human rights without being subjected to actions that put him at risk; c) reach an agreement with the beneficiaries and their representatives on the measures to implement; and d) report on the action taken to investigate the alleged events that had led to the adoption of this Resolution and thus, avoid their repetition.</w:t>
      </w:r>
    </w:p>
    <w:p w14:paraId="057983A8" w14:textId="77777777" w:rsidR="00842401" w:rsidRPr="00E42B49" w:rsidRDefault="00842401" w:rsidP="00842401">
      <w:pPr>
        <w:pStyle w:val="Body"/>
        <w:rPr>
          <w:rStyle w:val="None"/>
          <w:rFonts w:ascii="Cambria" w:hAnsi="Cambria"/>
          <w:b/>
          <w:sz w:val="20"/>
          <w:szCs w:val="20"/>
          <w:lang w:val="es-US"/>
        </w:rPr>
      </w:pPr>
      <w:proofErr w:type="spellStart"/>
      <w:r w:rsidRPr="00E42B49">
        <w:rPr>
          <w:rStyle w:val="None"/>
          <w:rFonts w:ascii="Cambria" w:hAnsi="Cambria"/>
          <w:b/>
          <w:sz w:val="20"/>
          <w:szCs w:val="20"/>
          <w:lang w:val="es-US"/>
        </w:rPr>
        <w:t>Resolution</w:t>
      </w:r>
      <w:proofErr w:type="spellEnd"/>
      <w:r w:rsidRPr="00E42B49">
        <w:rPr>
          <w:rStyle w:val="None"/>
          <w:rFonts w:ascii="Cambria" w:hAnsi="Cambria"/>
          <w:b/>
          <w:sz w:val="20"/>
          <w:szCs w:val="20"/>
          <w:lang w:val="es-US"/>
        </w:rPr>
        <w:t xml:space="preserve"> No. 53/21</w:t>
      </w:r>
      <w:r w:rsidRPr="00E42B49">
        <w:rPr>
          <w:rStyle w:val="None"/>
          <w:rFonts w:ascii="Cambria" w:hAnsi="Cambria"/>
          <w:b/>
          <w:sz w:val="20"/>
          <w:szCs w:val="20"/>
          <w:lang w:val="es-US"/>
        </w:rPr>
        <w:br/>
        <w:t xml:space="preserve">MC 552-21 - </w:t>
      </w:r>
      <w:proofErr w:type="spellStart"/>
      <w:r w:rsidRPr="00E42B49">
        <w:rPr>
          <w:rStyle w:val="None"/>
          <w:rFonts w:ascii="Cambria" w:hAnsi="Cambria"/>
          <w:b/>
          <w:sz w:val="20"/>
          <w:szCs w:val="20"/>
          <w:lang w:val="es-US"/>
        </w:rPr>
        <w:t>Yiner</w:t>
      </w:r>
      <w:proofErr w:type="spellEnd"/>
      <w:r w:rsidRPr="00E42B49">
        <w:rPr>
          <w:rStyle w:val="None"/>
          <w:rFonts w:ascii="Cambria" w:hAnsi="Cambria"/>
          <w:b/>
          <w:sz w:val="20"/>
          <w:szCs w:val="20"/>
          <w:lang w:val="es-US"/>
        </w:rPr>
        <w:t xml:space="preserve"> Hernán </w:t>
      </w:r>
      <w:proofErr w:type="spellStart"/>
      <w:r w:rsidRPr="00E42B49">
        <w:rPr>
          <w:rStyle w:val="None"/>
          <w:rFonts w:ascii="Cambria" w:hAnsi="Cambria"/>
          <w:b/>
          <w:sz w:val="20"/>
          <w:szCs w:val="20"/>
          <w:lang w:val="es-US"/>
        </w:rPr>
        <w:t>Quiguantar</w:t>
      </w:r>
      <w:proofErr w:type="spellEnd"/>
      <w:r w:rsidRPr="00E42B49">
        <w:rPr>
          <w:rStyle w:val="None"/>
          <w:rFonts w:ascii="Cambria" w:hAnsi="Cambria"/>
          <w:b/>
          <w:sz w:val="20"/>
          <w:szCs w:val="20"/>
          <w:lang w:val="es-US"/>
        </w:rPr>
        <w:t xml:space="preserve"> Cortés, Colombia</w:t>
      </w:r>
    </w:p>
    <w:p w14:paraId="21BC76D6" w14:textId="77777777" w:rsidR="00842401" w:rsidRPr="00E42B49" w:rsidRDefault="00842401" w:rsidP="00842401">
      <w:pPr>
        <w:pStyle w:val="Body"/>
        <w:jc w:val="both"/>
        <w:rPr>
          <w:rStyle w:val="None"/>
          <w:rFonts w:ascii="Cambria" w:hAnsi="Cambria"/>
          <w:sz w:val="20"/>
          <w:szCs w:val="20"/>
          <w:lang w:val="es-US"/>
        </w:rPr>
      </w:pPr>
    </w:p>
    <w:p w14:paraId="5627A910" w14:textId="77777777" w:rsidR="00842401" w:rsidRPr="00524435" w:rsidRDefault="00842401" w:rsidP="009242CD">
      <w:pPr>
        <w:pStyle w:val="ListParagraph"/>
        <w:rPr>
          <w:rStyle w:val="None"/>
          <w:rFonts w:eastAsia="Cambria" w:cs="Cambria"/>
        </w:rPr>
      </w:pPr>
      <w:r w:rsidRPr="00524435">
        <w:rPr>
          <w:rStyle w:val="None"/>
        </w:rPr>
        <w:t xml:space="preserve">On July 15, 2021, the IACHR decided to grant precautionary measures on behalf of Mr. </w:t>
      </w:r>
      <w:proofErr w:type="spellStart"/>
      <w:r w:rsidRPr="00524435">
        <w:rPr>
          <w:rStyle w:val="None"/>
        </w:rPr>
        <w:t>Yiner</w:t>
      </w:r>
      <w:proofErr w:type="spellEnd"/>
      <w:r w:rsidRPr="00524435">
        <w:rPr>
          <w:rStyle w:val="None"/>
        </w:rPr>
        <w:t xml:space="preserve"> </w:t>
      </w:r>
      <w:proofErr w:type="spellStart"/>
      <w:r w:rsidRPr="00524435">
        <w:rPr>
          <w:rStyle w:val="None"/>
        </w:rPr>
        <w:t>Hernás</w:t>
      </w:r>
      <w:proofErr w:type="spellEnd"/>
      <w:r w:rsidRPr="00524435">
        <w:rPr>
          <w:rStyle w:val="None"/>
        </w:rPr>
        <w:t xml:space="preserve"> </w:t>
      </w:r>
      <w:proofErr w:type="spellStart"/>
      <w:r w:rsidRPr="00524435">
        <w:rPr>
          <w:rStyle w:val="None"/>
        </w:rPr>
        <w:t>Quiguantar</w:t>
      </w:r>
      <w:proofErr w:type="spellEnd"/>
      <w:r w:rsidRPr="00524435">
        <w:rPr>
          <w:rStyle w:val="None"/>
        </w:rPr>
        <w:t xml:space="preserve"> Cortés, in Colombia. The request for precautionary measures alleged that the beneficiary, a young indigenous social leader in Cauca, had been the object of threats and harassment, with no appropriate effective measures to protect him. After reviewing the allegations of fact and law submitted by the petitioner, the Commission found that, based on the applicable prima facie standard, the situation of Mr. </w:t>
      </w:r>
      <w:proofErr w:type="spellStart"/>
      <w:r w:rsidRPr="00524435">
        <w:rPr>
          <w:rStyle w:val="None"/>
        </w:rPr>
        <w:t>Yiner</w:t>
      </w:r>
      <w:proofErr w:type="spellEnd"/>
      <w:r w:rsidRPr="00524435">
        <w:rPr>
          <w:rStyle w:val="None"/>
        </w:rPr>
        <w:t xml:space="preserve"> </w:t>
      </w:r>
      <w:proofErr w:type="spellStart"/>
      <w:r w:rsidRPr="00524435">
        <w:rPr>
          <w:rStyle w:val="None"/>
        </w:rPr>
        <w:t>Hernán</w:t>
      </w:r>
      <w:proofErr w:type="spellEnd"/>
      <w:r w:rsidRPr="00524435">
        <w:rPr>
          <w:rStyle w:val="None"/>
        </w:rPr>
        <w:t xml:space="preserve"> </w:t>
      </w:r>
      <w:proofErr w:type="spellStart"/>
      <w:r w:rsidRPr="00524435">
        <w:rPr>
          <w:rStyle w:val="None"/>
        </w:rPr>
        <w:t>Quiguantar</w:t>
      </w:r>
      <w:proofErr w:type="spellEnd"/>
      <w:r w:rsidRPr="00524435">
        <w:rPr>
          <w:rStyle w:val="None"/>
        </w:rPr>
        <w:t xml:space="preserve"> Cortés was serious and urgent, with his right to life and personal integrity at risk of irreparable harm. Therefore, pursuant to Article 25 of its Rules of Procedure, the Commission requested the State of Colombia to a) adopt the measures necessary to protect his right to life and [personal] integrity.  In particular, the State should ensure that the protective measures were sufficiently effective, adequate, and culturally relevant, given the risks identified in the Resolution, so that the beneficiary could continue his activities as a social leader and human rights defender without being subjected to events that put him at risk; b) reach an agreement with the beneficiary and his representatives on the measures to adopt; and c) report on the action taken to investigate the alleged events that had led to the adoption of this Resolution and thus, avoid their repetition.</w:t>
      </w:r>
    </w:p>
    <w:p w14:paraId="4A8DA2EE" w14:textId="77777777" w:rsidR="00842401" w:rsidRPr="00E42B49" w:rsidRDefault="00842401" w:rsidP="00842401">
      <w:pPr>
        <w:pStyle w:val="Body"/>
        <w:rPr>
          <w:rStyle w:val="None"/>
          <w:rFonts w:ascii="Cambria" w:hAnsi="Cambria"/>
          <w:b/>
          <w:sz w:val="20"/>
          <w:szCs w:val="20"/>
          <w:lang w:val="es-US"/>
        </w:rPr>
      </w:pPr>
      <w:proofErr w:type="spellStart"/>
      <w:r w:rsidRPr="00E42B49">
        <w:rPr>
          <w:rStyle w:val="None"/>
          <w:rFonts w:ascii="Cambria" w:hAnsi="Cambria"/>
          <w:b/>
          <w:sz w:val="20"/>
          <w:szCs w:val="20"/>
          <w:lang w:val="es-US"/>
        </w:rPr>
        <w:t>Resolution</w:t>
      </w:r>
      <w:proofErr w:type="spellEnd"/>
      <w:r w:rsidRPr="00E42B49">
        <w:rPr>
          <w:rStyle w:val="None"/>
          <w:rFonts w:ascii="Cambria" w:hAnsi="Cambria"/>
          <w:b/>
          <w:sz w:val="20"/>
          <w:szCs w:val="20"/>
          <w:lang w:val="es-US"/>
        </w:rPr>
        <w:t xml:space="preserve"> No. 62/21(</w:t>
      </w:r>
      <w:proofErr w:type="gramStart"/>
      <w:r w:rsidRPr="00E42B49">
        <w:rPr>
          <w:rStyle w:val="None"/>
          <w:rFonts w:ascii="Cambria" w:hAnsi="Cambria"/>
          <w:b/>
          <w:sz w:val="20"/>
          <w:szCs w:val="20"/>
          <w:lang w:val="es-US"/>
        </w:rPr>
        <w:t>LIFTING</w:t>
      </w:r>
      <w:proofErr w:type="gramEnd"/>
      <w:r w:rsidRPr="00E42B49">
        <w:rPr>
          <w:rStyle w:val="None"/>
          <w:rFonts w:ascii="Cambria" w:hAnsi="Cambria"/>
          <w:b/>
          <w:sz w:val="20"/>
          <w:szCs w:val="20"/>
          <w:lang w:val="es-US"/>
        </w:rPr>
        <w:t>)</w:t>
      </w:r>
      <w:r w:rsidRPr="00E42B49">
        <w:rPr>
          <w:rStyle w:val="None"/>
          <w:rFonts w:ascii="Cambria" w:hAnsi="Cambria"/>
          <w:b/>
          <w:sz w:val="20"/>
          <w:szCs w:val="20"/>
          <w:lang w:val="es-US"/>
        </w:rPr>
        <w:br/>
        <w:t>MC 294-07 - Rigoberto Jiménez, Colombia</w:t>
      </w:r>
    </w:p>
    <w:p w14:paraId="36B04F51" w14:textId="77777777" w:rsidR="00842401" w:rsidRPr="00E42B49" w:rsidRDefault="00842401" w:rsidP="00842401">
      <w:pPr>
        <w:pStyle w:val="Body"/>
        <w:rPr>
          <w:rStyle w:val="None"/>
          <w:rFonts w:ascii="Cambria" w:eastAsia="Cambria" w:hAnsi="Cambria" w:cs="Cambria"/>
          <w:sz w:val="20"/>
          <w:szCs w:val="20"/>
          <w:lang w:val="es-US"/>
        </w:rPr>
      </w:pPr>
    </w:p>
    <w:p w14:paraId="24DF9B83" w14:textId="77777777" w:rsidR="00842401" w:rsidRPr="00524435" w:rsidRDefault="00842401" w:rsidP="009242CD">
      <w:pPr>
        <w:pStyle w:val="ListParagraph"/>
        <w:rPr>
          <w:rStyle w:val="None"/>
          <w:rFonts w:eastAsia="Cambria" w:cs="Cambria"/>
        </w:rPr>
      </w:pPr>
      <w:r w:rsidRPr="00524435">
        <w:rPr>
          <w:rStyle w:val="None"/>
        </w:rPr>
        <w:t xml:space="preserve">The Inter-American Commission on Human Rights (IACHR) decided to lift the current precautionary measures on behalf of Rigoberto Jiménez in Colombia. On rendering this decision, the Commission observed that the beneficiary’s representative had reported having lost contact with him, at least since 2016, and had submitted no specific comments in response to the State’s repeated requests to lift the measures. The Commission welcomed the action taken by the State to implement the current measures. </w:t>
      </w:r>
    </w:p>
    <w:p w14:paraId="315DB633" w14:textId="77777777" w:rsidR="00842401" w:rsidRPr="00E42B49" w:rsidRDefault="00842401" w:rsidP="00842401">
      <w:pPr>
        <w:pStyle w:val="Body"/>
        <w:rPr>
          <w:rStyle w:val="None"/>
          <w:rFonts w:ascii="Cambria" w:hAnsi="Cambria"/>
          <w:b/>
          <w:sz w:val="20"/>
          <w:szCs w:val="20"/>
          <w:lang w:val="es-US"/>
        </w:rPr>
      </w:pPr>
      <w:proofErr w:type="spellStart"/>
      <w:r w:rsidRPr="00E42B49">
        <w:rPr>
          <w:rStyle w:val="None"/>
          <w:rFonts w:ascii="Cambria" w:hAnsi="Cambria"/>
          <w:b/>
          <w:sz w:val="20"/>
          <w:szCs w:val="20"/>
          <w:lang w:val="es-US"/>
        </w:rPr>
        <w:t>Resolution</w:t>
      </w:r>
      <w:proofErr w:type="spellEnd"/>
      <w:r w:rsidRPr="00E42B49">
        <w:rPr>
          <w:rStyle w:val="None"/>
          <w:rFonts w:ascii="Cambria" w:hAnsi="Cambria"/>
          <w:b/>
          <w:sz w:val="20"/>
          <w:szCs w:val="20"/>
          <w:lang w:val="es-US"/>
        </w:rPr>
        <w:t xml:space="preserve"> No. 63/21(</w:t>
      </w:r>
      <w:proofErr w:type="gramStart"/>
      <w:r w:rsidRPr="00E42B49">
        <w:rPr>
          <w:rStyle w:val="None"/>
          <w:rFonts w:ascii="Cambria" w:hAnsi="Cambria"/>
          <w:b/>
          <w:sz w:val="20"/>
          <w:szCs w:val="20"/>
          <w:lang w:val="es-US"/>
        </w:rPr>
        <w:t>LIFTING</w:t>
      </w:r>
      <w:proofErr w:type="gramEnd"/>
      <w:r w:rsidRPr="00E42B49">
        <w:rPr>
          <w:rStyle w:val="None"/>
          <w:rFonts w:ascii="Cambria" w:hAnsi="Cambria"/>
          <w:b/>
          <w:sz w:val="20"/>
          <w:szCs w:val="20"/>
          <w:lang w:val="es-US"/>
        </w:rPr>
        <w:t>)</w:t>
      </w:r>
      <w:r w:rsidRPr="00E42B49">
        <w:rPr>
          <w:rStyle w:val="None"/>
          <w:rFonts w:ascii="Cambria" w:hAnsi="Cambria"/>
          <w:b/>
          <w:sz w:val="20"/>
          <w:szCs w:val="20"/>
          <w:lang w:val="es-US"/>
        </w:rPr>
        <w:br/>
        <w:t>MC 885-17 - Luz Angela Niño Chacón, Colombia</w:t>
      </w:r>
    </w:p>
    <w:p w14:paraId="7323928C" w14:textId="77777777" w:rsidR="00842401" w:rsidRPr="00E42B49" w:rsidRDefault="00842401" w:rsidP="00842401">
      <w:pPr>
        <w:pStyle w:val="Body"/>
        <w:jc w:val="both"/>
        <w:rPr>
          <w:rStyle w:val="None"/>
          <w:rFonts w:ascii="Cambria" w:hAnsi="Cambria"/>
          <w:sz w:val="20"/>
          <w:szCs w:val="20"/>
          <w:lang w:val="es-US"/>
        </w:rPr>
      </w:pPr>
    </w:p>
    <w:p w14:paraId="36BA04C3" w14:textId="77777777" w:rsidR="00842401" w:rsidRPr="00524435" w:rsidRDefault="00842401" w:rsidP="009242CD">
      <w:pPr>
        <w:pStyle w:val="ListParagraph"/>
        <w:rPr>
          <w:rStyle w:val="None"/>
          <w:rFonts w:eastAsia="Cambria" w:cs="Cambria"/>
        </w:rPr>
      </w:pPr>
      <w:r w:rsidRPr="00524435">
        <w:rPr>
          <w:rStyle w:val="None"/>
        </w:rPr>
        <w:t xml:space="preserve">The Inter-American Commission on Human Rights (IACHR) decided to lift the current precautionary measures on behalf of Luz Angela Niño </w:t>
      </w:r>
      <w:proofErr w:type="spellStart"/>
      <w:r w:rsidRPr="00524435">
        <w:rPr>
          <w:rStyle w:val="None"/>
        </w:rPr>
        <w:t>Chacón</w:t>
      </w:r>
      <w:proofErr w:type="spellEnd"/>
      <w:r w:rsidRPr="00524435">
        <w:rPr>
          <w:rStyle w:val="None"/>
        </w:rPr>
        <w:t>. On rendering its decision, the Commission observed that her representatives had not provided any information since the measures were granted in 2018, and that the State had repeatedly requested their lifting. The Commission welcomed the action taken by the State to implement these measures to provide due medical care for Mrs. Niño.</w:t>
      </w:r>
    </w:p>
    <w:p w14:paraId="19558914" w14:textId="77777777" w:rsidR="00842401" w:rsidRPr="00E42B49" w:rsidRDefault="00842401" w:rsidP="00842401">
      <w:pPr>
        <w:pStyle w:val="Body"/>
        <w:rPr>
          <w:rStyle w:val="None"/>
          <w:rFonts w:ascii="Cambria" w:hAnsi="Cambria"/>
          <w:b/>
          <w:sz w:val="20"/>
          <w:szCs w:val="20"/>
          <w:lang w:val="es-US"/>
        </w:rPr>
      </w:pPr>
      <w:proofErr w:type="spellStart"/>
      <w:r w:rsidRPr="00E42B49">
        <w:rPr>
          <w:rStyle w:val="None"/>
          <w:rFonts w:ascii="Cambria" w:hAnsi="Cambria"/>
          <w:b/>
          <w:sz w:val="20"/>
          <w:szCs w:val="20"/>
          <w:lang w:val="es-US"/>
        </w:rPr>
        <w:lastRenderedPageBreak/>
        <w:t>Resolution</w:t>
      </w:r>
      <w:proofErr w:type="spellEnd"/>
      <w:r w:rsidRPr="00E42B49">
        <w:rPr>
          <w:rStyle w:val="None"/>
          <w:rFonts w:ascii="Cambria" w:hAnsi="Cambria"/>
          <w:b/>
          <w:sz w:val="20"/>
          <w:szCs w:val="20"/>
          <w:lang w:val="es-US"/>
        </w:rPr>
        <w:t xml:space="preserve"> No. 66/21(</w:t>
      </w:r>
      <w:proofErr w:type="gramStart"/>
      <w:r w:rsidRPr="00E42B49">
        <w:rPr>
          <w:rStyle w:val="None"/>
          <w:rFonts w:ascii="Cambria" w:hAnsi="Cambria"/>
          <w:b/>
          <w:sz w:val="20"/>
          <w:szCs w:val="20"/>
          <w:lang w:val="es-US"/>
        </w:rPr>
        <w:t>LIFTING</w:t>
      </w:r>
      <w:proofErr w:type="gramEnd"/>
      <w:r w:rsidRPr="00E42B49">
        <w:rPr>
          <w:rStyle w:val="None"/>
          <w:rFonts w:ascii="Cambria" w:hAnsi="Cambria"/>
          <w:b/>
          <w:sz w:val="20"/>
          <w:szCs w:val="20"/>
          <w:lang w:val="es-US"/>
        </w:rPr>
        <w:t>)</w:t>
      </w:r>
      <w:r w:rsidRPr="00E42B49">
        <w:rPr>
          <w:rStyle w:val="None"/>
          <w:rFonts w:ascii="Cambria" w:hAnsi="Cambria"/>
          <w:b/>
          <w:sz w:val="20"/>
          <w:szCs w:val="20"/>
          <w:lang w:val="es-US"/>
        </w:rPr>
        <w:br/>
        <w:t xml:space="preserve">MC 970-04 - Carmen Cuadrado </w:t>
      </w:r>
      <w:proofErr w:type="spellStart"/>
      <w:r w:rsidRPr="00E42B49">
        <w:rPr>
          <w:rStyle w:val="None"/>
          <w:rFonts w:ascii="Cambria" w:hAnsi="Cambria"/>
          <w:b/>
          <w:sz w:val="20"/>
          <w:szCs w:val="20"/>
          <w:lang w:val="es-US"/>
        </w:rPr>
        <w:t>Fincé</w:t>
      </w:r>
      <w:proofErr w:type="spellEnd"/>
      <w:r w:rsidRPr="00E42B49">
        <w:rPr>
          <w:rStyle w:val="None"/>
          <w:rFonts w:ascii="Cambria" w:hAnsi="Cambria"/>
          <w:b/>
          <w:sz w:val="20"/>
          <w:szCs w:val="20"/>
          <w:lang w:val="es-US"/>
        </w:rPr>
        <w:t xml:space="preserve"> et al., Colombia</w:t>
      </w:r>
    </w:p>
    <w:p w14:paraId="01788EC0" w14:textId="77777777" w:rsidR="00842401" w:rsidRPr="00E42B49" w:rsidRDefault="00842401" w:rsidP="00842401">
      <w:pPr>
        <w:pStyle w:val="Body"/>
        <w:jc w:val="both"/>
        <w:rPr>
          <w:rStyle w:val="None"/>
          <w:rFonts w:ascii="Cambria" w:hAnsi="Cambria"/>
          <w:sz w:val="20"/>
          <w:szCs w:val="20"/>
          <w:lang w:val="es-US"/>
        </w:rPr>
      </w:pPr>
    </w:p>
    <w:p w14:paraId="0908FDFF" w14:textId="77777777" w:rsidR="00842401" w:rsidRPr="00524435" w:rsidRDefault="00842401" w:rsidP="009242CD">
      <w:pPr>
        <w:pStyle w:val="ListParagraph"/>
        <w:rPr>
          <w:rStyle w:val="None"/>
          <w:rFonts w:eastAsia="Cambria" w:cs="Cambria"/>
        </w:rPr>
      </w:pPr>
      <w:r w:rsidRPr="00524435">
        <w:rPr>
          <w:rStyle w:val="None"/>
        </w:rPr>
        <w:t xml:space="preserve">The Inter-American Commission on Human Rights (IACHR) decided to lift the current precautionary measures on behalf of Carmen </w:t>
      </w:r>
      <w:proofErr w:type="spellStart"/>
      <w:r w:rsidRPr="00524435">
        <w:rPr>
          <w:rStyle w:val="None"/>
        </w:rPr>
        <w:t>Cuadrado</w:t>
      </w:r>
      <w:proofErr w:type="spellEnd"/>
      <w:r w:rsidRPr="00524435">
        <w:rPr>
          <w:rStyle w:val="None"/>
        </w:rPr>
        <w:t xml:space="preserve"> </w:t>
      </w:r>
      <w:proofErr w:type="spellStart"/>
      <w:r w:rsidRPr="00524435">
        <w:rPr>
          <w:rStyle w:val="None"/>
        </w:rPr>
        <w:t>Fincé</w:t>
      </w:r>
      <w:proofErr w:type="spellEnd"/>
      <w:r w:rsidRPr="00524435">
        <w:rPr>
          <w:rStyle w:val="None"/>
        </w:rPr>
        <w:t xml:space="preserve">, Mariana </w:t>
      </w:r>
      <w:proofErr w:type="spellStart"/>
      <w:r w:rsidRPr="00524435">
        <w:rPr>
          <w:rStyle w:val="None"/>
        </w:rPr>
        <w:t>Epinayú</w:t>
      </w:r>
      <w:proofErr w:type="spellEnd"/>
      <w:r w:rsidRPr="00524435">
        <w:rPr>
          <w:rStyle w:val="None"/>
        </w:rPr>
        <w:t xml:space="preserve">, </w:t>
      </w:r>
      <w:proofErr w:type="spellStart"/>
      <w:r w:rsidRPr="00524435">
        <w:rPr>
          <w:rStyle w:val="None"/>
        </w:rPr>
        <w:t>Débora</w:t>
      </w:r>
      <w:proofErr w:type="spellEnd"/>
      <w:r w:rsidRPr="00524435">
        <w:rPr>
          <w:rStyle w:val="None"/>
        </w:rPr>
        <w:t xml:space="preserve"> Barros, Roland </w:t>
      </w:r>
      <w:proofErr w:type="spellStart"/>
      <w:r w:rsidRPr="00524435">
        <w:rPr>
          <w:rStyle w:val="None"/>
        </w:rPr>
        <w:t>Fince</w:t>
      </w:r>
      <w:proofErr w:type="spellEnd"/>
      <w:r w:rsidRPr="00524435">
        <w:rPr>
          <w:rStyle w:val="None"/>
        </w:rPr>
        <w:t xml:space="preserve"> </w:t>
      </w:r>
      <w:proofErr w:type="spellStart"/>
      <w:r w:rsidRPr="00524435">
        <w:rPr>
          <w:rStyle w:val="None"/>
        </w:rPr>
        <w:t>Uriana</w:t>
      </w:r>
      <w:proofErr w:type="spellEnd"/>
      <w:r w:rsidRPr="00524435">
        <w:rPr>
          <w:rStyle w:val="None"/>
        </w:rPr>
        <w:t xml:space="preserve">, Ana Julia </w:t>
      </w:r>
      <w:proofErr w:type="spellStart"/>
      <w:r w:rsidRPr="00524435">
        <w:rPr>
          <w:rStyle w:val="None"/>
        </w:rPr>
        <w:t>Fince</w:t>
      </w:r>
      <w:proofErr w:type="spellEnd"/>
      <w:r w:rsidRPr="00524435">
        <w:rPr>
          <w:rStyle w:val="None"/>
        </w:rPr>
        <w:t xml:space="preserve"> </w:t>
      </w:r>
      <w:proofErr w:type="spellStart"/>
      <w:r w:rsidRPr="00524435">
        <w:rPr>
          <w:rStyle w:val="None"/>
        </w:rPr>
        <w:t>Uriana</w:t>
      </w:r>
      <w:proofErr w:type="spellEnd"/>
      <w:r w:rsidRPr="00524435">
        <w:rPr>
          <w:rStyle w:val="None"/>
        </w:rPr>
        <w:t xml:space="preserve">, </w:t>
      </w:r>
      <w:proofErr w:type="spellStart"/>
      <w:r w:rsidRPr="00524435">
        <w:rPr>
          <w:rStyle w:val="None"/>
        </w:rPr>
        <w:t>Telemina</w:t>
      </w:r>
      <w:proofErr w:type="spellEnd"/>
      <w:r w:rsidRPr="00524435">
        <w:rPr>
          <w:rStyle w:val="None"/>
        </w:rPr>
        <w:t xml:space="preserve"> Barros </w:t>
      </w:r>
      <w:proofErr w:type="spellStart"/>
      <w:r w:rsidRPr="00524435">
        <w:rPr>
          <w:rStyle w:val="None"/>
        </w:rPr>
        <w:t>Cuadrado</w:t>
      </w:r>
      <w:proofErr w:type="spellEnd"/>
      <w:r w:rsidRPr="00524435">
        <w:rPr>
          <w:rStyle w:val="None"/>
        </w:rPr>
        <w:t xml:space="preserve">, José Miguel Barros </w:t>
      </w:r>
      <w:proofErr w:type="spellStart"/>
      <w:r w:rsidRPr="00524435">
        <w:rPr>
          <w:rStyle w:val="None"/>
        </w:rPr>
        <w:t>Fince</w:t>
      </w:r>
      <w:proofErr w:type="spellEnd"/>
      <w:r w:rsidRPr="00524435">
        <w:rPr>
          <w:rStyle w:val="None"/>
        </w:rPr>
        <w:t xml:space="preserve">, and </w:t>
      </w:r>
      <w:proofErr w:type="spellStart"/>
      <w:r w:rsidRPr="00524435">
        <w:rPr>
          <w:rStyle w:val="None"/>
        </w:rPr>
        <w:t>Katty</w:t>
      </w:r>
      <w:proofErr w:type="spellEnd"/>
      <w:r w:rsidRPr="00524435">
        <w:rPr>
          <w:rStyle w:val="None"/>
        </w:rPr>
        <w:t xml:space="preserve"> </w:t>
      </w:r>
      <w:proofErr w:type="spellStart"/>
      <w:r w:rsidRPr="00524435">
        <w:rPr>
          <w:rStyle w:val="None"/>
        </w:rPr>
        <w:t>Fince</w:t>
      </w:r>
      <w:proofErr w:type="spellEnd"/>
      <w:r w:rsidRPr="00524435">
        <w:rPr>
          <w:rStyle w:val="None"/>
        </w:rPr>
        <w:t xml:space="preserve"> </w:t>
      </w:r>
      <w:proofErr w:type="spellStart"/>
      <w:r w:rsidRPr="00524435">
        <w:rPr>
          <w:rStyle w:val="None"/>
        </w:rPr>
        <w:t>Uriana</w:t>
      </w:r>
      <w:proofErr w:type="spellEnd"/>
      <w:r w:rsidRPr="00524435">
        <w:rPr>
          <w:rStyle w:val="None"/>
        </w:rPr>
        <w:t xml:space="preserve">, in Colombia. When making its decision, the Commission reviewed the actions of the State to reach an agreement on the current measures, adopting physical protective measures and advancing the respective investigations. Given the State’s requests to lift the precautionary measures and the 9-year absence of information on the events that posed a risk, the Commission found no grounds to continue supporting the current precautionary measures. </w:t>
      </w:r>
    </w:p>
    <w:p w14:paraId="3904D37D" w14:textId="77777777" w:rsidR="00842401" w:rsidRPr="00E42B49" w:rsidRDefault="00842401" w:rsidP="00842401">
      <w:pPr>
        <w:pStyle w:val="Body"/>
        <w:rPr>
          <w:rStyle w:val="None"/>
          <w:rFonts w:ascii="Cambria" w:hAnsi="Cambria"/>
          <w:b/>
          <w:sz w:val="20"/>
          <w:szCs w:val="20"/>
          <w:lang w:val="es-US"/>
        </w:rPr>
      </w:pPr>
      <w:proofErr w:type="spellStart"/>
      <w:r w:rsidRPr="00E42B49">
        <w:rPr>
          <w:rStyle w:val="None"/>
          <w:rFonts w:ascii="Cambria" w:hAnsi="Cambria"/>
          <w:b/>
          <w:sz w:val="20"/>
          <w:szCs w:val="20"/>
          <w:lang w:val="es-US"/>
        </w:rPr>
        <w:t>Resolution</w:t>
      </w:r>
      <w:proofErr w:type="spellEnd"/>
      <w:r w:rsidRPr="00E42B49">
        <w:rPr>
          <w:rStyle w:val="None"/>
          <w:rFonts w:ascii="Cambria" w:hAnsi="Cambria"/>
          <w:b/>
          <w:sz w:val="20"/>
          <w:szCs w:val="20"/>
          <w:lang w:val="es-US"/>
        </w:rPr>
        <w:t xml:space="preserve"> No. 69/21</w:t>
      </w:r>
      <w:r w:rsidRPr="00E42B49">
        <w:rPr>
          <w:rStyle w:val="None"/>
          <w:rFonts w:ascii="Cambria" w:hAnsi="Cambria"/>
          <w:b/>
          <w:sz w:val="20"/>
          <w:szCs w:val="20"/>
          <w:lang w:val="es-US"/>
        </w:rPr>
        <w:br/>
        <w:t>MC 512-21 - José Alberto Tejada Echeverri and Jhonatan Buitrago, Colombia</w:t>
      </w:r>
    </w:p>
    <w:p w14:paraId="09323C11" w14:textId="77777777" w:rsidR="00842401" w:rsidRPr="00E42B49" w:rsidRDefault="00842401" w:rsidP="00842401">
      <w:pPr>
        <w:pStyle w:val="Body"/>
        <w:jc w:val="both"/>
        <w:rPr>
          <w:rStyle w:val="None"/>
          <w:rFonts w:ascii="Cambria" w:hAnsi="Cambria"/>
          <w:sz w:val="20"/>
          <w:szCs w:val="20"/>
          <w:lang w:val="es-US"/>
        </w:rPr>
      </w:pPr>
    </w:p>
    <w:p w14:paraId="67370548" w14:textId="77777777" w:rsidR="00842401" w:rsidRPr="00524435" w:rsidRDefault="00842401" w:rsidP="009242CD">
      <w:pPr>
        <w:pStyle w:val="ListParagraph"/>
        <w:rPr>
          <w:rStyle w:val="None"/>
          <w:rFonts w:eastAsia="Cambria" w:cs="Cambria"/>
        </w:rPr>
      </w:pPr>
      <w:r w:rsidRPr="00524435">
        <w:rPr>
          <w:rStyle w:val="None"/>
        </w:rPr>
        <w:t xml:space="preserve">On August 28, 2021, the IACHR decided to grant precautionary measures on behalf of journalists José Alberto Tejada </w:t>
      </w:r>
      <w:proofErr w:type="spellStart"/>
      <w:r w:rsidRPr="00524435">
        <w:rPr>
          <w:rStyle w:val="None"/>
        </w:rPr>
        <w:t>Echeverri</w:t>
      </w:r>
      <w:proofErr w:type="spellEnd"/>
      <w:r w:rsidRPr="00524435">
        <w:rPr>
          <w:rStyle w:val="None"/>
        </w:rPr>
        <w:t xml:space="preserve"> and Jhonatan Buitrago, in Colombia. The request for precautionary measures alleged that the beneficiaries, a </w:t>
      </w:r>
      <w:proofErr w:type="gramStart"/>
      <w:r w:rsidRPr="00524435">
        <w:rPr>
          <w:rStyle w:val="None"/>
        </w:rPr>
        <w:t>journalist</w:t>
      </w:r>
      <w:proofErr w:type="gramEnd"/>
      <w:r w:rsidRPr="00524435">
        <w:rPr>
          <w:rStyle w:val="None"/>
        </w:rPr>
        <w:t xml:space="preserve"> and a cameraman from Channel 2 in Cali, had been the object of threats, harassment, and other acts of violence without receiving appropriate, effective protection from the State. After reviewing the allegations of fact and law provided by the petitioners, the Commission deemed that, under the applicable prima facie standard, the situation of journalists José Alberto Tejada </w:t>
      </w:r>
      <w:proofErr w:type="spellStart"/>
      <w:r w:rsidRPr="00524435">
        <w:rPr>
          <w:rStyle w:val="None"/>
        </w:rPr>
        <w:t>Echeverri</w:t>
      </w:r>
      <w:proofErr w:type="spellEnd"/>
      <w:r w:rsidRPr="00524435">
        <w:rPr>
          <w:rStyle w:val="None"/>
        </w:rPr>
        <w:t xml:space="preserve"> and Jhonatan Buitrago was serious and urgent, with their right to life and personal integrity at risk of irreparable harm. Therefore, pursuant to Article 25 of its Rules of Procedure, the Commission requested the State of Colombia to a) adopt the measures necessary to protect the right to life and [personal] integrity of José Alberto Tejada </w:t>
      </w:r>
      <w:proofErr w:type="spellStart"/>
      <w:r w:rsidRPr="00524435">
        <w:rPr>
          <w:rStyle w:val="None"/>
        </w:rPr>
        <w:t>Echeverri</w:t>
      </w:r>
      <w:proofErr w:type="spellEnd"/>
      <w:r w:rsidRPr="00524435">
        <w:rPr>
          <w:rStyle w:val="None"/>
        </w:rPr>
        <w:t xml:space="preserve"> and Jhonatan Buitrago. In particular, the State should ensure that its agents respected the lives and personal integrity of the beneficiaries and protected their rights in connection with acts attributable to third parties that put them at risk, in accordance with the standards established in international human rights law; b) adopt the measures necessary to enable José Alberto Tejada </w:t>
      </w:r>
      <w:proofErr w:type="spellStart"/>
      <w:r w:rsidRPr="00524435">
        <w:rPr>
          <w:rStyle w:val="None"/>
        </w:rPr>
        <w:t>Echeverri</w:t>
      </w:r>
      <w:proofErr w:type="spellEnd"/>
      <w:r w:rsidRPr="00524435">
        <w:rPr>
          <w:rStyle w:val="None"/>
        </w:rPr>
        <w:t xml:space="preserve"> and Jhonatan Buitrago to pursue their activities as journalists without being threatened, harassed, or subjected to other acts of violence in the course of their work; this included the adoption of measures to enable them to duly exercise their right to freedom of expression; c) reach an agreement with the beneficiaries and their representatives on the measures to adopt; and d) report on the action taken to investigate the alleged events that had led to the granting of the current precautionary measure and thus, avoid its repetition. </w:t>
      </w:r>
    </w:p>
    <w:p w14:paraId="44D28255" w14:textId="77777777" w:rsidR="00842401" w:rsidRPr="00E42B49" w:rsidRDefault="00842401" w:rsidP="00842401">
      <w:pPr>
        <w:pStyle w:val="Body"/>
        <w:rPr>
          <w:rStyle w:val="None"/>
          <w:rFonts w:ascii="Cambria" w:hAnsi="Cambria"/>
          <w:b/>
          <w:sz w:val="20"/>
          <w:szCs w:val="20"/>
          <w:lang w:val="es-US"/>
        </w:rPr>
      </w:pPr>
      <w:proofErr w:type="spellStart"/>
      <w:r w:rsidRPr="00E42B49">
        <w:rPr>
          <w:rStyle w:val="None"/>
          <w:rFonts w:ascii="Cambria" w:hAnsi="Cambria"/>
          <w:b/>
          <w:sz w:val="20"/>
          <w:szCs w:val="20"/>
          <w:lang w:val="es-US"/>
        </w:rPr>
        <w:t>Resolution</w:t>
      </w:r>
      <w:proofErr w:type="spellEnd"/>
      <w:r w:rsidRPr="00E42B49">
        <w:rPr>
          <w:rStyle w:val="None"/>
          <w:rFonts w:ascii="Cambria" w:hAnsi="Cambria"/>
          <w:b/>
          <w:sz w:val="20"/>
          <w:szCs w:val="20"/>
          <w:lang w:val="es-US"/>
        </w:rPr>
        <w:t xml:space="preserve"> No. 73/21 (</w:t>
      </w:r>
      <w:proofErr w:type="gramStart"/>
      <w:r w:rsidRPr="00E42B49">
        <w:rPr>
          <w:rStyle w:val="None"/>
          <w:rFonts w:ascii="Cambria" w:hAnsi="Cambria"/>
          <w:b/>
          <w:sz w:val="20"/>
          <w:szCs w:val="20"/>
          <w:lang w:val="es-US"/>
        </w:rPr>
        <w:t>LIFTING</w:t>
      </w:r>
      <w:proofErr w:type="gramEnd"/>
      <w:r w:rsidRPr="00E42B49">
        <w:rPr>
          <w:rStyle w:val="None"/>
          <w:rFonts w:ascii="Cambria" w:hAnsi="Cambria"/>
          <w:b/>
          <w:sz w:val="20"/>
          <w:szCs w:val="20"/>
          <w:lang w:val="es-US"/>
        </w:rPr>
        <w:t>)</w:t>
      </w:r>
      <w:r w:rsidRPr="00E42B49">
        <w:rPr>
          <w:rStyle w:val="None"/>
          <w:rFonts w:ascii="Cambria" w:hAnsi="Cambria"/>
          <w:b/>
          <w:sz w:val="20"/>
          <w:szCs w:val="20"/>
          <w:lang w:val="es-US"/>
        </w:rPr>
        <w:br/>
        <w:t xml:space="preserve">MC 269-10 - Manuel Junior </w:t>
      </w:r>
      <w:proofErr w:type="spellStart"/>
      <w:r w:rsidRPr="00E42B49">
        <w:rPr>
          <w:rStyle w:val="None"/>
          <w:rFonts w:ascii="Cambria" w:hAnsi="Cambria"/>
          <w:b/>
          <w:sz w:val="20"/>
          <w:szCs w:val="20"/>
          <w:lang w:val="es-US"/>
        </w:rPr>
        <w:t>Cortéz</w:t>
      </w:r>
      <w:proofErr w:type="spellEnd"/>
      <w:r w:rsidRPr="00E42B49">
        <w:rPr>
          <w:rStyle w:val="None"/>
          <w:rFonts w:ascii="Cambria" w:hAnsi="Cambria"/>
          <w:b/>
          <w:sz w:val="20"/>
          <w:szCs w:val="20"/>
          <w:lang w:val="es-US"/>
        </w:rPr>
        <w:t xml:space="preserve"> Gómez and Yolanda Gómez Torres, Colombia</w:t>
      </w:r>
    </w:p>
    <w:p w14:paraId="5ADED54A" w14:textId="77777777" w:rsidR="00842401" w:rsidRPr="00E42B49" w:rsidRDefault="00842401" w:rsidP="00842401">
      <w:pPr>
        <w:pStyle w:val="Body"/>
        <w:jc w:val="both"/>
        <w:rPr>
          <w:rStyle w:val="None"/>
          <w:rFonts w:ascii="Cambria" w:hAnsi="Cambria"/>
          <w:sz w:val="20"/>
          <w:szCs w:val="20"/>
          <w:lang w:val="es-US"/>
        </w:rPr>
      </w:pPr>
    </w:p>
    <w:p w14:paraId="31A94CA1" w14:textId="77777777" w:rsidR="00842401" w:rsidRPr="00524435" w:rsidRDefault="00842401" w:rsidP="009242CD">
      <w:pPr>
        <w:pStyle w:val="ListParagraph"/>
        <w:rPr>
          <w:rStyle w:val="None"/>
          <w:rFonts w:eastAsia="Cambria" w:cs="Cambria"/>
        </w:rPr>
      </w:pPr>
      <w:r w:rsidRPr="00524435">
        <w:rPr>
          <w:rStyle w:val="None"/>
        </w:rPr>
        <w:t xml:space="preserve">The Inter-American Commission on Human Rights (IACHR) decided to lift the current precautionary measures on behalf of Manuel Junior </w:t>
      </w:r>
      <w:proofErr w:type="spellStart"/>
      <w:r w:rsidRPr="00524435">
        <w:rPr>
          <w:rStyle w:val="None"/>
        </w:rPr>
        <w:t>Cortéz</w:t>
      </w:r>
      <w:proofErr w:type="spellEnd"/>
      <w:r w:rsidRPr="00524435">
        <w:rPr>
          <w:rStyle w:val="None"/>
        </w:rPr>
        <w:t xml:space="preserve"> Gómez and Yolanda Gómez Torres in Colombia. When rendering its decision, the Commission reviewed the action taken by the State to implement the current measures and noted that the facts reviewed in 2012 had substantially changed. In the matter before it, the State had requested that the current precautionary measures granted in 2014 be lifted and had reiterated this for some time, having adopted the respective measures on behalf of the beneficiaries. Therefore, after reviewing the regulatory requirements, the Commission understood that they were no longer met. </w:t>
      </w:r>
    </w:p>
    <w:p w14:paraId="46ED80AC" w14:textId="77777777" w:rsidR="00842401" w:rsidRPr="00524435" w:rsidRDefault="00842401" w:rsidP="00842401">
      <w:pPr>
        <w:pStyle w:val="Body"/>
        <w:rPr>
          <w:rStyle w:val="None"/>
          <w:rFonts w:ascii="Cambria" w:hAnsi="Cambria"/>
          <w:b/>
          <w:sz w:val="20"/>
          <w:szCs w:val="20"/>
        </w:rPr>
      </w:pPr>
      <w:r w:rsidRPr="00524435">
        <w:rPr>
          <w:rStyle w:val="None"/>
          <w:rFonts w:ascii="Cambria" w:hAnsi="Cambria"/>
          <w:b/>
          <w:sz w:val="20"/>
          <w:szCs w:val="20"/>
        </w:rPr>
        <w:t>Resolution No. 80/21</w:t>
      </w:r>
      <w:r w:rsidRPr="00524435">
        <w:rPr>
          <w:rStyle w:val="None"/>
          <w:rFonts w:ascii="Cambria" w:hAnsi="Cambria"/>
          <w:b/>
          <w:sz w:val="20"/>
          <w:szCs w:val="20"/>
        </w:rPr>
        <w:br/>
        <w:t>MC 491-21 - S.G.R.Q. and her immediate family, Colombia</w:t>
      </w:r>
    </w:p>
    <w:p w14:paraId="206E2B91" w14:textId="77777777" w:rsidR="00842401" w:rsidRPr="00524435" w:rsidRDefault="00842401" w:rsidP="00842401">
      <w:pPr>
        <w:pStyle w:val="Body"/>
        <w:jc w:val="both"/>
        <w:rPr>
          <w:rStyle w:val="None"/>
          <w:rFonts w:ascii="Cambria" w:hAnsi="Cambria"/>
          <w:sz w:val="20"/>
          <w:szCs w:val="20"/>
        </w:rPr>
      </w:pPr>
    </w:p>
    <w:p w14:paraId="3D8A0E6D" w14:textId="77777777" w:rsidR="00842401" w:rsidRPr="00524435" w:rsidRDefault="00842401" w:rsidP="009242CD">
      <w:pPr>
        <w:pStyle w:val="ListParagraph"/>
        <w:rPr>
          <w:rStyle w:val="None"/>
          <w:rFonts w:eastAsia="Cambria" w:cs="Cambria"/>
        </w:rPr>
      </w:pPr>
      <w:r w:rsidRPr="00524435">
        <w:rPr>
          <w:rStyle w:val="None"/>
        </w:rPr>
        <w:t xml:space="preserve">On October 4, 2021, the IACHR decided to grant precautionary protection measures on behalf of S.G.R.Q. and her immediate family having found that they were in a serious and urgent situation that posed the risk of irreparable harm to their rights in Colombia. Therefore, pursuant to Article 25 of the Rules of Procedure, the Commission requested Colombia to: a) adopt the measures necessary to protect the right to life and personal integrity of Mrs. S.G.R.Q. and her immediate family. In particular, the State should ensure that the protective measures implemented were sufficiently effective and adequate, with the respective </w:t>
      </w:r>
      <w:proofErr w:type="spellStart"/>
      <w:r w:rsidRPr="00524435">
        <w:rPr>
          <w:rStyle w:val="None"/>
        </w:rPr>
        <w:t>ethnoracial</w:t>
      </w:r>
      <w:proofErr w:type="spellEnd"/>
      <w:r w:rsidRPr="00524435">
        <w:rPr>
          <w:rStyle w:val="None"/>
        </w:rPr>
        <w:t xml:space="preserve"> and </w:t>
      </w:r>
      <w:r w:rsidRPr="00524435">
        <w:rPr>
          <w:rStyle w:val="None"/>
        </w:rPr>
        <w:lastRenderedPageBreak/>
        <w:t xml:space="preserve">gender approach, given the risks identified in the Resolution, and addressed the failings indicated; b) adopt the protective measures necessary for Mrs. S.G.R.Q. to continue her activities as a community leader and human rights defender without being subjected to events that put her at risk; c) reach an agreement with the beneficiaries and their representatives on the measures to implement; and d) report on the action taken to investigate the alleged events that had led to the granting of this precautionary measure and thus, avoid its repetition. </w:t>
      </w:r>
    </w:p>
    <w:p w14:paraId="745840A3" w14:textId="77777777" w:rsidR="00842401" w:rsidRPr="00E42B49" w:rsidRDefault="00842401" w:rsidP="00842401">
      <w:pPr>
        <w:pStyle w:val="Body"/>
        <w:rPr>
          <w:rStyle w:val="None"/>
          <w:rFonts w:ascii="Cambria" w:hAnsi="Cambria"/>
          <w:b/>
          <w:sz w:val="20"/>
          <w:szCs w:val="20"/>
          <w:lang w:val="es-US"/>
        </w:rPr>
      </w:pPr>
      <w:proofErr w:type="spellStart"/>
      <w:r w:rsidRPr="00E42B49">
        <w:rPr>
          <w:rStyle w:val="None"/>
          <w:rFonts w:ascii="Cambria" w:hAnsi="Cambria"/>
          <w:b/>
          <w:sz w:val="20"/>
          <w:szCs w:val="20"/>
          <w:lang w:val="es-US"/>
        </w:rPr>
        <w:t>Resolution</w:t>
      </w:r>
      <w:proofErr w:type="spellEnd"/>
      <w:r w:rsidRPr="00E42B49">
        <w:rPr>
          <w:rStyle w:val="None"/>
          <w:rFonts w:ascii="Cambria" w:hAnsi="Cambria"/>
          <w:b/>
          <w:sz w:val="20"/>
          <w:szCs w:val="20"/>
          <w:lang w:val="es-US"/>
        </w:rPr>
        <w:t xml:space="preserve"> No. 81/21</w:t>
      </w:r>
      <w:r w:rsidRPr="00E42B49">
        <w:rPr>
          <w:rStyle w:val="None"/>
          <w:rFonts w:ascii="Cambria" w:hAnsi="Cambria"/>
          <w:b/>
          <w:sz w:val="20"/>
          <w:szCs w:val="20"/>
          <w:lang w:val="es-US"/>
        </w:rPr>
        <w:br/>
        <w:t>MC 886-21 - Sebastián Quiñónez Echavarría, Colombia</w:t>
      </w:r>
    </w:p>
    <w:p w14:paraId="78B4B3A2" w14:textId="77777777" w:rsidR="00842401" w:rsidRPr="00E42B49" w:rsidRDefault="00842401" w:rsidP="00842401">
      <w:pPr>
        <w:pStyle w:val="Body"/>
        <w:jc w:val="both"/>
        <w:rPr>
          <w:rStyle w:val="None"/>
          <w:rFonts w:ascii="Cambria" w:hAnsi="Cambria"/>
          <w:sz w:val="20"/>
          <w:szCs w:val="20"/>
          <w:lang w:val="es-US"/>
        </w:rPr>
      </w:pPr>
    </w:p>
    <w:p w14:paraId="475C48F5" w14:textId="77777777" w:rsidR="00842401" w:rsidRPr="00524435" w:rsidRDefault="00842401" w:rsidP="009242CD">
      <w:pPr>
        <w:pStyle w:val="ListParagraph"/>
        <w:rPr>
          <w:rStyle w:val="None"/>
          <w:rFonts w:eastAsia="Cambria" w:cs="Cambria"/>
        </w:rPr>
      </w:pPr>
      <w:r w:rsidRPr="00524435">
        <w:rPr>
          <w:rStyle w:val="None"/>
        </w:rPr>
        <w:t xml:space="preserve">On October 6, 2021, the IACHR decided to grant precautionary measures on behalf of Sebastián </w:t>
      </w:r>
      <w:proofErr w:type="spellStart"/>
      <w:r w:rsidRPr="00524435">
        <w:rPr>
          <w:rStyle w:val="None"/>
        </w:rPr>
        <w:t>Quiñonez</w:t>
      </w:r>
      <w:proofErr w:type="spellEnd"/>
      <w:r w:rsidRPr="00524435">
        <w:rPr>
          <w:rStyle w:val="None"/>
        </w:rPr>
        <w:t xml:space="preserve"> </w:t>
      </w:r>
      <w:proofErr w:type="spellStart"/>
      <w:r w:rsidRPr="00524435">
        <w:rPr>
          <w:rStyle w:val="None"/>
        </w:rPr>
        <w:t>Echavarría</w:t>
      </w:r>
      <w:proofErr w:type="spellEnd"/>
      <w:r w:rsidRPr="00524435">
        <w:rPr>
          <w:rStyle w:val="None"/>
        </w:rPr>
        <w:t xml:space="preserve">, in Colombia. According to the request, the situation of Sebastián </w:t>
      </w:r>
      <w:proofErr w:type="spellStart"/>
      <w:r w:rsidRPr="00524435">
        <w:rPr>
          <w:rStyle w:val="None"/>
        </w:rPr>
        <w:t>Quiñónez</w:t>
      </w:r>
      <w:proofErr w:type="spellEnd"/>
      <w:r w:rsidRPr="00524435">
        <w:rPr>
          <w:rStyle w:val="None"/>
        </w:rPr>
        <w:t xml:space="preserve"> </w:t>
      </w:r>
      <w:proofErr w:type="spellStart"/>
      <w:r w:rsidRPr="00524435">
        <w:rPr>
          <w:rStyle w:val="None"/>
        </w:rPr>
        <w:t>Echavarría</w:t>
      </w:r>
      <w:proofErr w:type="spellEnd"/>
      <w:r w:rsidRPr="00524435">
        <w:rPr>
          <w:rStyle w:val="None"/>
        </w:rPr>
        <w:t xml:space="preserve">, a young soldier in the National Army in active compulsory military service in Alta Montaña No. 3 battalion in the municipality of </w:t>
      </w:r>
      <w:proofErr w:type="spellStart"/>
      <w:r w:rsidRPr="00524435">
        <w:rPr>
          <w:rStyle w:val="None"/>
        </w:rPr>
        <w:t>Dagua</w:t>
      </w:r>
      <w:proofErr w:type="spellEnd"/>
      <w:r w:rsidRPr="00524435">
        <w:rPr>
          <w:rStyle w:val="None"/>
        </w:rPr>
        <w:t xml:space="preserve">, Valle del Cauca, was serious and urgent, since from August 23, </w:t>
      </w:r>
      <w:proofErr w:type="gramStart"/>
      <w:r w:rsidRPr="00524435">
        <w:rPr>
          <w:rStyle w:val="None"/>
        </w:rPr>
        <w:t>2021</w:t>
      </w:r>
      <w:proofErr w:type="gramEnd"/>
      <w:r w:rsidRPr="00524435">
        <w:rPr>
          <w:rStyle w:val="None"/>
        </w:rPr>
        <w:t xml:space="preserve"> to date, there had been no information on his whereabouts or fate. Therefore, pursuant to Article 25 of the Rules of Procedure, the Commission requested the State of Colombia to adopt the measures necessary to ascertain the whereabouts or fate of Sebastián </w:t>
      </w:r>
      <w:proofErr w:type="spellStart"/>
      <w:r w:rsidRPr="00524435">
        <w:rPr>
          <w:rStyle w:val="None"/>
        </w:rPr>
        <w:t>Quiñónez</w:t>
      </w:r>
      <w:proofErr w:type="spellEnd"/>
      <w:r w:rsidRPr="00524435">
        <w:rPr>
          <w:rStyle w:val="None"/>
        </w:rPr>
        <w:t xml:space="preserve"> </w:t>
      </w:r>
      <w:proofErr w:type="spellStart"/>
      <w:r w:rsidRPr="00524435">
        <w:rPr>
          <w:rStyle w:val="None"/>
        </w:rPr>
        <w:t>Echavarría</w:t>
      </w:r>
      <w:proofErr w:type="spellEnd"/>
      <w:r w:rsidRPr="00524435">
        <w:rPr>
          <w:rStyle w:val="None"/>
        </w:rPr>
        <w:t xml:space="preserve"> to protect his right to life and personal integrity; and to report on the action taken to investigate the alleged events that had led to the adoption of this Resolution and thus, avoid their repetition. </w:t>
      </w:r>
    </w:p>
    <w:p w14:paraId="3A67C9A1" w14:textId="77777777" w:rsidR="00842401" w:rsidRPr="00524435" w:rsidRDefault="00842401" w:rsidP="00EE2E94">
      <w:pPr>
        <w:pStyle w:val="Body"/>
        <w:rPr>
          <w:rStyle w:val="None"/>
          <w:rFonts w:ascii="Cambria" w:hAnsi="Cambria"/>
          <w:b/>
          <w:sz w:val="20"/>
          <w:szCs w:val="20"/>
        </w:rPr>
      </w:pPr>
      <w:r w:rsidRPr="00524435">
        <w:rPr>
          <w:rStyle w:val="None"/>
          <w:rFonts w:ascii="Cambria" w:hAnsi="Cambria"/>
          <w:b/>
          <w:sz w:val="20"/>
          <w:szCs w:val="20"/>
        </w:rPr>
        <w:t>Resolution No. 99/21 (FOLLOW-UP)</w:t>
      </w:r>
      <w:r w:rsidRPr="00524435">
        <w:rPr>
          <w:rStyle w:val="None"/>
          <w:rFonts w:ascii="Cambria" w:hAnsi="Cambria"/>
          <w:b/>
          <w:sz w:val="20"/>
          <w:szCs w:val="20"/>
        </w:rPr>
        <w:br/>
        <w:t xml:space="preserve">PM 51-15 - Children and adolescents from the communities of the municipalities of </w:t>
      </w:r>
      <w:proofErr w:type="spellStart"/>
      <w:r w:rsidRPr="00524435">
        <w:rPr>
          <w:rStyle w:val="None"/>
          <w:rFonts w:ascii="Cambria" w:hAnsi="Cambria"/>
          <w:b/>
          <w:sz w:val="20"/>
          <w:szCs w:val="20"/>
        </w:rPr>
        <w:t>Uribía</w:t>
      </w:r>
      <w:proofErr w:type="spellEnd"/>
      <w:r w:rsidRPr="00524435">
        <w:rPr>
          <w:rStyle w:val="None"/>
          <w:rFonts w:ascii="Cambria" w:hAnsi="Cambria"/>
          <w:b/>
          <w:sz w:val="20"/>
          <w:szCs w:val="20"/>
        </w:rPr>
        <w:t xml:space="preserve">, </w:t>
      </w:r>
      <w:proofErr w:type="spellStart"/>
      <w:r w:rsidRPr="00524435">
        <w:rPr>
          <w:rStyle w:val="None"/>
          <w:rFonts w:ascii="Cambria" w:hAnsi="Cambria"/>
          <w:b/>
          <w:sz w:val="20"/>
          <w:szCs w:val="20"/>
        </w:rPr>
        <w:t>Manaure</w:t>
      </w:r>
      <w:proofErr w:type="spellEnd"/>
      <w:r w:rsidRPr="00524435">
        <w:rPr>
          <w:rStyle w:val="None"/>
          <w:rFonts w:ascii="Cambria" w:hAnsi="Cambria"/>
          <w:b/>
          <w:sz w:val="20"/>
          <w:szCs w:val="20"/>
        </w:rPr>
        <w:t xml:space="preserve">, </w:t>
      </w:r>
      <w:proofErr w:type="spellStart"/>
      <w:r w:rsidRPr="00524435">
        <w:rPr>
          <w:rStyle w:val="None"/>
          <w:rFonts w:ascii="Cambria" w:hAnsi="Cambria"/>
          <w:b/>
          <w:sz w:val="20"/>
          <w:szCs w:val="20"/>
        </w:rPr>
        <w:t>Riohacha</w:t>
      </w:r>
      <w:proofErr w:type="spellEnd"/>
      <w:r w:rsidRPr="00524435">
        <w:rPr>
          <w:rStyle w:val="None"/>
          <w:rFonts w:ascii="Cambria" w:hAnsi="Cambria"/>
          <w:b/>
          <w:sz w:val="20"/>
          <w:szCs w:val="20"/>
        </w:rPr>
        <w:t xml:space="preserve">, and </w:t>
      </w:r>
      <w:proofErr w:type="spellStart"/>
      <w:r w:rsidRPr="00524435">
        <w:rPr>
          <w:rStyle w:val="None"/>
          <w:rFonts w:ascii="Cambria" w:hAnsi="Cambria"/>
          <w:b/>
          <w:sz w:val="20"/>
          <w:szCs w:val="20"/>
        </w:rPr>
        <w:t>Maicao</w:t>
      </w:r>
      <w:proofErr w:type="spellEnd"/>
      <w:r w:rsidRPr="00524435">
        <w:rPr>
          <w:rStyle w:val="None"/>
          <w:rFonts w:ascii="Cambria" w:hAnsi="Cambria"/>
          <w:b/>
          <w:sz w:val="20"/>
          <w:szCs w:val="20"/>
        </w:rPr>
        <w:t xml:space="preserve"> of the </w:t>
      </w:r>
      <w:proofErr w:type="spellStart"/>
      <w:r w:rsidRPr="00524435">
        <w:rPr>
          <w:rStyle w:val="None"/>
          <w:rFonts w:ascii="Cambria" w:hAnsi="Cambria"/>
          <w:b/>
          <w:sz w:val="20"/>
          <w:szCs w:val="20"/>
        </w:rPr>
        <w:t>Wayúu</w:t>
      </w:r>
      <w:proofErr w:type="spellEnd"/>
      <w:r w:rsidRPr="00524435">
        <w:rPr>
          <w:rStyle w:val="None"/>
          <w:rFonts w:ascii="Cambria" w:hAnsi="Cambria"/>
          <w:b/>
          <w:sz w:val="20"/>
          <w:szCs w:val="20"/>
        </w:rPr>
        <w:t xml:space="preserve"> People in the department of La Guajira et al., Colombia</w:t>
      </w:r>
    </w:p>
    <w:p w14:paraId="3AAEEB2C" w14:textId="77777777" w:rsidR="00842401" w:rsidRPr="00524435" w:rsidRDefault="00842401" w:rsidP="002645C5">
      <w:pPr>
        <w:spacing w:after="0" w:line="240" w:lineRule="auto"/>
        <w:jc w:val="both"/>
        <w:rPr>
          <w:rFonts w:ascii="Cambria" w:eastAsia="Cambria" w:hAnsi="Cambria" w:cs="Cambria"/>
          <w:color w:val="000000" w:themeColor="text1"/>
          <w:sz w:val="20"/>
          <w:szCs w:val="20"/>
        </w:rPr>
      </w:pPr>
    </w:p>
    <w:p w14:paraId="6380CDF9" w14:textId="77777777" w:rsidR="00842401" w:rsidRPr="00524435" w:rsidRDefault="00842401" w:rsidP="009242CD">
      <w:pPr>
        <w:pStyle w:val="ListParagraph"/>
      </w:pPr>
      <w:r w:rsidRPr="00524435">
        <w:t xml:space="preserve">The Inter-American Commission on Human Rights (IACHR) decides to issue this resolution on the follow-up of precautionary measures under the terms of Article 25 of its Rules of Procedure. The IACHR values positively the actions implemented by the State in the case; calls on the parties to continue with the spaces for consultation; makes a series of assessments </w:t>
      </w:r>
      <w:proofErr w:type="gramStart"/>
      <w:r w:rsidRPr="00524435">
        <w:t>in light of</w:t>
      </w:r>
      <w:proofErr w:type="gramEnd"/>
      <w:r w:rsidRPr="00524435">
        <w:t xml:space="preserve"> the information available; and places itself at the disposal of the parties to carry out an on-site visit to the municipalities of the department of La Guajira where the three groups of beneficiaries live.</w:t>
      </w:r>
    </w:p>
    <w:p w14:paraId="5F6AC53D" w14:textId="77777777" w:rsidR="00842401" w:rsidRPr="007A5442" w:rsidRDefault="00842401" w:rsidP="00EE2E94">
      <w:pPr>
        <w:pStyle w:val="Body"/>
        <w:rPr>
          <w:rStyle w:val="None"/>
          <w:rFonts w:ascii="Cambria" w:hAnsi="Cambria"/>
          <w:b/>
          <w:sz w:val="20"/>
          <w:szCs w:val="20"/>
          <w:lang w:val="es-ES"/>
        </w:rPr>
      </w:pPr>
      <w:proofErr w:type="spellStart"/>
      <w:r w:rsidRPr="007A5442">
        <w:rPr>
          <w:rStyle w:val="None"/>
          <w:rFonts w:ascii="Cambria" w:hAnsi="Cambria"/>
          <w:b/>
          <w:sz w:val="20"/>
          <w:szCs w:val="20"/>
          <w:lang w:val="es-ES"/>
        </w:rPr>
        <w:t>Resolution</w:t>
      </w:r>
      <w:proofErr w:type="spellEnd"/>
      <w:r w:rsidRPr="007A5442">
        <w:rPr>
          <w:rStyle w:val="None"/>
          <w:rFonts w:ascii="Cambria" w:hAnsi="Cambria"/>
          <w:b/>
          <w:sz w:val="20"/>
          <w:szCs w:val="20"/>
          <w:lang w:val="es-ES"/>
        </w:rPr>
        <w:t xml:space="preserve"> No. 106/21</w:t>
      </w:r>
      <w:r w:rsidRPr="007A5442">
        <w:rPr>
          <w:rStyle w:val="None"/>
          <w:rFonts w:ascii="Cambria" w:hAnsi="Cambria"/>
          <w:b/>
          <w:sz w:val="20"/>
          <w:szCs w:val="20"/>
          <w:lang w:val="es-ES"/>
        </w:rPr>
        <w:br/>
        <w:t>PM 306-21 - N.V.E., Colombia</w:t>
      </w:r>
    </w:p>
    <w:p w14:paraId="1E1D91B3" w14:textId="77777777" w:rsidR="00842401" w:rsidRPr="007A5442" w:rsidRDefault="00842401" w:rsidP="002645C5">
      <w:pPr>
        <w:spacing w:after="0" w:line="240" w:lineRule="auto"/>
        <w:jc w:val="both"/>
        <w:rPr>
          <w:rFonts w:ascii="Cambria" w:eastAsia="Cambria" w:hAnsi="Cambria" w:cs="Cambria"/>
          <w:color w:val="000000" w:themeColor="text1"/>
          <w:sz w:val="20"/>
          <w:szCs w:val="20"/>
          <w:lang w:val="es-ES"/>
        </w:rPr>
      </w:pPr>
    </w:p>
    <w:p w14:paraId="6F6B4003" w14:textId="77777777" w:rsidR="00842401" w:rsidRPr="00524435" w:rsidRDefault="00842401" w:rsidP="009242CD">
      <w:pPr>
        <w:pStyle w:val="ListParagraph"/>
      </w:pPr>
      <w:r w:rsidRPr="00524435">
        <w:t xml:space="preserve">On December 24, 2021, the IACHR decided to grant precautionary measures in favor of the adolescent N.V.E., in Colombia, who is intersex and was diagnosed at birth with “classic congenital adrenal hyperplasia,” salt-losing variety, an orphan and incurable disease. The request for precautionary measures alleged delays in the delivery of prescribed medications considered vital and obstacles in scheduling surgeries to modify the adolescent's sexual characteristics. Consequently, the IACHR requested that Colombia: a) adopt the necessary measures to protect the rights to life, personal integrity, and health of N.V.E. </w:t>
      </w:r>
      <w:proofErr w:type="gramStart"/>
      <w:r w:rsidRPr="00524435">
        <w:t>In particular, continue</w:t>
      </w:r>
      <w:proofErr w:type="gramEnd"/>
      <w:r w:rsidRPr="00524435">
        <w:t xml:space="preserve"> to guarantee that she has access to timely medical and psychological treatment, in accordance with the prescriptions and evaluations of competent physicians and under the applicable international standards, including those concerning intersex persons. These measures must be adopted in accordance with the prior, informed, and free consent of the beneficiary; and b) consult and agree upon the measures to be adopted with the beneficiary’s representation and the beneficiary, and if applicable, her father, mother, or guardian, considering her age.</w:t>
      </w:r>
    </w:p>
    <w:p w14:paraId="0083B7F1" w14:textId="77777777" w:rsidR="00842401" w:rsidRPr="00524435" w:rsidRDefault="00842401" w:rsidP="009C314A">
      <w:pPr>
        <w:spacing w:after="240" w:line="240" w:lineRule="auto"/>
        <w:rPr>
          <w:rFonts w:ascii="Cambria" w:eastAsia="Cambria" w:hAnsi="Cambria" w:cs="Cambria"/>
          <w:b/>
          <w:bCs/>
          <w:color w:val="000000" w:themeColor="text1"/>
          <w:sz w:val="20"/>
          <w:szCs w:val="20"/>
        </w:rPr>
      </w:pPr>
      <w:r w:rsidRPr="00524435">
        <w:rPr>
          <w:rFonts w:ascii="Cambria" w:eastAsia="Cambria" w:hAnsi="Cambria" w:cs="Cambria"/>
          <w:b/>
          <w:bCs/>
          <w:color w:val="000000" w:themeColor="text1"/>
          <w:sz w:val="20"/>
          <w:szCs w:val="20"/>
        </w:rPr>
        <w:t>Resolution No. 108/21(LIFT)</w:t>
      </w:r>
      <w:r w:rsidRPr="00524435">
        <w:rPr>
          <w:rFonts w:ascii="Cambria" w:hAnsi="Cambria"/>
          <w:b/>
          <w:bCs/>
          <w:sz w:val="20"/>
          <w:szCs w:val="20"/>
        </w:rPr>
        <w:br/>
      </w:r>
      <w:r w:rsidRPr="00524435">
        <w:rPr>
          <w:rFonts w:ascii="Cambria" w:eastAsia="Cambria" w:hAnsi="Cambria" w:cs="Cambria"/>
          <w:b/>
          <w:bCs/>
          <w:color w:val="000000" w:themeColor="text1"/>
          <w:sz w:val="20"/>
          <w:szCs w:val="20"/>
        </w:rPr>
        <w:t xml:space="preserve">PM 336-14 - </w:t>
      </w:r>
      <w:proofErr w:type="spellStart"/>
      <w:r w:rsidRPr="00524435">
        <w:rPr>
          <w:rFonts w:ascii="Cambria" w:eastAsia="Cambria" w:hAnsi="Cambria" w:cs="Cambria"/>
          <w:b/>
          <w:bCs/>
          <w:color w:val="000000" w:themeColor="text1"/>
          <w:sz w:val="20"/>
          <w:szCs w:val="20"/>
        </w:rPr>
        <w:t>Gener</w:t>
      </w:r>
      <w:proofErr w:type="spellEnd"/>
      <w:r w:rsidRPr="00524435">
        <w:rPr>
          <w:rFonts w:ascii="Cambria" w:eastAsia="Cambria" w:hAnsi="Cambria" w:cs="Cambria"/>
          <w:b/>
          <w:bCs/>
          <w:color w:val="000000" w:themeColor="text1"/>
          <w:sz w:val="20"/>
          <w:szCs w:val="20"/>
        </w:rPr>
        <w:t xml:space="preserve"> </w:t>
      </w:r>
      <w:proofErr w:type="spellStart"/>
      <w:r w:rsidRPr="00524435">
        <w:rPr>
          <w:rFonts w:ascii="Cambria" w:eastAsia="Cambria" w:hAnsi="Cambria" w:cs="Cambria"/>
          <w:b/>
          <w:bCs/>
          <w:color w:val="000000" w:themeColor="text1"/>
          <w:sz w:val="20"/>
          <w:szCs w:val="20"/>
        </w:rPr>
        <w:t>Jhonathan</w:t>
      </w:r>
      <w:proofErr w:type="spellEnd"/>
      <w:r w:rsidRPr="00524435">
        <w:rPr>
          <w:rFonts w:ascii="Cambria" w:eastAsia="Cambria" w:hAnsi="Cambria" w:cs="Cambria"/>
          <w:b/>
          <w:bCs/>
          <w:color w:val="000000" w:themeColor="text1"/>
          <w:sz w:val="20"/>
          <w:szCs w:val="20"/>
        </w:rPr>
        <w:t xml:space="preserve"> </w:t>
      </w:r>
      <w:proofErr w:type="spellStart"/>
      <w:r w:rsidRPr="00524435">
        <w:rPr>
          <w:rFonts w:ascii="Cambria" w:eastAsia="Cambria" w:hAnsi="Cambria" w:cs="Cambria"/>
          <w:b/>
          <w:bCs/>
          <w:color w:val="000000" w:themeColor="text1"/>
          <w:sz w:val="20"/>
          <w:szCs w:val="20"/>
        </w:rPr>
        <w:t>Echeverry</w:t>
      </w:r>
      <w:proofErr w:type="spellEnd"/>
      <w:r w:rsidRPr="00524435">
        <w:rPr>
          <w:rFonts w:ascii="Cambria" w:eastAsia="Cambria" w:hAnsi="Cambria" w:cs="Cambria"/>
          <w:b/>
          <w:bCs/>
          <w:color w:val="000000" w:themeColor="text1"/>
          <w:sz w:val="20"/>
          <w:szCs w:val="20"/>
        </w:rPr>
        <w:t xml:space="preserve"> Ceballos and family, Colombia</w:t>
      </w:r>
    </w:p>
    <w:p w14:paraId="69A036DA" w14:textId="77777777" w:rsidR="00842401" w:rsidRPr="00524435" w:rsidRDefault="00842401" w:rsidP="009242CD">
      <w:pPr>
        <w:pStyle w:val="ListParagraph"/>
      </w:pPr>
      <w:r w:rsidRPr="00524435">
        <w:t xml:space="preserve">The Inter-American Commission on Human Rights (IACHR) decides to lift these precautionary measures in favor of </w:t>
      </w:r>
      <w:proofErr w:type="spellStart"/>
      <w:r w:rsidRPr="00524435">
        <w:t>Gener</w:t>
      </w:r>
      <w:proofErr w:type="spellEnd"/>
      <w:r w:rsidRPr="00524435">
        <w:t xml:space="preserve"> </w:t>
      </w:r>
      <w:proofErr w:type="spellStart"/>
      <w:r w:rsidRPr="00524435">
        <w:t>Jhonathan</w:t>
      </w:r>
      <w:proofErr w:type="spellEnd"/>
      <w:r w:rsidRPr="00524435">
        <w:t xml:space="preserve"> </w:t>
      </w:r>
      <w:proofErr w:type="spellStart"/>
      <w:r w:rsidRPr="00524435">
        <w:t>Echeverry</w:t>
      </w:r>
      <w:proofErr w:type="spellEnd"/>
      <w:r w:rsidRPr="00524435">
        <w:t xml:space="preserve"> Ceballos and his family, in Colombia. At the time of making its decision, the Commission assessed the actions taken by the State during implementation, as well as the observations made by the beneficiaries’ representation. Following the requests made by the State to have the </w:t>
      </w:r>
      <w:r w:rsidRPr="00524435">
        <w:lastRenderedPageBreak/>
        <w:t>measures lifted, the IACHR repeatedly requested observations from the representation, who sent the last response on September 30, 2015, and without responding to the requests for information made in 2015, 2016, 2017, 2019 and 2021. Upon not identifying compliance with the procedural requirements, the IACHR decided to lift these measures.</w:t>
      </w:r>
    </w:p>
    <w:p w14:paraId="426535FE" w14:textId="77777777" w:rsidR="00842401" w:rsidRPr="00524435" w:rsidRDefault="00842401" w:rsidP="00EE2E94">
      <w:pPr>
        <w:pStyle w:val="Body"/>
        <w:rPr>
          <w:rStyle w:val="None"/>
          <w:rFonts w:ascii="Cambria" w:hAnsi="Cambria"/>
          <w:b/>
          <w:sz w:val="20"/>
          <w:szCs w:val="20"/>
        </w:rPr>
      </w:pPr>
      <w:r w:rsidRPr="00524435">
        <w:rPr>
          <w:rStyle w:val="None"/>
          <w:rFonts w:ascii="Cambria" w:hAnsi="Cambria"/>
          <w:b/>
          <w:sz w:val="20"/>
          <w:szCs w:val="20"/>
        </w:rPr>
        <w:t>Resolution No. 110/21</w:t>
      </w:r>
      <w:r w:rsidRPr="00524435">
        <w:rPr>
          <w:rStyle w:val="None"/>
          <w:rFonts w:ascii="Cambria" w:hAnsi="Cambria"/>
          <w:b/>
          <w:sz w:val="20"/>
          <w:szCs w:val="20"/>
        </w:rPr>
        <w:br/>
        <w:t xml:space="preserve">PM 799-21 - John Fernando Marín </w:t>
      </w:r>
      <w:proofErr w:type="spellStart"/>
      <w:r w:rsidRPr="00524435">
        <w:rPr>
          <w:rStyle w:val="None"/>
          <w:rFonts w:ascii="Cambria" w:hAnsi="Cambria"/>
          <w:b/>
          <w:sz w:val="20"/>
          <w:szCs w:val="20"/>
        </w:rPr>
        <w:t>Marín</w:t>
      </w:r>
      <w:proofErr w:type="spellEnd"/>
      <w:r w:rsidRPr="00524435">
        <w:rPr>
          <w:rStyle w:val="None"/>
          <w:rFonts w:ascii="Cambria" w:hAnsi="Cambria"/>
          <w:b/>
          <w:sz w:val="20"/>
          <w:szCs w:val="20"/>
        </w:rPr>
        <w:t xml:space="preserve">, </w:t>
      </w:r>
      <w:proofErr w:type="spellStart"/>
      <w:r w:rsidRPr="00524435">
        <w:rPr>
          <w:rStyle w:val="None"/>
          <w:rFonts w:ascii="Cambria" w:hAnsi="Cambria"/>
          <w:b/>
          <w:sz w:val="20"/>
          <w:szCs w:val="20"/>
        </w:rPr>
        <w:t>Fredemyr</w:t>
      </w:r>
      <w:proofErr w:type="spellEnd"/>
      <w:r w:rsidRPr="00524435">
        <w:rPr>
          <w:rStyle w:val="None"/>
          <w:rFonts w:ascii="Cambria" w:hAnsi="Cambria"/>
          <w:b/>
          <w:sz w:val="20"/>
          <w:szCs w:val="20"/>
        </w:rPr>
        <w:t xml:space="preserve"> Alberto Marín </w:t>
      </w:r>
      <w:proofErr w:type="spellStart"/>
      <w:r w:rsidRPr="00524435">
        <w:rPr>
          <w:rStyle w:val="None"/>
          <w:rFonts w:ascii="Cambria" w:hAnsi="Cambria"/>
          <w:b/>
          <w:sz w:val="20"/>
          <w:szCs w:val="20"/>
        </w:rPr>
        <w:t>Marín</w:t>
      </w:r>
      <w:proofErr w:type="spellEnd"/>
      <w:r w:rsidRPr="00524435">
        <w:rPr>
          <w:rStyle w:val="None"/>
          <w:rFonts w:ascii="Cambria" w:hAnsi="Cambria"/>
          <w:b/>
          <w:sz w:val="20"/>
          <w:szCs w:val="20"/>
        </w:rPr>
        <w:t>, and family, Colombia</w:t>
      </w:r>
    </w:p>
    <w:p w14:paraId="3FD52139" w14:textId="77777777" w:rsidR="00842401" w:rsidRPr="00524435" w:rsidRDefault="00842401" w:rsidP="002645C5">
      <w:pPr>
        <w:spacing w:after="0" w:line="240" w:lineRule="auto"/>
        <w:jc w:val="both"/>
        <w:rPr>
          <w:rFonts w:ascii="Cambria" w:eastAsia="Cambria" w:hAnsi="Cambria" w:cs="Cambria"/>
          <w:color w:val="000000" w:themeColor="text1"/>
          <w:sz w:val="20"/>
          <w:szCs w:val="20"/>
        </w:rPr>
      </w:pPr>
    </w:p>
    <w:p w14:paraId="6E685A47" w14:textId="77777777" w:rsidR="00842401" w:rsidRPr="00524435" w:rsidRDefault="00842401" w:rsidP="009242CD">
      <w:pPr>
        <w:pStyle w:val="ListParagraph"/>
      </w:pPr>
      <w:r w:rsidRPr="00524435">
        <w:t xml:space="preserve">On December 31, 2021, the IACHR decided to grant precautionary measures in favor of John Fernando Marín </w:t>
      </w:r>
      <w:proofErr w:type="spellStart"/>
      <w:r w:rsidRPr="00524435">
        <w:t>Marín</w:t>
      </w:r>
      <w:proofErr w:type="spellEnd"/>
      <w:r w:rsidRPr="00524435">
        <w:t xml:space="preserve"> and </w:t>
      </w:r>
      <w:proofErr w:type="spellStart"/>
      <w:r w:rsidRPr="00524435">
        <w:t>Fredemyr</w:t>
      </w:r>
      <w:proofErr w:type="spellEnd"/>
      <w:r w:rsidRPr="00524435">
        <w:t xml:space="preserve"> Alberto Marín </w:t>
      </w:r>
      <w:proofErr w:type="spellStart"/>
      <w:r w:rsidRPr="00524435">
        <w:t>Marín</w:t>
      </w:r>
      <w:proofErr w:type="spellEnd"/>
      <w:r w:rsidRPr="00524435">
        <w:t xml:space="preserve">, in Colombia. The request for precautionary measures alleges that the beneficiary, John Fernando, has been subjected to threats and harassment against him </w:t>
      </w:r>
      <w:proofErr w:type="gramStart"/>
      <w:r w:rsidRPr="00524435">
        <w:t>as a result of</w:t>
      </w:r>
      <w:proofErr w:type="gramEnd"/>
      <w:r w:rsidRPr="00524435">
        <w:t xml:space="preserve"> his work as coordinator of medical missions in the national strike. In turn, </w:t>
      </w:r>
      <w:proofErr w:type="spellStart"/>
      <w:r w:rsidRPr="00524435">
        <w:t>Fredemyr</w:t>
      </w:r>
      <w:proofErr w:type="spellEnd"/>
      <w:r w:rsidRPr="00524435">
        <w:t xml:space="preserve"> Alberto has been missing since November 10, 2021. Upon analyzing the submissions of fact and law offered by the applicants, the Commission considered that John Fernando Marín </w:t>
      </w:r>
      <w:proofErr w:type="spellStart"/>
      <w:r w:rsidRPr="00524435">
        <w:t>Marín</w:t>
      </w:r>
      <w:proofErr w:type="spellEnd"/>
      <w:r w:rsidRPr="00524435">
        <w:t xml:space="preserve"> and </w:t>
      </w:r>
      <w:proofErr w:type="spellStart"/>
      <w:r w:rsidRPr="00524435">
        <w:t>Fredemyr</w:t>
      </w:r>
      <w:proofErr w:type="spellEnd"/>
      <w:r w:rsidRPr="00524435">
        <w:t xml:space="preserve"> Alberto Marín </w:t>
      </w:r>
      <w:proofErr w:type="spellStart"/>
      <w:r w:rsidRPr="00524435">
        <w:t>Marín</w:t>
      </w:r>
      <w:proofErr w:type="spellEnd"/>
      <w:r w:rsidRPr="00524435">
        <w:t xml:space="preserve"> are prima facie in a serious and urgent situation, given that their rights to life and personal integrity are at risk of irreparable harm. Consequently, based on Article 25 of its Rules of Procedure, the Commission requested that the State of Colombia a) adopt the necessary measures to determine the situation and whereabouts of </w:t>
      </w:r>
      <w:proofErr w:type="spellStart"/>
      <w:r w:rsidRPr="00524435">
        <w:t>Fredemyr</w:t>
      </w:r>
      <w:proofErr w:type="spellEnd"/>
      <w:r w:rsidRPr="00524435">
        <w:t xml:space="preserve"> Alberto Marín </w:t>
      </w:r>
      <w:proofErr w:type="spellStart"/>
      <w:r w:rsidRPr="00524435">
        <w:t>Marín</w:t>
      </w:r>
      <w:proofErr w:type="spellEnd"/>
      <w:r w:rsidRPr="00524435">
        <w:t xml:space="preserve">, </w:t>
      </w:r>
      <w:proofErr w:type="gramStart"/>
      <w:r w:rsidRPr="00524435">
        <w:t>in order to</w:t>
      </w:r>
      <w:proofErr w:type="gramEnd"/>
      <w:r w:rsidRPr="00524435">
        <w:t xml:space="preserve"> protect his rights to life and personal integrity. In this regard, the Commission urges the State to guarantee effective search actions through its specialized mechanisms created for that purpose; b) adopt the necessary measures to protect the rights to life and integrity of John Fernando Marín </w:t>
      </w:r>
      <w:proofErr w:type="spellStart"/>
      <w:r w:rsidRPr="00524435">
        <w:t>Marín</w:t>
      </w:r>
      <w:proofErr w:type="spellEnd"/>
      <w:r w:rsidRPr="00524435">
        <w:t xml:space="preserve"> and his family, including his sister M.M.M. c) consult and agree upon the measures to be adopted with the beneficiaries and their representative; and d) report on the actions taken to investigate the alleged facts that led to the adoption of this precautionary measure, so as to prevent such events from reoccurring.</w:t>
      </w:r>
    </w:p>
    <w:p w14:paraId="345C3614" w14:textId="77777777" w:rsidR="00842401" w:rsidRPr="00E42B49" w:rsidRDefault="00842401" w:rsidP="00842401">
      <w:pPr>
        <w:rPr>
          <w:rFonts w:ascii="Cambria" w:eastAsia="Cambria" w:hAnsi="Cambria" w:cs="Cambria"/>
          <w:b/>
          <w:bCs/>
          <w:color w:val="000000" w:themeColor="text1"/>
          <w:sz w:val="20"/>
          <w:szCs w:val="20"/>
          <w:lang w:val="es-US"/>
        </w:rPr>
      </w:pPr>
      <w:proofErr w:type="spellStart"/>
      <w:r w:rsidRPr="00E42B49">
        <w:rPr>
          <w:rFonts w:ascii="Cambria" w:eastAsia="Cambria" w:hAnsi="Cambria" w:cs="Cambria"/>
          <w:b/>
          <w:bCs/>
          <w:color w:val="000000" w:themeColor="text1"/>
          <w:sz w:val="20"/>
          <w:szCs w:val="20"/>
          <w:lang w:val="es-US"/>
        </w:rPr>
        <w:t>Resolution</w:t>
      </w:r>
      <w:proofErr w:type="spellEnd"/>
      <w:r w:rsidRPr="00E42B49">
        <w:rPr>
          <w:rFonts w:ascii="Cambria" w:eastAsia="Cambria" w:hAnsi="Cambria" w:cs="Cambria"/>
          <w:b/>
          <w:bCs/>
          <w:color w:val="000000" w:themeColor="text1"/>
          <w:sz w:val="20"/>
          <w:szCs w:val="20"/>
          <w:lang w:val="es-US"/>
        </w:rPr>
        <w:t xml:space="preserve"> No. 111/21</w:t>
      </w:r>
      <w:r w:rsidRPr="00E42B49">
        <w:rPr>
          <w:rFonts w:ascii="Cambria" w:hAnsi="Cambria"/>
          <w:b/>
          <w:bCs/>
          <w:sz w:val="20"/>
          <w:szCs w:val="20"/>
          <w:lang w:val="es-US"/>
        </w:rPr>
        <w:br/>
      </w:r>
      <w:r w:rsidRPr="00E42B49">
        <w:rPr>
          <w:rFonts w:ascii="Cambria" w:eastAsia="Cambria" w:hAnsi="Cambria" w:cs="Cambria"/>
          <w:b/>
          <w:bCs/>
          <w:color w:val="000000" w:themeColor="text1"/>
          <w:sz w:val="20"/>
          <w:szCs w:val="20"/>
          <w:lang w:val="es-US"/>
        </w:rPr>
        <w:t xml:space="preserve">PM 1113-21 - </w:t>
      </w:r>
      <w:proofErr w:type="spellStart"/>
      <w:r w:rsidRPr="00E42B49">
        <w:rPr>
          <w:rFonts w:ascii="Cambria" w:eastAsia="Cambria" w:hAnsi="Cambria" w:cs="Cambria"/>
          <w:b/>
          <w:bCs/>
          <w:color w:val="000000" w:themeColor="text1"/>
          <w:sz w:val="20"/>
          <w:szCs w:val="20"/>
          <w:lang w:val="es-US"/>
        </w:rPr>
        <w:t>Abencio</w:t>
      </w:r>
      <w:proofErr w:type="spellEnd"/>
      <w:r w:rsidRPr="00E42B49">
        <w:rPr>
          <w:rFonts w:ascii="Cambria" w:eastAsia="Cambria" w:hAnsi="Cambria" w:cs="Cambria"/>
          <w:b/>
          <w:bCs/>
          <w:color w:val="000000" w:themeColor="text1"/>
          <w:sz w:val="20"/>
          <w:szCs w:val="20"/>
          <w:lang w:val="es-US"/>
        </w:rPr>
        <w:t xml:space="preserve"> Caicedo </w:t>
      </w:r>
      <w:proofErr w:type="spellStart"/>
      <w:r w:rsidRPr="00E42B49">
        <w:rPr>
          <w:rFonts w:ascii="Cambria" w:eastAsia="Cambria" w:hAnsi="Cambria" w:cs="Cambria"/>
          <w:b/>
          <w:bCs/>
          <w:color w:val="000000" w:themeColor="text1"/>
          <w:sz w:val="20"/>
          <w:szCs w:val="20"/>
          <w:lang w:val="es-US"/>
        </w:rPr>
        <w:t>Caicedo</w:t>
      </w:r>
      <w:proofErr w:type="spellEnd"/>
      <w:r w:rsidRPr="00E42B49">
        <w:rPr>
          <w:rFonts w:ascii="Cambria" w:eastAsia="Cambria" w:hAnsi="Cambria" w:cs="Cambria"/>
          <w:b/>
          <w:bCs/>
          <w:color w:val="000000" w:themeColor="text1"/>
          <w:sz w:val="20"/>
          <w:szCs w:val="20"/>
          <w:lang w:val="es-US"/>
        </w:rPr>
        <w:t xml:space="preserve"> and </w:t>
      </w:r>
      <w:proofErr w:type="spellStart"/>
      <w:r w:rsidRPr="00E42B49">
        <w:rPr>
          <w:rFonts w:ascii="Cambria" w:eastAsia="Cambria" w:hAnsi="Cambria" w:cs="Cambria"/>
          <w:b/>
          <w:bCs/>
          <w:color w:val="000000" w:themeColor="text1"/>
          <w:sz w:val="20"/>
          <w:szCs w:val="20"/>
          <w:lang w:val="es-US"/>
        </w:rPr>
        <w:t>Edinsón</w:t>
      </w:r>
      <w:proofErr w:type="spellEnd"/>
      <w:r w:rsidRPr="00E42B49">
        <w:rPr>
          <w:rFonts w:ascii="Cambria" w:eastAsia="Cambria" w:hAnsi="Cambria" w:cs="Cambria"/>
          <w:b/>
          <w:bCs/>
          <w:color w:val="000000" w:themeColor="text1"/>
          <w:sz w:val="20"/>
          <w:szCs w:val="20"/>
          <w:lang w:val="es-US"/>
        </w:rPr>
        <w:t xml:space="preserve"> Valencia García, Colombia</w:t>
      </w:r>
    </w:p>
    <w:p w14:paraId="40E8FF8A" w14:textId="77777777" w:rsidR="00842401" w:rsidRPr="00524435" w:rsidRDefault="00842401" w:rsidP="009242CD">
      <w:pPr>
        <w:pStyle w:val="ListParagraph"/>
      </w:pPr>
      <w:r w:rsidRPr="00524435">
        <w:t xml:space="preserve">On December 31, 2021, the IACHR decided to request the adoption of precautionary measures in favor of </w:t>
      </w:r>
      <w:proofErr w:type="spellStart"/>
      <w:r w:rsidRPr="00524435">
        <w:t>Abencio</w:t>
      </w:r>
      <w:proofErr w:type="spellEnd"/>
      <w:r w:rsidRPr="00524435">
        <w:t xml:space="preserve"> Caicedo </w:t>
      </w:r>
      <w:proofErr w:type="spellStart"/>
      <w:r w:rsidRPr="00524435">
        <w:t>Caicedo</w:t>
      </w:r>
      <w:proofErr w:type="spellEnd"/>
      <w:r w:rsidRPr="00524435">
        <w:t xml:space="preserve"> and </w:t>
      </w:r>
      <w:proofErr w:type="spellStart"/>
      <w:r w:rsidRPr="00524435">
        <w:t>Edinsón</w:t>
      </w:r>
      <w:proofErr w:type="spellEnd"/>
      <w:r w:rsidRPr="00524435">
        <w:t xml:space="preserve"> Valencia García, in Colombia. The request for precautionary measures alleges that the proposed beneficiaries, who are Afro-descendant leaders and defenders of human rights in their communities and territories in the rural area of Buenaventura and in the </w:t>
      </w:r>
      <w:proofErr w:type="spellStart"/>
      <w:r w:rsidRPr="00524435">
        <w:t>Yurumangui</w:t>
      </w:r>
      <w:proofErr w:type="spellEnd"/>
      <w:r w:rsidRPr="00524435">
        <w:t xml:space="preserve"> river basin, are at risk, given that from November 28, 2021, to date, there is reportedly no information on their whereabouts or fate, and due to the context of special vulnerability for Afro-descendant human rights defenders in which the disappearance occurred. Upon analyzing the submissions of fact and law, the IACHR considers that the information provided shows, in principle, that the beneficiaries are at serious and urgent risk of irreparable harm. Consequently, in accordance with Article 25 of the IACHR Rules of Procedure, the Commission requested that Colombia adopt the necessary measures to determine the situation and whereabouts of </w:t>
      </w:r>
      <w:proofErr w:type="spellStart"/>
      <w:r w:rsidRPr="00524435">
        <w:t>Abencio</w:t>
      </w:r>
      <w:proofErr w:type="spellEnd"/>
      <w:r w:rsidRPr="00524435">
        <w:t xml:space="preserve"> Caicedo </w:t>
      </w:r>
      <w:proofErr w:type="spellStart"/>
      <w:r w:rsidRPr="00524435">
        <w:t>Caicedo</w:t>
      </w:r>
      <w:proofErr w:type="spellEnd"/>
      <w:r w:rsidRPr="00524435">
        <w:t xml:space="preserve"> and </w:t>
      </w:r>
      <w:proofErr w:type="spellStart"/>
      <w:r w:rsidRPr="00524435">
        <w:t>Edinsón</w:t>
      </w:r>
      <w:proofErr w:type="spellEnd"/>
      <w:r w:rsidRPr="00524435">
        <w:t xml:space="preserve"> Valencia García, </w:t>
      </w:r>
      <w:proofErr w:type="gramStart"/>
      <w:r w:rsidRPr="00524435">
        <w:t>in order to</w:t>
      </w:r>
      <w:proofErr w:type="gramEnd"/>
      <w:r w:rsidRPr="00524435">
        <w:t xml:space="preserve"> protect their rights to life and personal integrity; and report on the actions taken to investigate the alleged events that led to the adoption of this resolution, so as to prevent them from reoccurring.</w:t>
      </w:r>
    </w:p>
    <w:p w14:paraId="45A01518" w14:textId="77777777" w:rsidR="00842401" w:rsidRPr="00E42B49" w:rsidRDefault="00842401" w:rsidP="009C314A">
      <w:pPr>
        <w:spacing w:after="0" w:line="240" w:lineRule="auto"/>
        <w:rPr>
          <w:rFonts w:ascii="Cambria" w:eastAsia="Cambria" w:hAnsi="Cambria" w:cs="Cambria"/>
          <w:b/>
          <w:bCs/>
          <w:color w:val="000000" w:themeColor="text1"/>
          <w:sz w:val="20"/>
          <w:szCs w:val="20"/>
          <w:lang w:val="es-US"/>
        </w:rPr>
      </w:pPr>
      <w:proofErr w:type="spellStart"/>
      <w:r w:rsidRPr="00E42B49">
        <w:rPr>
          <w:rFonts w:ascii="Cambria" w:eastAsia="Cambria" w:hAnsi="Cambria" w:cs="Cambria"/>
          <w:b/>
          <w:bCs/>
          <w:color w:val="000000" w:themeColor="text1"/>
          <w:sz w:val="20"/>
          <w:szCs w:val="20"/>
          <w:lang w:val="es-US"/>
        </w:rPr>
        <w:t>Resolution</w:t>
      </w:r>
      <w:proofErr w:type="spellEnd"/>
      <w:r w:rsidRPr="00E42B49">
        <w:rPr>
          <w:rFonts w:ascii="Cambria" w:eastAsia="Cambria" w:hAnsi="Cambria" w:cs="Cambria"/>
          <w:b/>
          <w:bCs/>
          <w:color w:val="000000" w:themeColor="text1"/>
          <w:sz w:val="20"/>
          <w:szCs w:val="20"/>
          <w:lang w:val="es-US"/>
        </w:rPr>
        <w:t xml:space="preserve"> No. 115/21 (LIFT)</w:t>
      </w:r>
      <w:r w:rsidRPr="00E42B49">
        <w:rPr>
          <w:rFonts w:ascii="Cambria" w:hAnsi="Cambria"/>
          <w:b/>
          <w:bCs/>
          <w:sz w:val="20"/>
          <w:szCs w:val="20"/>
          <w:lang w:val="es-US"/>
        </w:rPr>
        <w:br/>
      </w:r>
      <w:r w:rsidRPr="00E42B49">
        <w:rPr>
          <w:rFonts w:ascii="Cambria" w:eastAsia="Cambria" w:hAnsi="Cambria" w:cs="Cambria"/>
          <w:b/>
          <w:bCs/>
          <w:color w:val="000000" w:themeColor="text1"/>
          <w:sz w:val="20"/>
          <w:szCs w:val="20"/>
          <w:lang w:val="es-US"/>
        </w:rPr>
        <w:t xml:space="preserve">PM 228-07 - Rafael Marulanda López </w:t>
      </w:r>
      <w:r w:rsidRPr="00E42B49">
        <w:rPr>
          <w:rFonts w:ascii="Cambria" w:eastAsia="Cambria" w:hAnsi="Cambria" w:cs="Cambria"/>
          <w:b/>
          <w:bCs/>
          <w:i/>
          <w:iCs/>
          <w:color w:val="000000" w:themeColor="text1"/>
          <w:sz w:val="20"/>
          <w:szCs w:val="20"/>
          <w:lang w:val="es-US"/>
        </w:rPr>
        <w:t>et al</w:t>
      </w:r>
      <w:r w:rsidRPr="00E42B49">
        <w:rPr>
          <w:rFonts w:ascii="Cambria" w:eastAsia="Cambria" w:hAnsi="Cambria" w:cs="Cambria"/>
          <w:b/>
          <w:bCs/>
          <w:color w:val="000000" w:themeColor="text1"/>
          <w:sz w:val="20"/>
          <w:szCs w:val="20"/>
          <w:lang w:val="es-US"/>
        </w:rPr>
        <w:t>., Colombia</w:t>
      </w:r>
    </w:p>
    <w:p w14:paraId="295609E5" w14:textId="77777777" w:rsidR="00842401" w:rsidRPr="00E42B49" w:rsidRDefault="00842401" w:rsidP="002645C5">
      <w:pPr>
        <w:spacing w:after="0" w:line="240" w:lineRule="auto"/>
        <w:jc w:val="both"/>
        <w:rPr>
          <w:rFonts w:ascii="Cambria" w:eastAsia="Cambria" w:hAnsi="Cambria" w:cs="Cambria"/>
          <w:color w:val="000000" w:themeColor="text1"/>
          <w:sz w:val="20"/>
          <w:szCs w:val="20"/>
          <w:lang w:val="es-US"/>
        </w:rPr>
      </w:pPr>
    </w:p>
    <w:p w14:paraId="64C6574D" w14:textId="77777777" w:rsidR="00842401" w:rsidRPr="00524435" w:rsidRDefault="00842401" w:rsidP="009242CD">
      <w:pPr>
        <w:pStyle w:val="ListParagraph"/>
      </w:pPr>
      <w:r w:rsidRPr="00524435">
        <w:t xml:space="preserve">The Inter-American Commission on Human Rights (IACHR) decides to lift these precautionary measures in favor of </w:t>
      </w:r>
      <w:proofErr w:type="spellStart"/>
      <w:r w:rsidRPr="00524435">
        <w:t>Gener</w:t>
      </w:r>
      <w:proofErr w:type="spellEnd"/>
      <w:r w:rsidRPr="00524435">
        <w:t xml:space="preserve"> </w:t>
      </w:r>
      <w:proofErr w:type="spellStart"/>
      <w:r w:rsidRPr="00524435">
        <w:t>Jhonathan</w:t>
      </w:r>
      <w:proofErr w:type="spellEnd"/>
      <w:r w:rsidRPr="00524435">
        <w:t xml:space="preserve"> </w:t>
      </w:r>
      <w:proofErr w:type="spellStart"/>
      <w:r w:rsidRPr="00524435">
        <w:t>Echeverry</w:t>
      </w:r>
      <w:proofErr w:type="spellEnd"/>
      <w:r w:rsidRPr="00524435">
        <w:t xml:space="preserve"> Ceballos and his family, in Colombia. At the time of making its decision, the Commission assessed the actions taken by the State during implementation, as well as the observations made by the beneficiaries’ representation. Following the requests made by the State to have the measures lifted, the IACHR repeatedly requested observations from the representation, who sent the last response on September 30, 2015, and without responding to the requests for information made in 2015, 2016, 2017, 2019 and 2021. Upon not identifying compliance with the procedural requirements, the IACHR decided to lift these measures.</w:t>
      </w:r>
    </w:p>
    <w:p w14:paraId="019D7DA9" w14:textId="77777777" w:rsidR="009C314A" w:rsidRPr="00524435" w:rsidRDefault="009C314A">
      <w:pPr>
        <w:rPr>
          <w:rStyle w:val="None"/>
          <w:rFonts w:ascii="Cambria" w:eastAsia="Calibri" w:hAnsi="Cambria" w:cs="Calibri"/>
          <w:b/>
          <w:color w:val="000000"/>
          <w:sz w:val="20"/>
          <w:szCs w:val="20"/>
          <w:u w:color="000000"/>
          <w:bdr w:val="nil"/>
        </w:rPr>
      </w:pPr>
      <w:r w:rsidRPr="00524435">
        <w:rPr>
          <w:rStyle w:val="None"/>
          <w:rFonts w:ascii="Cambria" w:hAnsi="Cambria"/>
          <w:b/>
          <w:sz w:val="20"/>
          <w:szCs w:val="20"/>
        </w:rPr>
        <w:br w:type="page"/>
      </w:r>
    </w:p>
    <w:p w14:paraId="28101F42" w14:textId="4D4C426F" w:rsidR="00842401" w:rsidRPr="00E42B49" w:rsidRDefault="00842401" w:rsidP="00842401">
      <w:pPr>
        <w:pStyle w:val="Body"/>
        <w:jc w:val="both"/>
        <w:rPr>
          <w:rStyle w:val="None"/>
          <w:rFonts w:ascii="Cambria" w:eastAsia="Cambria" w:hAnsi="Cambria" w:cs="Cambria"/>
          <w:b/>
          <w:sz w:val="20"/>
          <w:szCs w:val="20"/>
          <w:lang w:val="es-US"/>
        </w:rPr>
      </w:pPr>
      <w:r w:rsidRPr="00E42B49">
        <w:rPr>
          <w:rStyle w:val="None"/>
          <w:rFonts w:ascii="Cambria" w:hAnsi="Cambria"/>
          <w:b/>
          <w:sz w:val="20"/>
          <w:szCs w:val="20"/>
          <w:lang w:val="es-US"/>
        </w:rPr>
        <w:lastRenderedPageBreak/>
        <w:t>CUBA</w:t>
      </w:r>
    </w:p>
    <w:p w14:paraId="0D8BEB3D" w14:textId="77777777" w:rsidR="00842401" w:rsidRPr="00E42B49" w:rsidRDefault="00842401" w:rsidP="00842401">
      <w:pPr>
        <w:pStyle w:val="Body"/>
        <w:jc w:val="both"/>
        <w:rPr>
          <w:rStyle w:val="None"/>
          <w:rFonts w:ascii="Cambria" w:eastAsia="Cambria" w:hAnsi="Cambria" w:cs="Cambria"/>
          <w:b/>
          <w:sz w:val="20"/>
          <w:szCs w:val="20"/>
          <w:lang w:val="es-US"/>
        </w:rPr>
      </w:pPr>
    </w:p>
    <w:p w14:paraId="4BCC48D8" w14:textId="77777777" w:rsidR="00842401" w:rsidRPr="00E42B49" w:rsidRDefault="00842401" w:rsidP="00842401">
      <w:pPr>
        <w:pStyle w:val="Body"/>
        <w:rPr>
          <w:rStyle w:val="None"/>
          <w:rFonts w:ascii="Cambria" w:eastAsia="Cambria" w:hAnsi="Cambria" w:cs="Cambria"/>
          <w:b/>
          <w:sz w:val="20"/>
          <w:szCs w:val="20"/>
          <w:lang w:val="es-US"/>
        </w:rPr>
      </w:pPr>
      <w:proofErr w:type="spellStart"/>
      <w:r w:rsidRPr="00E42B49">
        <w:rPr>
          <w:rStyle w:val="None"/>
          <w:rFonts w:ascii="Cambria" w:hAnsi="Cambria"/>
          <w:b/>
          <w:sz w:val="20"/>
          <w:szCs w:val="20"/>
          <w:lang w:val="es-US"/>
        </w:rPr>
        <w:t>Resolution</w:t>
      </w:r>
      <w:proofErr w:type="spellEnd"/>
      <w:r w:rsidRPr="00E42B49">
        <w:rPr>
          <w:rStyle w:val="None"/>
          <w:rFonts w:ascii="Cambria" w:hAnsi="Cambria"/>
          <w:b/>
          <w:sz w:val="20"/>
          <w:szCs w:val="20"/>
          <w:lang w:val="es-US"/>
        </w:rPr>
        <w:t xml:space="preserve"> No. 5/21</w:t>
      </w:r>
      <w:r w:rsidRPr="00E42B49">
        <w:rPr>
          <w:rStyle w:val="None"/>
          <w:rFonts w:ascii="Cambria" w:hAnsi="Cambria"/>
          <w:b/>
          <w:sz w:val="20"/>
          <w:szCs w:val="20"/>
          <w:lang w:val="es-US"/>
        </w:rPr>
        <w:br/>
        <w:t xml:space="preserve">MC 1068-20 - </w:t>
      </w:r>
      <w:proofErr w:type="spellStart"/>
      <w:r w:rsidRPr="00E42B49">
        <w:rPr>
          <w:rStyle w:val="None"/>
          <w:rFonts w:ascii="Cambria" w:hAnsi="Cambria"/>
          <w:b/>
          <w:sz w:val="20"/>
          <w:szCs w:val="20"/>
          <w:lang w:val="es-US"/>
        </w:rPr>
        <w:t>Yandier</w:t>
      </w:r>
      <w:proofErr w:type="spellEnd"/>
      <w:r w:rsidRPr="00E42B49">
        <w:rPr>
          <w:rStyle w:val="None"/>
          <w:rFonts w:ascii="Cambria" w:hAnsi="Cambria"/>
          <w:b/>
          <w:sz w:val="20"/>
          <w:szCs w:val="20"/>
          <w:lang w:val="es-US"/>
        </w:rPr>
        <w:t xml:space="preserve"> García Labrada, Cuba</w:t>
      </w:r>
    </w:p>
    <w:p w14:paraId="77135D75" w14:textId="77777777" w:rsidR="00842401" w:rsidRPr="00E42B49" w:rsidRDefault="00842401" w:rsidP="00842401">
      <w:pPr>
        <w:pStyle w:val="Body"/>
        <w:jc w:val="both"/>
        <w:rPr>
          <w:rStyle w:val="None"/>
          <w:rFonts w:ascii="Cambria" w:hAnsi="Cambria"/>
          <w:sz w:val="20"/>
          <w:szCs w:val="20"/>
          <w:lang w:val="es-US"/>
        </w:rPr>
      </w:pPr>
    </w:p>
    <w:p w14:paraId="3CF54D49" w14:textId="77777777" w:rsidR="00842401" w:rsidRPr="00524435" w:rsidRDefault="00842401" w:rsidP="009242CD">
      <w:pPr>
        <w:pStyle w:val="ListParagraph"/>
        <w:rPr>
          <w:rStyle w:val="None"/>
          <w:rFonts w:eastAsia="Cambria" w:cs="Cambria"/>
        </w:rPr>
      </w:pPr>
      <w:r w:rsidRPr="00524435">
        <w:rPr>
          <w:rStyle w:val="None"/>
        </w:rPr>
        <w:t xml:space="preserve">On January 7, 2021, the IACHR decided to grant precautionary measures on behalf of </w:t>
      </w:r>
      <w:proofErr w:type="spellStart"/>
      <w:r w:rsidRPr="00524435">
        <w:rPr>
          <w:rStyle w:val="None"/>
        </w:rPr>
        <w:t>Yandier</w:t>
      </w:r>
      <w:proofErr w:type="spellEnd"/>
      <w:r w:rsidRPr="00524435">
        <w:rPr>
          <w:rStyle w:val="None"/>
        </w:rPr>
        <w:t xml:space="preserve"> García </w:t>
      </w:r>
      <w:proofErr w:type="spellStart"/>
      <w:r w:rsidRPr="00524435">
        <w:rPr>
          <w:rStyle w:val="None"/>
        </w:rPr>
        <w:t>Labrada</w:t>
      </w:r>
      <w:proofErr w:type="spellEnd"/>
      <w:r w:rsidRPr="00524435">
        <w:rPr>
          <w:rStyle w:val="None"/>
        </w:rPr>
        <w:t xml:space="preserve">. According to the request, the beneficiary, an </w:t>
      </w:r>
      <w:proofErr w:type="gramStart"/>
      <w:r w:rsidRPr="00524435">
        <w:rPr>
          <w:rStyle w:val="None"/>
        </w:rPr>
        <w:t>activist</w:t>
      </w:r>
      <w:proofErr w:type="gramEnd"/>
      <w:r w:rsidRPr="00524435">
        <w:rPr>
          <w:rStyle w:val="None"/>
        </w:rPr>
        <w:t xml:space="preserve"> and member of the Christian Liberation Movement (</w:t>
      </w:r>
      <w:proofErr w:type="spellStart"/>
      <w:r w:rsidRPr="00524435">
        <w:rPr>
          <w:rStyle w:val="None"/>
        </w:rPr>
        <w:t>Movimiento</w:t>
      </w:r>
      <w:proofErr w:type="spellEnd"/>
      <w:r w:rsidRPr="00524435">
        <w:rPr>
          <w:rStyle w:val="None"/>
        </w:rPr>
        <w:t xml:space="preserve"> </w:t>
      </w:r>
      <w:proofErr w:type="spellStart"/>
      <w:r w:rsidRPr="00524435">
        <w:rPr>
          <w:rStyle w:val="None"/>
        </w:rPr>
        <w:t>Crisiano</w:t>
      </w:r>
      <w:proofErr w:type="spellEnd"/>
      <w:r w:rsidRPr="00524435">
        <w:rPr>
          <w:rStyle w:val="None"/>
        </w:rPr>
        <w:t xml:space="preserve"> </w:t>
      </w:r>
      <w:proofErr w:type="spellStart"/>
      <w:r w:rsidRPr="00524435">
        <w:rPr>
          <w:rStyle w:val="None"/>
        </w:rPr>
        <w:t>Liberación</w:t>
      </w:r>
      <w:proofErr w:type="spellEnd"/>
      <w:r w:rsidRPr="00524435">
        <w:rPr>
          <w:rStyle w:val="None"/>
        </w:rPr>
        <w:t xml:space="preserve">}, was currently confined to “El </w:t>
      </w:r>
      <w:proofErr w:type="spellStart"/>
      <w:r w:rsidRPr="00524435">
        <w:rPr>
          <w:rStyle w:val="None"/>
        </w:rPr>
        <w:t>Típico</w:t>
      </w:r>
      <w:proofErr w:type="spellEnd"/>
      <w:r w:rsidRPr="00524435">
        <w:rPr>
          <w:rStyle w:val="None"/>
        </w:rPr>
        <w:t xml:space="preserve">” prison for “contempt and disorderly conduct.” He was at risk during his deprivation of liberty due to an alleged lack of adequate medical care after a beating he received during his detention. After reviewing the allegations of fact and law submitted by the petitioners, the Commission found that the information submitted showed prima facie that the situation of </w:t>
      </w:r>
      <w:proofErr w:type="spellStart"/>
      <w:r w:rsidRPr="00524435">
        <w:rPr>
          <w:rStyle w:val="None"/>
        </w:rPr>
        <w:t>Yandier</w:t>
      </w:r>
      <w:proofErr w:type="spellEnd"/>
      <w:r w:rsidRPr="00524435">
        <w:rPr>
          <w:rStyle w:val="None"/>
        </w:rPr>
        <w:t xml:space="preserve"> García </w:t>
      </w:r>
      <w:proofErr w:type="spellStart"/>
      <w:r w:rsidRPr="00524435">
        <w:rPr>
          <w:rStyle w:val="None"/>
        </w:rPr>
        <w:t>Labrada</w:t>
      </w:r>
      <w:proofErr w:type="spellEnd"/>
      <w:r w:rsidRPr="00524435">
        <w:rPr>
          <w:rStyle w:val="None"/>
        </w:rPr>
        <w:t xml:space="preserve"> was serious and urgent, since his right to life and personal integrity were at risk of irreparable harm. Therefore, pursuant to Article 25 of the IACHR Rules of Procedure, the Commission requested Cuba to: a) adopt the measures necessary to protect the life and personal integrity of </w:t>
      </w:r>
      <w:proofErr w:type="spellStart"/>
      <w:r w:rsidRPr="00524435">
        <w:rPr>
          <w:rStyle w:val="None"/>
        </w:rPr>
        <w:t>Yandier</w:t>
      </w:r>
      <w:proofErr w:type="spellEnd"/>
      <w:r w:rsidRPr="00524435">
        <w:rPr>
          <w:rStyle w:val="None"/>
        </w:rPr>
        <w:t xml:space="preserve"> García </w:t>
      </w:r>
      <w:proofErr w:type="spellStart"/>
      <w:r w:rsidRPr="00524435">
        <w:rPr>
          <w:rStyle w:val="None"/>
        </w:rPr>
        <w:t>Labrada</w:t>
      </w:r>
      <w:proofErr w:type="spellEnd"/>
      <w:r w:rsidRPr="00524435">
        <w:rPr>
          <w:rStyle w:val="None"/>
        </w:rPr>
        <w:t xml:space="preserve"> – guaranteeing in particular that his conditions of detention met the applicable international standards; b) reach an agreement with the beneficiary and his representatives on the measures to implement; and c) report on the action taken to investigate the alleged events that had led to the adoption of this Resolution and thus, avoid their repetition.</w:t>
      </w:r>
    </w:p>
    <w:p w14:paraId="29A2C60F" w14:textId="77777777" w:rsidR="00842401" w:rsidRPr="00E42B49" w:rsidRDefault="00842401" w:rsidP="00842401">
      <w:pPr>
        <w:pStyle w:val="Body"/>
        <w:rPr>
          <w:rStyle w:val="None"/>
          <w:rFonts w:ascii="Cambria" w:eastAsia="Cambria" w:hAnsi="Cambria" w:cs="Cambria"/>
          <w:b/>
          <w:bCs/>
          <w:sz w:val="20"/>
          <w:szCs w:val="20"/>
          <w:lang w:val="es-US"/>
        </w:rPr>
      </w:pPr>
      <w:proofErr w:type="spellStart"/>
      <w:r w:rsidRPr="00E42B49">
        <w:rPr>
          <w:rStyle w:val="None"/>
          <w:rFonts w:ascii="Cambria" w:hAnsi="Cambria"/>
          <w:b/>
          <w:bCs/>
          <w:sz w:val="20"/>
          <w:szCs w:val="20"/>
          <w:lang w:val="es-US"/>
        </w:rPr>
        <w:t>Resolution</w:t>
      </w:r>
      <w:proofErr w:type="spellEnd"/>
      <w:r w:rsidRPr="00E42B49">
        <w:rPr>
          <w:rStyle w:val="None"/>
          <w:rFonts w:ascii="Cambria" w:hAnsi="Cambria"/>
          <w:b/>
          <w:bCs/>
          <w:sz w:val="20"/>
          <w:szCs w:val="20"/>
          <w:lang w:val="es-US"/>
        </w:rPr>
        <w:t xml:space="preserve"> No. 7/21</w:t>
      </w:r>
      <w:r w:rsidRPr="00E42B49">
        <w:rPr>
          <w:rStyle w:val="None"/>
          <w:rFonts w:ascii="Cambria" w:hAnsi="Cambria"/>
          <w:b/>
          <w:bCs/>
          <w:sz w:val="20"/>
          <w:szCs w:val="20"/>
          <w:lang w:val="es-US"/>
        </w:rPr>
        <w:br/>
        <w:t xml:space="preserve">MC 211-20 - Juan Antonio Madrazo Luna, </w:t>
      </w:r>
      <w:proofErr w:type="spellStart"/>
      <w:r w:rsidRPr="00E42B49">
        <w:rPr>
          <w:rStyle w:val="None"/>
          <w:rFonts w:ascii="Cambria" w:hAnsi="Cambria"/>
          <w:b/>
          <w:bCs/>
          <w:sz w:val="20"/>
          <w:szCs w:val="20"/>
          <w:lang w:val="es-US"/>
        </w:rPr>
        <w:t>Marthadela</w:t>
      </w:r>
      <w:proofErr w:type="spellEnd"/>
      <w:r w:rsidRPr="00E42B49">
        <w:rPr>
          <w:rStyle w:val="None"/>
          <w:rFonts w:ascii="Cambria" w:hAnsi="Cambria"/>
          <w:b/>
          <w:bCs/>
          <w:sz w:val="20"/>
          <w:szCs w:val="20"/>
          <w:lang w:val="es-US"/>
        </w:rPr>
        <w:t xml:space="preserve"> Tamayo, and Oswaldo Navarro Veloz, Cuba</w:t>
      </w:r>
    </w:p>
    <w:p w14:paraId="6494ED70" w14:textId="77777777" w:rsidR="00842401" w:rsidRPr="00E42B49" w:rsidRDefault="00842401" w:rsidP="00842401">
      <w:pPr>
        <w:pStyle w:val="Body"/>
        <w:jc w:val="both"/>
        <w:rPr>
          <w:rStyle w:val="None"/>
          <w:rFonts w:ascii="Cambria" w:hAnsi="Cambria"/>
          <w:sz w:val="20"/>
          <w:szCs w:val="20"/>
          <w:lang w:val="es-US"/>
        </w:rPr>
      </w:pPr>
    </w:p>
    <w:p w14:paraId="4065C02C" w14:textId="77777777" w:rsidR="00842401" w:rsidRPr="00524435" w:rsidRDefault="00842401" w:rsidP="009242CD">
      <w:pPr>
        <w:pStyle w:val="ListParagraph"/>
        <w:rPr>
          <w:rStyle w:val="None"/>
          <w:rFonts w:eastAsia="Cambria" w:cs="Cambria"/>
        </w:rPr>
      </w:pPr>
      <w:r w:rsidRPr="00524435">
        <w:rPr>
          <w:rStyle w:val="None"/>
        </w:rPr>
        <w:t xml:space="preserve">On January 19, 2021, the IACHR granted precautionary measures for the protection of Juan Antonio </w:t>
      </w:r>
      <w:proofErr w:type="spellStart"/>
      <w:r w:rsidRPr="00524435">
        <w:rPr>
          <w:rStyle w:val="None"/>
        </w:rPr>
        <w:t>Madrazo</w:t>
      </w:r>
      <w:proofErr w:type="spellEnd"/>
      <w:r w:rsidRPr="00524435">
        <w:rPr>
          <w:rStyle w:val="None"/>
        </w:rPr>
        <w:t xml:space="preserve"> Luna, </w:t>
      </w:r>
      <w:proofErr w:type="spellStart"/>
      <w:r w:rsidRPr="00524435">
        <w:rPr>
          <w:rStyle w:val="None"/>
        </w:rPr>
        <w:t>Marthadela</w:t>
      </w:r>
      <w:proofErr w:type="spellEnd"/>
      <w:r w:rsidRPr="00524435">
        <w:rPr>
          <w:rStyle w:val="None"/>
        </w:rPr>
        <w:t xml:space="preserve"> Tamayo, and Oswaldo Navarro </w:t>
      </w:r>
      <w:proofErr w:type="spellStart"/>
      <w:r w:rsidRPr="00524435">
        <w:rPr>
          <w:rStyle w:val="None"/>
        </w:rPr>
        <w:t>Veloz</w:t>
      </w:r>
      <w:proofErr w:type="spellEnd"/>
      <w:r w:rsidRPr="00524435">
        <w:rPr>
          <w:rStyle w:val="None"/>
        </w:rPr>
        <w:t xml:space="preserve"> in Cuba. It was alleged that the beneficiaries, members of the Citizens’ Committee for Racial Integration (</w:t>
      </w:r>
      <w:proofErr w:type="spellStart"/>
      <w:r w:rsidRPr="00524435">
        <w:rPr>
          <w:rStyle w:val="None"/>
        </w:rPr>
        <w:t>Comité</w:t>
      </w:r>
      <w:proofErr w:type="spellEnd"/>
      <w:r w:rsidRPr="00524435">
        <w:rPr>
          <w:rStyle w:val="None"/>
        </w:rPr>
        <w:t xml:space="preserve"> </w:t>
      </w:r>
      <w:proofErr w:type="spellStart"/>
      <w:r w:rsidRPr="00524435">
        <w:rPr>
          <w:rStyle w:val="None"/>
        </w:rPr>
        <w:t>Ciudadanos</w:t>
      </w:r>
      <w:proofErr w:type="spellEnd"/>
      <w:r w:rsidRPr="00524435">
        <w:rPr>
          <w:rStyle w:val="None"/>
        </w:rPr>
        <w:t xml:space="preserve"> </w:t>
      </w:r>
      <w:proofErr w:type="spellStart"/>
      <w:r w:rsidRPr="00524435">
        <w:rPr>
          <w:rStyle w:val="None"/>
        </w:rPr>
        <w:t>por</w:t>
      </w:r>
      <w:proofErr w:type="spellEnd"/>
      <w:r w:rsidRPr="00524435">
        <w:rPr>
          <w:rStyle w:val="None"/>
        </w:rPr>
        <w:t xml:space="preserve"> la </w:t>
      </w:r>
      <w:proofErr w:type="spellStart"/>
      <w:r w:rsidRPr="00524435">
        <w:rPr>
          <w:rStyle w:val="None"/>
        </w:rPr>
        <w:t>Integración</w:t>
      </w:r>
      <w:proofErr w:type="spellEnd"/>
      <w:r w:rsidRPr="00524435">
        <w:rPr>
          <w:rStyle w:val="None"/>
        </w:rPr>
        <w:t xml:space="preserve"> Racial) (CIR), were at risk because of their work as activists. According to the request received, the proposed beneficiaries were at risk due to threats, harassment, surveillance, persecution, detention, and acts of violence by agents of the State and third parties, allegedly due to their work as human rights defenders in Cuba. After reviewing the petitioners’ allegations of fact and law, the Commission requested Cuba to adopt the measures necessary to protect the right to life and personal integrity of Juan Antonio </w:t>
      </w:r>
      <w:proofErr w:type="spellStart"/>
      <w:r w:rsidRPr="00524435">
        <w:rPr>
          <w:rStyle w:val="None"/>
        </w:rPr>
        <w:t>Madrazo</w:t>
      </w:r>
      <w:proofErr w:type="spellEnd"/>
      <w:r w:rsidRPr="00524435">
        <w:rPr>
          <w:rStyle w:val="None"/>
        </w:rPr>
        <w:t xml:space="preserve"> Luna, </w:t>
      </w:r>
      <w:proofErr w:type="spellStart"/>
      <w:r w:rsidRPr="00524435">
        <w:rPr>
          <w:rStyle w:val="None"/>
        </w:rPr>
        <w:t>Marthadela</w:t>
      </w:r>
      <w:proofErr w:type="spellEnd"/>
      <w:r w:rsidRPr="00524435">
        <w:rPr>
          <w:rStyle w:val="None"/>
        </w:rPr>
        <w:t xml:space="preserve"> Tamayo, and Oswaldo Navarro </w:t>
      </w:r>
      <w:proofErr w:type="spellStart"/>
      <w:r w:rsidRPr="00524435">
        <w:rPr>
          <w:rStyle w:val="None"/>
        </w:rPr>
        <w:t>Veloz</w:t>
      </w:r>
      <w:proofErr w:type="spellEnd"/>
      <w:r w:rsidRPr="00524435">
        <w:rPr>
          <w:rStyle w:val="None"/>
        </w:rPr>
        <w:t>. To this end, the State should ensure that its agents respected the lives and personal integrity of the beneficiaries and protected their rights in connection with acts attributable to third parties that put them at risk, in accordance with the standards of international human rights law; adopt the measures necessary to allow the beneficiaries to pursue their activities as human rights defenders without being subjected to acts of violence, intimidation, harassment, and detention in the course of their work. This included the adoption of measures to enable them to exercise their freedom of expression; reach an agreement with the beneficiaries and their representatives on the measures to adopt; and report on the action taken to investigate the alleged events that had led to the granting of this precautionary measure and thus, avoid their repetition.</w:t>
      </w:r>
    </w:p>
    <w:p w14:paraId="1A8A33B3" w14:textId="77777777" w:rsidR="00842401" w:rsidRPr="00524435" w:rsidRDefault="00842401" w:rsidP="00842401">
      <w:pPr>
        <w:pStyle w:val="Body"/>
        <w:rPr>
          <w:rStyle w:val="None"/>
          <w:rFonts w:ascii="Cambria" w:eastAsia="Cambria" w:hAnsi="Cambria" w:cs="Cambria"/>
          <w:b/>
          <w:bCs/>
          <w:sz w:val="20"/>
          <w:szCs w:val="20"/>
        </w:rPr>
      </w:pPr>
      <w:r w:rsidRPr="00524435">
        <w:rPr>
          <w:rStyle w:val="None"/>
          <w:rFonts w:ascii="Cambria" w:hAnsi="Cambria"/>
          <w:b/>
          <w:bCs/>
          <w:sz w:val="20"/>
          <w:szCs w:val="20"/>
        </w:rPr>
        <w:t>Resolution No. 14/21</w:t>
      </w:r>
      <w:r w:rsidRPr="00524435">
        <w:rPr>
          <w:rStyle w:val="None"/>
          <w:rFonts w:ascii="Cambria" w:hAnsi="Cambria"/>
          <w:b/>
          <w:bCs/>
          <w:sz w:val="20"/>
          <w:szCs w:val="20"/>
        </w:rPr>
        <w:br/>
        <w:t>MC 1101-20 - 20 identified members of the San Isidro Movement (MSI), Cuba</w:t>
      </w:r>
    </w:p>
    <w:p w14:paraId="42EE1A17" w14:textId="77777777" w:rsidR="00842401" w:rsidRPr="00524435" w:rsidRDefault="00842401" w:rsidP="00842401">
      <w:pPr>
        <w:pStyle w:val="Body"/>
        <w:jc w:val="both"/>
        <w:rPr>
          <w:rStyle w:val="None"/>
          <w:rFonts w:ascii="Cambria" w:hAnsi="Cambria"/>
          <w:sz w:val="20"/>
          <w:szCs w:val="20"/>
        </w:rPr>
      </w:pPr>
    </w:p>
    <w:p w14:paraId="436BC9CF" w14:textId="77777777" w:rsidR="00842401" w:rsidRPr="00524435" w:rsidRDefault="00842401" w:rsidP="009242CD">
      <w:pPr>
        <w:pStyle w:val="ListParagraph"/>
        <w:rPr>
          <w:rStyle w:val="None"/>
          <w:b/>
          <w:bCs/>
        </w:rPr>
      </w:pPr>
      <w:r w:rsidRPr="00524435">
        <w:rPr>
          <w:rStyle w:val="None"/>
        </w:rPr>
        <w:t>On February 11, 2021, the IACHR granted precautionary measures to protect 20 identified members of the San Isidro Movement (</w:t>
      </w:r>
      <w:proofErr w:type="spellStart"/>
      <w:r w:rsidRPr="00524435">
        <w:rPr>
          <w:rStyle w:val="None"/>
        </w:rPr>
        <w:t>Movimiento</w:t>
      </w:r>
      <w:proofErr w:type="spellEnd"/>
      <w:r w:rsidRPr="00524435">
        <w:rPr>
          <w:rStyle w:val="None"/>
        </w:rPr>
        <w:t xml:space="preserve"> San Isidro) (MSI) in Cuba. It was alleged that the proposed beneficiaries were at risk due to threats, harassment, surveillance, persecution, detention, and acts of violence by agents of the State and third parties, due to their work as activists, journalists, and human rights defenders in Cuba. After reviewing the petitioners’ allegations of fact and law, the Commission requested Cuba to adopt the measures necessary to protect the right to life and personal integrity of the 20 identified members of the San Isidro Movement (MSI). To this end, the State should ensure that its agents respected the lives and personal integrity of the beneficiaries and protected their rights in connection with acts attributable to third parties that put them at risk, in accordance with the standards established in international human rights law; adopt the measures necessary to enable the beneficiaries to pursue their activities as human rights defenders without being subjected to acts of violence, intimidation, and harassment in the course of their work; reach an agreement with the beneficiaries and their representatives on the measures to adopt; and report on the action </w:t>
      </w:r>
      <w:r w:rsidRPr="00524435">
        <w:rPr>
          <w:rStyle w:val="None"/>
        </w:rPr>
        <w:lastRenderedPageBreak/>
        <w:t xml:space="preserve">taken to investigate the alleged events that had led to the granting of this precautionary measure and thus, </w:t>
      </w:r>
      <w:r w:rsidRPr="00524435">
        <w:rPr>
          <w:rStyle w:val="None"/>
          <w:b/>
          <w:bCs/>
        </w:rPr>
        <w:t>avoid their repetition.</w:t>
      </w:r>
    </w:p>
    <w:p w14:paraId="1929E1CB" w14:textId="77777777" w:rsidR="00842401" w:rsidRPr="00E42B49" w:rsidRDefault="00842401" w:rsidP="00842401">
      <w:pPr>
        <w:pStyle w:val="Body"/>
        <w:rPr>
          <w:rStyle w:val="None"/>
          <w:rFonts w:ascii="Cambria" w:eastAsia="Cambria" w:hAnsi="Cambria" w:cs="Cambria"/>
          <w:b/>
          <w:bCs/>
          <w:sz w:val="20"/>
          <w:szCs w:val="20"/>
          <w:lang w:val="es-US"/>
        </w:rPr>
      </w:pPr>
      <w:proofErr w:type="spellStart"/>
      <w:r w:rsidRPr="00E42B49">
        <w:rPr>
          <w:rStyle w:val="None"/>
          <w:rFonts w:ascii="Cambria" w:hAnsi="Cambria"/>
          <w:b/>
          <w:bCs/>
          <w:sz w:val="20"/>
          <w:szCs w:val="20"/>
          <w:lang w:val="es-US"/>
        </w:rPr>
        <w:t>Resolution</w:t>
      </w:r>
      <w:proofErr w:type="spellEnd"/>
      <w:r w:rsidRPr="00E42B49">
        <w:rPr>
          <w:rStyle w:val="None"/>
          <w:rFonts w:ascii="Cambria" w:hAnsi="Cambria"/>
          <w:b/>
          <w:bCs/>
          <w:sz w:val="20"/>
          <w:szCs w:val="20"/>
          <w:lang w:val="es-US"/>
        </w:rPr>
        <w:t xml:space="preserve"> No. 24/21</w:t>
      </w:r>
      <w:r w:rsidRPr="00E42B49">
        <w:rPr>
          <w:rStyle w:val="None"/>
          <w:rFonts w:ascii="Cambria" w:hAnsi="Cambria"/>
          <w:b/>
          <w:bCs/>
          <w:sz w:val="20"/>
          <w:szCs w:val="20"/>
          <w:lang w:val="es-US"/>
        </w:rPr>
        <w:br/>
        <w:t>MC 374-20 - Roberto de Jesús Quiñones Haces, Cuba</w:t>
      </w:r>
    </w:p>
    <w:p w14:paraId="76C7E92E" w14:textId="77777777" w:rsidR="00842401" w:rsidRPr="00E42B49" w:rsidRDefault="00842401" w:rsidP="00842401">
      <w:pPr>
        <w:pStyle w:val="Body"/>
        <w:jc w:val="both"/>
        <w:rPr>
          <w:rStyle w:val="None"/>
          <w:rFonts w:ascii="Cambria" w:hAnsi="Cambria"/>
          <w:sz w:val="20"/>
          <w:szCs w:val="20"/>
          <w:lang w:val="es-US"/>
        </w:rPr>
      </w:pPr>
    </w:p>
    <w:p w14:paraId="6E499201" w14:textId="77777777" w:rsidR="00842401" w:rsidRPr="00524435" w:rsidRDefault="00842401" w:rsidP="009242CD">
      <w:pPr>
        <w:pStyle w:val="ListParagraph"/>
        <w:rPr>
          <w:rStyle w:val="None"/>
          <w:rFonts w:eastAsia="Cambria" w:cs="Cambria"/>
        </w:rPr>
      </w:pPr>
      <w:r w:rsidRPr="00524435">
        <w:rPr>
          <w:rStyle w:val="None"/>
        </w:rPr>
        <w:t xml:space="preserve">On March 9, 2021, the IACHR granted precautionary measures to protect Roberto de Jesús </w:t>
      </w:r>
      <w:proofErr w:type="spellStart"/>
      <w:r w:rsidRPr="00524435">
        <w:rPr>
          <w:rStyle w:val="None"/>
        </w:rPr>
        <w:t>Quiñones</w:t>
      </w:r>
      <w:proofErr w:type="spellEnd"/>
      <w:r w:rsidRPr="00524435">
        <w:rPr>
          <w:rStyle w:val="None"/>
        </w:rPr>
        <w:t xml:space="preserve"> </w:t>
      </w:r>
      <w:proofErr w:type="spellStart"/>
      <w:r w:rsidRPr="00524435">
        <w:rPr>
          <w:rStyle w:val="None"/>
        </w:rPr>
        <w:t>Haces</w:t>
      </w:r>
      <w:proofErr w:type="spellEnd"/>
      <w:r w:rsidRPr="00524435">
        <w:rPr>
          <w:rStyle w:val="None"/>
        </w:rPr>
        <w:t xml:space="preserve">, in Cuba. It was alleged that the proposed beneficiary was being threatened, harassed, and followed by agents of the State in connection with his work as a journalist. After reviewing the petitioners’ allegations of fact and law, the Commission found that the information provided showed prima facie that Roberto de Jesús </w:t>
      </w:r>
      <w:proofErr w:type="spellStart"/>
      <w:r w:rsidRPr="00524435">
        <w:rPr>
          <w:rStyle w:val="None"/>
        </w:rPr>
        <w:t>Quiñones</w:t>
      </w:r>
      <w:proofErr w:type="spellEnd"/>
      <w:r w:rsidRPr="00524435">
        <w:rPr>
          <w:rStyle w:val="None"/>
        </w:rPr>
        <w:t xml:space="preserve"> </w:t>
      </w:r>
      <w:proofErr w:type="spellStart"/>
      <w:r w:rsidRPr="00524435">
        <w:rPr>
          <w:rStyle w:val="None"/>
        </w:rPr>
        <w:t>Haces</w:t>
      </w:r>
      <w:proofErr w:type="spellEnd"/>
      <w:r w:rsidRPr="00524435">
        <w:rPr>
          <w:rStyle w:val="None"/>
        </w:rPr>
        <w:t xml:space="preserve"> was in a serious and urgent situation, since his right to life and personal integrity were at serious risk. Therefore, pursuant to Article 25 of the IACHR Rules of Procedure, the Commission requested Cuba to: a) adopt the measures necessary to protect the right to life and personal integrity of Roberto de Jesús </w:t>
      </w:r>
      <w:proofErr w:type="spellStart"/>
      <w:r w:rsidRPr="00524435">
        <w:rPr>
          <w:rStyle w:val="None"/>
        </w:rPr>
        <w:t>Quiñones</w:t>
      </w:r>
      <w:proofErr w:type="spellEnd"/>
      <w:r w:rsidRPr="00524435">
        <w:rPr>
          <w:rStyle w:val="None"/>
        </w:rPr>
        <w:t xml:space="preserve"> </w:t>
      </w:r>
      <w:proofErr w:type="spellStart"/>
      <w:r w:rsidRPr="00524435">
        <w:rPr>
          <w:rStyle w:val="None"/>
        </w:rPr>
        <w:t>Haces</w:t>
      </w:r>
      <w:proofErr w:type="spellEnd"/>
      <w:r w:rsidRPr="00524435">
        <w:rPr>
          <w:rStyle w:val="None"/>
        </w:rPr>
        <w:t xml:space="preserve">. These measures should allow him to continue his journalistic activities without being subjected to threats, harassment, or acts of violence in the course of his work; b) reach an agreement with the beneficiary and his representatives on the measures to adopt; and c) report on the action taken to investigate the events that had led to the granting of this precautionary measure and thus, avoid their repetition. </w:t>
      </w:r>
    </w:p>
    <w:p w14:paraId="177319CA" w14:textId="77777777" w:rsidR="00842401" w:rsidRPr="00E42B49" w:rsidRDefault="00842401" w:rsidP="00842401">
      <w:pPr>
        <w:pStyle w:val="Body"/>
        <w:rPr>
          <w:rStyle w:val="None"/>
          <w:rFonts w:ascii="Cambria" w:eastAsia="Cambria" w:hAnsi="Cambria" w:cs="Cambria"/>
          <w:b/>
          <w:bCs/>
          <w:sz w:val="20"/>
          <w:szCs w:val="20"/>
          <w:lang w:val="es-US"/>
        </w:rPr>
      </w:pPr>
      <w:proofErr w:type="spellStart"/>
      <w:r w:rsidRPr="00E42B49">
        <w:rPr>
          <w:rStyle w:val="None"/>
          <w:rFonts w:ascii="Cambria" w:hAnsi="Cambria"/>
          <w:b/>
          <w:bCs/>
          <w:sz w:val="20"/>
          <w:szCs w:val="20"/>
          <w:lang w:val="es-US"/>
        </w:rPr>
        <w:t>Resolution</w:t>
      </w:r>
      <w:proofErr w:type="spellEnd"/>
      <w:r w:rsidRPr="00E42B49">
        <w:rPr>
          <w:rStyle w:val="None"/>
          <w:rFonts w:ascii="Cambria" w:hAnsi="Cambria"/>
          <w:b/>
          <w:bCs/>
          <w:sz w:val="20"/>
          <w:szCs w:val="20"/>
          <w:lang w:val="es-US"/>
        </w:rPr>
        <w:t xml:space="preserve"> No. 26/21</w:t>
      </w:r>
      <w:r w:rsidRPr="00E42B49">
        <w:rPr>
          <w:rStyle w:val="None"/>
          <w:rFonts w:ascii="Cambria" w:hAnsi="Cambria"/>
          <w:b/>
          <w:bCs/>
          <w:sz w:val="20"/>
          <w:szCs w:val="20"/>
          <w:lang w:val="es-US"/>
        </w:rPr>
        <w:br/>
        <w:t xml:space="preserve">MC 552-20 - María de los Ángeles Matienzo Puerto and Kirenia </w:t>
      </w:r>
      <w:proofErr w:type="spellStart"/>
      <w:r w:rsidRPr="00E42B49">
        <w:rPr>
          <w:rStyle w:val="None"/>
          <w:rFonts w:ascii="Cambria" w:hAnsi="Cambria"/>
          <w:b/>
          <w:bCs/>
          <w:sz w:val="20"/>
          <w:szCs w:val="20"/>
          <w:lang w:val="es-US"/>
        </w:rPr>
        <w:t>Yalit</w:t>
      </w:r>
      <w:proofErr w:type="spellEnd"/>
      <w:r w:rsidRPr="00E42B49">
        <w:rPr>
          <w:rStyle w:val="None"/>
          <w:rFonts w:ascii="Cambria" w:hAnsi="Cambria"/>
          <w:b/>
          <w:bCs/>
          <w:sz w:val="20"/>
          <w:szCs w:val="20"/>
          <w:lang w:val="es-US"/>
        </w:rPr>
        <w:t xml:space="preserve"> Núñez Pérez, Cuba</w:t>
      </w:r>
    </w:p>
    <w:p w14:paraId="35B123BD" w14:textId="77777777" w:rsidR="00842401" w:rsidRPr="00E42B49" w:rsidRDefault="00842401" w:rsidP="00842401">
      <w:pPr>
        <w:pStyle w:val="Body"/>
        <w:jc w:val="both"/>
        <w:rPr>
          <w:rStyle w:val="None"/>
          <w:rFonts w:ascii="Cambria" w:hAnsi="Cambria"/>
          <w:sz w:val="20"/>
          <w:szCs w:val="20"/>
          <w:lang w:val="es-US"/>
        </w:rPr>
      </w:pPr>
    </w:p>
    <w:p w14:paraId="67B4DCD4" w14:textId="77777777" w:rsidR="00842401" w:rsidRPr="00524435" w:rsidRDefault="00842401" w:rsidP="009242CD">
      <w:pPr>
        <w:pStyle w:val="ListParagraph"/>
        <w:rPr>
          <w:rStyle w:val="None"/>
          <w:rFonts w:eastAsia="Cambria" w:cs="Cambria"/>
        </w:rPr>
      </w:pPr>
      <w:r w:rsidRPr="00524435">
        <w:rPr>
          <w:rStyle w:val="None"/>
        </w:rPr>
        <w:t xml:space="preserve">On March 14, 2021, the IACHR granted precautionary measures on behalf of María de los </w:t>
      </w:r>
      <w:proofErr w:type="spellStart"/>
      <w:r w:rsidRPr="00524435">
        <w:rPr>
          <w:rStyle w:val="None"/>
        </w:rPr>
        <w:t>Ángeles</w:t>
      </w:r>
      <w:proofErr w:type="spellEnd"/>
      <w:r w:rsidRPr="00524435">
        <w:rPr>
          <w:rStyle w:val="None"/>
        </w:rPr>
        <w:t xml:space="preserve"> </w:t>
      </w:r>
      <w:proofErr w:type="spellStart"/>
      <w:r w:rsidRPr="00524435">
        <w:rPr>
          <w:rStyle w:val="None"/>
        </w:rPr>
        <w:t>Matienzo</w:t>
      </w:r>
      <w:proofErr w:type="spellEnd"/>
      <w:r w:rsidRPr="00524435">
        <w:rPr>
          <w:rStyle w:val="None"/>
        </w:rPr>
        <w:t xml:space="preserve"> Puerto, and </w:t>
      </w:r>
      <w:proofErr w:type="spellStart"/>
      <w:r w:rsidRPr="00524435">
        <w:rPr>
          <w:rStyle w:val="None"/>
        </w:rPr>
        <w:t>Kirenia</w:t>
      </w:r>
      <w:proofErr w:type="spellEnd"/>
      <w:r w:rsidRPr="00524435">
        <w:rPr>
          <w:rStyle w:val="None"/>
        </w:rPr>
        <w:t xml:space="preserve"> </w:t>
      </w:r>
      <w:proofErr w:type="spellStart"/>
      <w:r w:rsidRPr="00524435">
        <w:rPr>
          <w:rStyle w:val="None"/>
        </w:rPr>
        <w:t>Yalit</w:t>
      </w:r>
      <w:proofErr w:type="spellEnd"/>
      <w:r w:rsidRPr="00524435">
        <w:rPr>
          <w:rStyle w:val="None"/>
        </w:rPr>
        <w:t xml:space="preserve"> </w:t>
      </w:r>
      <w:proofErr w:type="spellStart"/>
      <w:r w:rsidRPr="00524435">
        <w:rPr>
          <w:rStyle w:val="None"/>
        </w:rPr>
        <w:t>Núñez</w:t>
      </w:r>
      <w:proofErr w:type="spellEnd"/>
      <w:r w:rsidRPr="00524435">
        <w:rPr>
          <w:rStyle w:val="None"/>
        </w:rPr>
        <w:t xml:space="preserve"> Pérez in Cuba. The request alleged that the two had been subjected to threats, stalking, intimidation, and assaults in their work as a human rights defender or independent journalist. The Commission therefore requested Cuba to: a) adopt the measures necessary to protect the right to life and personal integrity of María de los </w:t>
      </w:r>
      <w:proofErr w:type="spellStart"/>
      <w:r w:rsidRPr="00524435">
        <w:rPr>
          <w:rStyle w:val="None"/>
        </w:rPr>
        <w:t>Ángeles</w:t>
      </w:r>
      <w:proofErr w:type="spellEnd"/>
      <w:r w:rsidRPr="00524435">
        <w:rPr>
          <w:rStyle w:val="None"/>
        </w:rPr>
        <w:t xml:space="preserve"> </w:t>
      </w:r>
      <w:proofErr w:type="spellStart"/>
      <w:r w:rsidRPr="00524435">
        <w:rPr>
          <w:rStyle w:val="None"/>
        </w:rPr>
        <w:t>Matienzo</w:t>
      </w:r>
      <w:proofErr w:type="spellEnd"/>
      <w:r w:rsidRPr="00524435">
        <w:rPr>
          <w:rStyle w:val="None"/>
        </w:rPr>
        <w:t xml:space="preserve"> Puerto and </w:t>
      </w:r>
      <w:proofErr w:type="spellStart"/>
      <w:r w:rsidRPr="00524435">
        <w:rPr>
          <w:rStyle w:val="None"/>
        </w:rPr>
        <w:t>Kirenia</w:t>
      </w:r>
      <w:proofErr w:type="spellEnd"/>
      <w:r w:rsidRPr="00524435">
        <w:rPr>
          <w:rStyle w:val="None"/>
        </w:rPr>
        <w:t xml:space="preserve"> </w:t>
      </w:r>
      <w:proofErr w:type="spellStart"/>
      <w:r w:rsidRPr="00524435">
        <w:rPr>
          <w:rStyle w:val="None"/>
        </w:rPr>
        <w:t>Yalit</w:t>
      </w:r>
      <w:proofErr w:type="spellEnd"/>
      <w:r w:rsidRPr="00524435">
        <w:rPr>
          <w:rStyle w:val="None"/>
        </w:rPr>
        <w:t xml:space="preserve"> </w:t>
      </w:r>
      <w:proofErr w:type="spellStart"/>
      <w:r w:rsidRPr="00524435">
        <w:rPr>
          <w:rStyle w:val="None"/>
        </w:rPr>
        <w:t>Núñez</w:t>
      </w:r>
      <w:proofErr w:type="spellEnd"/>
      <w:r w:rsidRPr="00524435">
        <w:rPr>
          <w:rStyle w:val="None"/>
        </w:rPr>
        <w:t xml:space="preserve"> Pérez. To this end, the State should ensure that its agents respected the life and personal integrity of the beneficiaries and protected their rights in connection with acts attributable to third parties that put them at risk, in accordance with the standards established in international human rights law; b) adopt the measures necessary for the beneficiaries to pursue their activities as an independent journalist or human rights defender without being subjected to acts of violence, threats, intimidation, and harassment in the course or their work; c) reach an agreement with the beneficiaries and their representatives on the measures to adopt; and d) report on the action taken to investigate the alleged events that had led to the granting of this precautionary measure and thus, avoid their repetition.</w:t>
      </w:r>
    </w:p>
    <w:p w14:paraId="2088A2AF" w14:textId="77777777" w:rsidR="00842401" w:rsidRPr="00E42B49" w:rsidRDefault="00842401" w:rsidP="00842401">
      <w:pPr>
        <w:pStyle w:val="Body"/>
        <w:rPr>
          <w:rStyle w:val="None"/>
          <w:rFonts w:ascii="Cambria" w:eastAsia="Cambria" w:hAnsi="Cambria" w:cs="Cambria"/>
          <w:b/>
          <w:bCs/>
          <w:sz w:val="20"/>
          <w:szCs w:val="20"/>
          <w:lang w:val="es-US"/>
        </w:rPr>
      </w:pPr>
      <w:proofErr w:type="spellStart"/>
      <w:r w:rsidRPr="00E42B49">
        <w:rPr>
          <w:rStyle w:val="None"/>
          <w:rFonts w:ascii="Cambria" w:hAnsi="Cambria"/>
          <w:b/>
          <w:bCs/>
          <w:sz w:val="20"/>
          <w:szCs w:val="20"/>
          <w:lang w:val="es-US"/>
        </w:rPr>
        <w:t>Resolution</w:t>
      </w:r>
      <w:proofErr w:type="spellEnd"/>
      <w:r w:rsidRPr="00E42B49">
        <w:rPr>
          <w:rStyle w:val="None"/>
          <w:rFonts w:ascii="Cambria" w:hAnsi="Cambria"/>
          <w:b/>
          <w:bCs/>
          <w:sz w:val="20"/>
          <w:szCs w:val="20"/>
          <w:lang w:val="es-US"/>
        </w:rPr>
        <w:t xml:space="preserve"> No. 29/21 (EXTENSION)</w:t>
      </w:r>
      <w:r w:rsidRPr="00E42B49">
        <w:rPr>
          <w:rStyle w:val="None"/>
          <w:rFonts w:ascii="Cambria" w:hAnsi="Cambria"/>
          <w:b/>
          <w:bCs/>
          <w:sz w:val="20"/>
          <w:szCs w:val="20"/>
          <w:lang w:val="es-US"/>
        </w:rPr>
        <w:br/>
        <w:t xml:space="preserve">MC 1101-20 - </w:t>
      </w:r>
      <w:proofErr w:type="spellStart"/>
      <w:r w:rsidRPr="00E42B49">
        <w:rPr>
          <w:rStyle w:val="None"/>
          <w:rFonts w:ascii="Cambria" w:hAnsi="Cambria"/>
          <w:b/>
          <w:bCs/>
          <w:sz w:val="20"/>
          <w:szCs w:val="20"/>
          <w:lang w:val="es-US"/>
        </w:rPr>
        <w:t>Aminta</w:t>
      </w:r>
      <w:proofErr w:type="spellEnd"/>
      <w:r w:rsidRPr="00E42B49">
        <w:rPr>
          <w:rStyle w:val="None"/>
          <w:rFonts w:ascii="Cambria" w:hAnsi="Cambria"/>
          <w:b/>
          <w:bCs/>
          <w:sz w:val="20"/>
          <w:szCs w:val="20"/>
          <w:lang w:val="es-US"/>
        </w:rPr>
        <w:t xml:space="preserve"> </w:t>
      </w:r>
      <w:proofErr w:type="spellStart"/>
      <w:r w:rsidRPr="00E42B49">
        <w:rPr>
          <w:rStyle w:val="None"/>
          <w:rFonts w:ascii="Cambria" w:hAnsi="Cambria"/>
          <w:b/>
          <w:bCs/>
          <w:sz w:val="20"/>
          <w:szCs w:val="20"/>
          <w:lang w:val="es-US"/>
        </w:rPr>
        <w:t>D’Cárdenas</w:t>
      </w:r>
      <w:proofErr w:type="spellEnd"/>
      <w:r w:rsidRPr="00E42B49">
        <w:rPr>
          <w:rStyle w:val="None"/>
          <w:rFonts w:ascii="Cambria" w:hAnsi="Cambria"/>
          <w:b/>
          <w:bCs/>
          <w:sz w:val="20"/>
          <w:szCs w:val="20"/>
          <w:lang w:val="es-US"/>
        </w:rPr>
        <w:t xml:space="preserve"> </w:t>
      </w:r>
      <w:proofErr w:type="spellStart"/>
      <w:r w:rsidRPr="00E42B49">
        <w:rPr>
          <w:rStyle w:val="None"/>
          <w:rFonts w:ascii="Cambria" w:hAnsi="Cambria"/>
          <w:b/>
          <w:bCs/>
          <w:sz w:val="20"/>
          <w:szCs w:val="20"/>
          <w:lang w:val="es-US"/>
        </w:rPr>
        <w:t>Soroa</w:t>
      </w:r>
      <w:proofErr w:type="spellEnd"/>
      <w:r w:rsidRPr="00E42B49">
        <w:rPr>
          <w:rStyle w:val="None"/>
          <w:rFonts w:ascii="Cambria" w:hAnsi="Cambria"/>
          <w:b/>
          <w:bCs/>
          <w:sz w:val="20"/>
          <w:szCs w:val="20"/>
          <w:lang w:val="es-US"/>
        </w:rPr>
        <w:t xml:space="preserve"> and Carlos Manuel Álvarez, Cuba</w:t>
      </w:r>
    </w:p>
    <w:p w14:paraId="34D5DC1B" w14:textId="77777777" w:rsidR="00842401" w:rsidRPr="00E42B49" w:rsidRDefault="00842401" w:rsidP="00842401">
      <w:pPr>
        <w:pStyle w:val="Body"/>
        <w:jc w:val="both"/>
        <w:rPr>
          <w:rStyle w:val="None"/>
          <w:rFonts w:ascii="Cambria" w:hAnsi="Cambria"/>
          <w:sz w:val="20"/>
          <w:szCs w:val="20"/>
          <w:lang w:val="es-US"/>
        </w:rPr>
      </w:pPr>
    </w:p>
    <w:p w14:paraId="0B69CB0F" w14:textId="77777777" w:rsidR="00842401" w:rsidRPr="00524435" w:rsidRDefault="00842401" w:rsidP="009242CD">
      <w:pPr>
        <w:pStyle w:val="ListParagraph"/>
        <w:rPr>
          <w:rStyle w:val="None"/>
          <w:rFonts w:eastAsia="Cambria" w:cs="Cambria"/>
        </w:rPr>
      </w:pPr>
      <w:r w:rsidRPr="00524435">
        <w:rPr>
          <w:rStyle w:val="None"/>
        </w:rPr>
        <w:t xml:space="preserve">On March 24, 2021, the IACHR extended the precautionary measures granted on behalf of </w:t>
      </w:r>
      <w:proofErr w:type="spellStart"/>
      <w:r w:rsidRPr="00524435">
        <w:rPr>
          <w:rStyle w:val="None"/>
        </w:rPr>
        <w:t>Aminta</w:t>
      </w:r>
      <w:proofErr w:type="spellEnd"/>
      <w:r w:rsidRPr="00524435">
        <w:rPr>
          <w:rStyle w:val="None"/>
        </w:rPr>
        <w:t xml:space="preserve"> </w:t>
      </w:r>
      <w:proofErr w:type="spellStart"/>
      <w:r w:rsidRPr="00524435">
        <w:rPr>
          <w:rStyle w:val="None"/>
        </w:rPr>
        <w:t>D’Cárdenas</w:t>
      </w:r>
      <w:proofErr w:type="spellEnd"/>
      <w:r w:rsidRPr="00524435">
        <w:rPr>
          <w:rStyle w:val="None"/>
        </w:rPr>
        <w:t xml:space="preserve"> </w:t>
      </w:r>
      <w:proofErr w:type="spellStart"/>
      <w:r w:rsidRPr="00524435">
        <w:rPr>
          <w:rStyle w:val="None"/>
        </w:rPr>
        <w:t>Soroa</w:t>
      </w:r>
      <w:proofErr w:type="spellEnd"/>
      <w:r w:rsidRPr="00524435">
        <w:rPr>
          <w:rStyle w:val="None"/>
        </w:rPr>
        <w:t xml:space="preserve"> and Carlos Manuel Álvarez, individuals associated with the San Isidro Movement (MSI) in Cuba. The IACHR found that the proposed beneficiaries had been under very close surveillance by the police that had not been limited to following them but had attempted to keep them from engaging in work for their movement. The Commission was therefore able to determine that agents of the State had been closely monitoring their activities and even their movements in different provinces of Cuba. It was alleged that after they were detained, Carlos Manuel Alvarez had been beaten after being summoned to the police station. The Commission therefore requested Cuba to: a) adopt the measures necessary to protect the right to life and personal integrity of the two beneficiaries identified as being associated with the San Isidro Movement (MSI). To this end, the State should ensure that its agents respected the life and personal integrity of the beneficiaries and protected their rights in connection with acts attributable to third parties that put them at risk, in accordance with the standards established in international human rights law; b) adopt the measures necessary to allow the beneficiaries to pursue their activities as human rights defenders without being subjected to acts of violence, intimidation, and harassment in the course of their work.; c) reach an agreement with the beneficiaries and their representatives on the measures to adopt; and d) report on the action taken to </w:t>
      </w:r>
      <w:r w:rsidRPr="00524435">
        <w:rPr>
          <w:rStyle w:val="None"/>
        </w:rPr>
        <w:lastRenderedPageBreak/>
        <w:t>investigate the alleged events that had led to the granting of this precautionary measure and thus, avoid their repetition.</w:t>
      </w:r>
    </w:p>
    <w:p w14:paraId="749FAA5B" w14:textId="77777777" w:rsidR="00842401" w:rsidRPr="00E42B49" w:rsidRDefault="00842401" w:rsidP="00842401">
      <w:pPr>
        <w:pStyle w:val="Body"/>
        <w:rPr>
          <w:rStyle w:val="None"/>
          <w:rFonts w:ascii="Cambria" w:eastAsia="Cambria" w:hAnsi="Cambria" w:cs="Cambria"/>
          <w:b/>
          <w:bCs/>
          <w:sz w:val="20"/>
          <w:szCs w:val="20"/>
          <w:lang w:val="es-US"/>
        </w:rPr>
      </w:pPr>
      <w:proofErr w:type="spellStart"/>
      <w:r w:rsidRPr="00E42B49">
        <w:rPr>
          <w:rStyle w:val="None"/>
          <w:rFonts w:ascii="Cambria" w:hAnsi="Cambria"/>
          <w:b/>
          <w:bCs/>
          <w:sz w:val="20"/>
          <w:szCs w:val="20"/>
          <w:lang w:val="es-US"/>
        </w:rPr>
        <w:t>Resolution</w:t>
      </w:r>
      <w:proofErr w:type="spellEnd"/>
      <w:r w:rsidRPr="00E42B49">
        <w:rPr>
          <w:rStyle w:val="None"/>
          <w:rFonts w:ascii="Cambria" w:hAnsi="Cambria"/>
          <w:b/>
          <w:bCs/>
          <w:sz w:val="20"/>
          <w:szCs w:val="20"/>
          <w:lang w:val="es-US"/>
        </w:rPr>
        <w:t xml:space="preserve"> No. 30/21 (EXTENSION)</w:t>
      </w:r>
      <w:r w:rsidRPr="00E42B49">
        <w:rPr>
          <w:rStyle w:val="None"/>
          <w:rFonts w:ascii="Cambria" w:hAnsi="Cambria"/>
          <w:b/>
          <w:bCs/>
          <w:sz w:val="20"/>
          <w:szCs w:val="20"/>
          <w:lang w:val="es-US"/>
        </w:rPr>
        <w:br/>
        <w:t xml:space="preserve">MC 211-20 - </w:t>
      </w:r>
      <w:proofErr w:type="spellStart"/>
      <w:r w:rsidRPr="00E42B49">
        <w:rPr>
          <w:rStyle w:val="None"/>
          <w:rFonts w:ascii="Cambria" w:hAnsi="Cambria"/>
          <w:b/>
          <w:bCs/>
          <w:sz w:val="20"/>
          <w:szCs w:val="20"/>
          <w:lang w:val="es-US"/>
        </w:rPr>
        <w:t>Esber</w:t>
      </w:r>
      <w:proofErr w:type="spellEnd"/>
      <w:r w:rsidRPr="00E42B49">
        <w:rPr>
          <w:rStyle w:val="None"/>
          <w:rFonts w:ascii="Cambria" w:hAnsi="Cambria"/>
          <w:b/>
          <w:bCs/>
          <w:sz w:val="20"/>
          <w:szCs w:val="20"/>
          <w:lang w:val="es-US"/>
        </w:rPr>
        <w:t xml:space="preserve"> Rafael Ramírez </w:t>
      </w:r>
      <w:proofErr w:type="spellStart"/>
      <w:r w:rsidRPr="00E42B49">
        <w:rPr>
          <w:rStyle w:val="None"/>
          <w:rFonts w:ascii="Cambria" w:hAnsi="Cambria"/>
          <w:b/>
          <w:bCs/>
          <w:sz w:val="20"/>
          <w:szCs w:val="20"/>
          <w:lang w:val="es-US"/>
        </w:rPr>
        <w:t>Argota</w:t>
      </w:r>
      <w:proofErr w:type="spellEnd"/>
      <w:r w:rsidRPr="00E42B49">
        <w:rPr>
          <w:rStyle w:val="None"/>
          <w:rFonts w:ascii="Cambria" w:hAnsi="Cambria"/>
          <w:b/>
          <w:bCs/>
          <w:sz w:val="20"/>
          <w:szCs w:val="20"/>
          <w:lang w:val="es-US"/>
        </w:rPr>
        <w:t>, Cuba</w:t>
      </w:r>
    </w:p>
    <w:p w14:paraId="2C574FD5" w14:textId="77777777" w:rsidR="00842401" w:rsidRPr="00E42B49" w:rsidRDefault="00842401" w:rsidP="00842401">
      <w:pPr>
        <w:pStyle w:val="Body"/>
        <w:jc w:val="both"/>
        <w:rPr>
          <w:rStyle w:val="None"/>
          <w:rFonts w:ascii="Cambria" w:hAnsi="Cambria"/>
          <w:sz w:val="20"/>
          <w:szCs w:val="20"/>
          <w:lang w:val="es-US"/>
        </w:rPr>
      </w:pPr>
    </w:p>
    <w:p w14:paraId="2C9E7213" w14:textId="77777777" w:rsidR="00842401" w:rsidRPr="00524435" w:rsidRDefault="00842401" w:rsidP="009242CD">
      <w:pPr>
        <w:pStyle w:val="ListParagraph"/>
        <w:rPr>
          <w:rStyle w:val="None"/>
          <w:rFonts w:eastAsia="Cambria" w:cs="Cambria"/>
        </w:rPr>
      </w:pPr>
      <w:r w:rsidRPr="00524435">
        <w:rPr>
          <w:rStyle w:val="None"/>
        </w:rPr>
        <w:t xml:space="preserve">On April 5, 2021, the IACHR decided to extend the precautionary measures granted on behalf of </w:t>
      </w:r>
      <w:proofErr w:type="spellStart"/>
      <w:r w:rsidRPr="00524435">
        <w:rPr>
          <w:rStyle w:val="None"/>
        </w:rPr>
        <w:t>Esber</w:t>
      </w:r>
      <w:proofErr w:type="spellEnd"/>
      <w:r w:rsidRPr="00524435">
        <w:rPr>
          <w:rStyle w:val="None"/>
        </w:rPr>
        <w:t xml:space="preserve"> Rafael Ramírez </w:t>
      </w:r>
      <w:proofErr w:type="spellStart"/>
      <w:r w:rsidRPr="00524435">
        <w:rPr>
          <w:rStyle w:val="None"/>
        </w:rPr>
        <w:t>Argota</w:t>
      </w:r>
      <w:proofErr w:type="spellEnd"/>
      <w:r w:rsidRPr="00524435">
        <w:rPr>
          <w:rStyle w:val="None"/>
        </w:rPr>
        <w:t>, in Cuba. The Commission observed that the alleged events had taken place within a particular context in Cuba, marked by special hostility toward members of the CIR that was reflected in the actions of the State agents involved in the alleged acts against Mr. Ramírez. The IACHR therefore requested Cuba to: a) adopt the measures necessary to protect the beneficiary’s right to life and personal integrity. To this end, the State should ensure that its agents respected the life and personal integrity of the beneficiary and protected his rights in connection with acts attributable to third parties that put him at risk, in accordance with the standards established in international human rights law; b) adopt the measures necessary for the beneficiary to pursue his activities as a human rights defender without being subjected to acts of violence, intimidation, and harassment in the course of his work. This included the adoption of measures that would enable him to exercise his freedom of expression; c) reach an agreement with the beneficiary and his representatives on the measures to adopt; and d) report on the action taken to investigate the alleged events that had led to the granting of this precautionary measure and thus, avoid their repetition.</w:t>
      </w:r>
    </w:p>
    <w:p w14:paraId="558B189F" w14:textId="77777777" w:rsidR="00842401" w:rsidRPr="00524435" w:rsidRDefault="00842401" w:rsidP="00842401">
      <w:pPr>
        <w:pStyle w:val="Body"/>
        <w:rPr>
          <w:rStyle w:val="None"/>
          <w:rFonts w:ascii="Cambria" w:eastAsia="Cambria" w:hAnsi="Cambria" w:cs="Cambria"/>
          <w:b/>
          <w:bCs/>
          <w:sz w:val="20"/>
          <w:szCs w:val="20"/>
        </w:rPr>
      </w:pPr>
      <w:r w:rsidRPr="00524435">
        <w:rPr>
          <w:rStyle w:val="None"/>
          <w:rFonts w:ascii="Cambria" w:hAnsi="Cambria"/>
          <w:b/>
          <w:bCs/>
          <w:sz w:val="20"/>
          <w:szCs w:val="20"/>
        </w:rPr>
        <w:t>Resolution No. 34/21</w:t>
      </w:r>
      <w:r w:rsidRPr="00524435">
        <w:rPr>
          <w:rStyle w:val="None"/>
          <w:rFonts w:ascii="Cambria" w:hAnsi="Cambria"/>
          <w:b/>
          <w:bCs/>
          <w:sz w:val="20"/>
          <w:szCs w:val="20"/>
        </w:rPr>
        <w:br/>
        <w:t xml:space="preserve">MC 241-21 - </w:t>
      </w:r>
      <w:proofErr w:type="spellStart"/>
      <w:r w:rsidRPr="00524435">
        <w:rPr>
          <w:rStyle w:val="None"/>
          <w:rFonts w:ascii="Cambria" w:hAnsi="Cambria"/>
          <w:b/>
          <w:bCs/>
          <w:sz w:val="20"/>
          <w:szCs w:val="20"/>
        </w:rPr>
        <w:t>Yoel</w:t>
      </w:r>
      <w:proofErr w:type="spellEnd"/>
      <w:r w:rsidRPr="00524435">
        <w:rPr>
          <w:rStyle w:val="None"/>
          <w:rFonts w:ascii="Cambria" w:hAnsi="Cambria"/>
          <w:b/>
          <w:bCs/>
          <w:sz w:val="20"/>
          <w:szCs w:val="20"/>
        </w:rPr>
        <w:t xml:space="preserve"> Suárez Fernández and immediate family, Cuba</w:t>
      </w:r>
    </w:p>
    <w:p w14:paraId="543C5DCF" w14:textId="77777777" w:rsidR="00842401" w:rsidRPr="00524435" w:rsidRDefault="00842401" w:rsidP="00842401">
      <w:pPr>
        <w:pStyle w:val="Body"/>
        <w:jc w:val="both"/>
        <w:rPr>
          <w:rStyle w:val="None"/>
          <w:rFonts w:ascii="Cambria" w:hAnsi="Cambria"/>
          <w:sz w:val="20"/>
          <w:szCs w:val="20"/>
        </w:rPr>
      </w:pPr>
    </w:p>
    <w:p w14:paraId="2AE7A412" w14:textId="77777777" w:rsidR="00842401" w:rsidRPr="00524435" w:rsidRDefault="00842401" w:rsidP="009242CD">
      <w:pPr>
        <w:pStyle w:val="ListParagraph"/>
        <w:rPr>
          <w:rStyle w:val="None"/>
          <w:rFonts w:eastAsia="Cambria" w:cs="Cambria"/>
        </w:rPr>
      </w:pPr>
      <w:r w:rsidRPr="00524435">
        <w:rPr>
          <w:rStyle w:val="None"/>
        </w:rPr>
        <w:t xml:space="preserve">On April 22, 2021, the IACHR decided to grant precautionary measures on behalf of </w:t>
      </w:r>
      <w:proofErr w:type="spellStart"/>
      <w:r w:rsidRPr="00524435">
        <w:rPr>
          <w:rStyle w:val="None"/>
        </w:rPr>
        <w:t>Yoel</w:t>
      </w:r>
      <w:proofErr w:type="spellEnd"/>
      <w:r w:rsidRPr="00524435">
        <w:rPr>
          <w:rStyle w:val="None"/>
        </w:rPr>
        <w:t xml:space="preserve"> Suárez Fernández. According to the petition, the beneficiary was being subjected to harassment, intimidation, and detention by agents of the State, allegedly as the result of his work as an independent journalist and writer in Cuba. After reviewing the allegations of fact and law made by the requesting organizations, the Commission found that the information provided showed prima facie that the situation of </w:t>
      </w:r>
      <w:proofErr w:type="spellStart"/>
      <w:r w:rsidRPr="00524435">
        <w:rPr>
          <w:rStyle w:val="None"/>
        </w:rPr>
        <w:t>Yoel</w:t>
      </w:r>
      <w:proofErr w:type="spellEnd"/>
      <w:r w:rsidRPr="00524435">
        <w:rPr>
          <w:rStyle w:val="None"/>
        </w:rPr>
        <w:t xml:space="preserve"> Suárez Fernández was serious and urgent, since his right to life and personal integrity were at risk of irreparable harm. Therefore, pursuant to Article 25 of the IACHR Rules of Procedure, the Commission requested Cuba to: a) adopt the measures necessary to protect the right to life and personal integrity of </w:t>
      </w:r>
      <w:proofErr w:type="spellStart"/>
      <w:r w:rsidRPr="00524435">
        <w:rPr>
          <w:rStyle w:val="None"/>
        </w:rPr>
        <w:t>Yoel</w:t>
      </w:r>
      <w:proofErr w:type="spellEnd"/>
      <w:r w:rsidRPr="00524435">
        <w:rPr>
          <w:rStyle w:val="None"/>
        </w:rPr>
        <w:t xml:space="preserve"> Suárez Fernández and his immediate family. To this end, the State should ensure that its agents respected the life and personal integrity of the beneficiaries and protected their rights  in connection with acts attributable to third parties that put them at risk, in accordance with the standards established in international human rights law; b) adopt the measures necessary for </w:t>
      </w:r>
      <w:proofErr w:type="spellStart"/>
      <w:r w:rsidRPr="00524435">
        <w:rPr>
          <w:rStyle w:val="None"/>
        </w:rPr>
        <w:t>Yoel</w:t>
      </w:r>
      <w:proofErr w:type="spellEnd"/>
      <w:r w:rsidRPr="00524435">
        <w:rPr>
          <w:rStyle w:val="None"/>
        </w:rPr>
        <w:t xml:space="preserve"> Suárez Fernández to pursue his activities as a journalist without being subjected to acts of violence, intimidation, harassment, and detention in the course of this work. This included the adoption of measures that would allow him to exercise his freedom of expression; c) reach an agreement with the beneficiaries and their representatives on the measures to adopt; and d) report on the action taken to investigate the alleged events that had led to the granting of this precautionary measure and thus, avoid their repetition.</w:t>
      </w:r>
    </w:p>
    <w:p w14:paraId="138E0029" w14:textId="77777777" w:rsidR="00842401" w:rsidRPr="00524435" w:rsidRDefault="00842401" w:rsidP="00842401">
      <w:pPr>
        <w:pStyle w:val="Body"/>
        <w:rPr>
          <w:rStyle w:val="None"/>
          <w:rFonts w:ascii="Cambria" w:eastAsia="Cambria" w:hAnsi="Cambria" w:cs="Cambria"/>
          <w:b/>
          <w:bCs/>
          <w:sz w:val="20"/>
          <w:szCs w:val="20"/>
        </w:rPr>
      </w:pPr>
      <w:r w:rsidRPr="00524435">
        <w:rPr>
          <w:rStyle w:val="None"/>
          <w:rFonts w:ascii="Cambria" w:hAnsi="Cambria"/>
          <w:b/>
          <w:bCs/>
          <w:sz w:val="20"/>
          <w:szCs w:val="20"/>
        </w:rPr>
        <w:t>Resolution No. 64/21 (EXTENSION)</w:t>
      </w:r>
      <w:r w:rsidRPr="00524435">
        <w:rPr>
          <w:rStyle w:val="None"/>
          <w:rFonts w:ascii="Cambria" w:hAnsi="Cambria"/>
          <w:b/>
          <w:bCs/>
          <w:sz w:val="20"/>
          <w:szCs w:val="20"/>
        </w:rPr>
        <w:br/>
        <w:t>MC 211-20 - Richard Adrián Zamora Brito, Cuba</w:t>
      </w:r>
    </w:p>
    <w:p w14:paraId="49A8F285" w14:textId="77777777" w:rsidR="00842401" w:rsidRPr="00524435" w:rsidRDefault="00842401" w:rsidP="00842401">
      <w:pPr>
        <w:pStyle w:val="Body"/>
        <w:jc w:val="both"/>
        <w:rPr>
          <w:rStyle w:val="None"/>
          <w:rFonts w:ascii="Cambria" w:hAnsi="Cambria"/>
          <w:sz w:val="20"/>
          <w:szCs w:val="20"/>
        </w:rPr>
      </w:pPr>
    </w:p>
    <w:p w14:paraId="716CB90C" w14:textId="77777777" w:rsidR="00842401" w:rsidRPr="00524435" w:rsidRDefault="00842401" w:rsidP="009242CD">
      <w:pPr>
        <w:pStyle w:val="ListParagraph"/>
        <w:rPr>
          <w:rStyle w:val="None"/>
          <w:rFonts w:eastAsia="Cambria" w:cs="Cambria"/>
        </w:rPr>
      </w:pPr>
      <w:r w:rsidRPr="00524435">
        <w:rPr>
          <w:rStyle w:val="None"/>
        </w:rPr>
        <w:t>On August 22, 2021, the IACHR decided to extend the precautionary measures granted on behalf of Richard Adrián Zamora Brito, in Cuba. According to the petition, the beneficiary was a member of the Citizens’ Committee for Racial Integration [</w:t>
      </w:r>
      <w:proofErr w:type="spellStart"/>
      <w:r w:rsidRPr="00524435">
        <w:rPr>
          <w:rStyle w:val="None"/>
          <w:i/>
          <w:iCs/>
        </w:rPr>
        <w:t>Comité</w:t>
      </w:r>
      <w:proofErr w:type="spellEnd"/>
      <w:r w:rsidRPr="00524435">
        <w:rPr>
          <w:rStyle w:val="None"/>
          <w:i/>
          <w:iCs/>
        </w:rPr>
        <w:t xml:space="preserve"> de </w:t>
      </w:r>
      <w:proofErr w:type="spellStart"/>
      <w:r w:rsidRPr="00524435">
        <w:rPr>
          <w:rStyle w:val="None"/>
          <w:i/>
          <w:iCs/>
        </w:rPr>
        <w:t>Ciudadanos</w:t>
      </w:r>
      <w:proofErr w:type="spellEnd"/>
      <w:r w:rsidRPr="00524435">
        <w:rPr>
          <w:rStyle w:val="None"/>
          <w:i/>
          <w:iCs/>
        </w:rPr>
        <w:t xml:space="preserve"> </w:t>
      </w:r>
      <w:proofErr w:type="spellStart"/>
      <w:r w:rsidRPr="00524435">
        <w:rPr>
          <w:rStyle w:val="None"/>
          <w:i/>
          <w:iCs/>
        </w:rPr>
        <w:t>por</w:t>
      </w:r>
      <w:proofErr w:type="spellEnd"/>
      <w:r w:rsidRPr="00524435">
        <w:rPr>
          <w:rStyle w:val="None"/>
          <w:i/>
          <w:iCs/>
        </w:rPr>
        <w:t xml:space="preserve"> la </w:t>
      </w:r>
      <w:proofErr w:type="spellStart"/>
      <w:r w:rsidRPr="00524435">
        <w:rPr>
          <w:rStyle w:val="None"/>
          <w:i/>
          <w:iCs/>
        </w:rPr>
        <w:t>Integración</w:t>
      </w:r>
      <w:proofErr w:type="spellEnd"/>
      <w:r w:rsidRPr="00524435">
        <w:rPr>
          <w:rStyle w:val="None"/>
          <w:i/>
          <w:iCs/>
        </w:rPr>
        <w:t xml:space="preserve"> Racial</w:t>
      </w:r>
      <w:r w:rsidRPr="00524435">
        <w:rPr>
          <w:rStyle w:val="None"/>
        </w:rPr>
        <w:t xml:space="preserve">] (CIR) and was at risk in the country’s current circumstances. Therefore, pursuant to Article 25 of the IACHR Rules of Procedure, the Commission requested Cuba to: a) adopt the measures necessary to protect the right to life and personal integrity of the beneficiary To this end, the State should ensure that its agents respected the life and personal integrity of the beneficiary and protected their rights in connection with acts attributable to third parties that put them at risk, in accordance with the standards established in international human rights law; b) report on the official whereabouts of detained beneficiary and adopt measures to allow them to contact their families and legal representatives; c) adopt the measures necessary for the beneficiary to pursue their activities as human </w:t>
      </w:r>
      <w:r w:rsidRPr="00524435">
        <w:rPr>
          <w:rStyle w:val="None"/>
        </w:rPr>
        <w:lastRenderedPageBreak/>
        <w:t>rights defenders without being subjected to acts of violence, intimidation, and harassment in the course of their work. This included the adoption of measures that would allow him to exercise his freedom of expression; d) reach agreement with the beneficiary and their representatives on the measures to adopt; and e) report on the action taken to investigate the alleged events that had led to the granting of this precautionary measure and thus, avoid their repetition.</w:t>
      </w:r>
    </w:p>
    <w:p w14:paraId="7303EE4D" w14:textId="77777777" w:rsidR="00842401" w:rsidRPr="00E42B49" w:rsidRDefault="00842401" w:rsidP="00842401">
      <w:pPr>
        <w:pStyle w:val="Body"/>
        <w:rPr>
          <w:rStyle w:val="None"/>
          <w:rFonts w:ascii="Cambria" w:eastAsia="Cambria" w:hAnsi="Cambria" w:cs="Cambria"/>
          <w:b/>
          <w:bCs/>
          <w:sz w:val="20"/>
          <w:szCs w:val="20"/>
          <w:lang w:val="es-US"/>
        </w:rPr>
      </w:pPr>
      <w:proofErr w:type="spellStart"/>
      <w:r w:rsidRPr="00E42B49">
        <w:rPr>
          <w:rStyle w:val="None"/>
          <w:rFonts w:ascii="Cambria" w:hAnsi="Cambria"/>
          <w:b/>
          <w:bCs/>
          <w:sz w:val="20"/>
          <w:szCs w:val="20"/>
          <w:lang w:val="es-US"/>
        </w:rPr>
        <w:t>Resolution</w:t>
      </w:r>
      <w:proofErr w:type="spellEnd"/>
      <w:r w:rsidRPr="00E42B49">
        <w:rPr>
          <w:rStyle w:val="None"/>
          <w:rFonts w:ascii="Cambria" w:hAnsi="Cambria"/>
          <w:b/>
          <w:bCs/>
          <w:sz w:val="20"/>
          <w:szCs w:val="20"/>
          <w:lang w:val="es-US"/>
        </w:rPr>
        <w:t xml:space="preserve"> No. 68/21</w:t>
      </w:r>
      <w:r w:rsidRPr="00E42B49">
        <w:rPr>
          <w:rStyle w:val="None"/>
          <w:rFonts w:ascii="Cambria" w:hAnsi="Cambria"/>
          <w:b/>
          <w:bCs/>
          <w:sz w:val="20"/>
          <w:szCs w:val="20"/>
          <w:lang w:val="es-US"/>
        </w:rPr>
        <w:br/>
        <w:t>MC 1068-20 - Irán Almaguer Labrada, Cuba</w:t>
      </w:r>
    </w:p>
    <w:p w14:paraId="78DA045E" w14:textId="77777777" w:rsidR="00842401" w:rsidRPr="00E42B49" w:rsidRDefault="00842401" w:rsidP="00842401">
      <w:pPr>
        <w:pStyle w:val="Body"/>
        <w:jc w:val="both"/>
        <w:rPr>
          <w:rStyle w:val="None"/>
          <w:rFonts w:ascii="Cambria" w:hAnsi="Cambria"/>
          <w:sz w:val="20"/>
          <w:szCs w:val="20"/>
          <w:lang w:val="es-US"/>
        </w:rPr>
      </w:pPr>
    </w:p>
    <w:p w14:paraId="5EE688DA" w14:textId="77777777" w:rsidR="00842401" w:rsidRPr="00524435" w:rsidRDefault="00842401" w:rsidP="009242CD">
      <w:pPr>
        <w:pStyle w:val="ListParagraph"/>
        <w:rPr>
          <w:rStyle w:val="None"/>
          <w:rFonts w:eastAsia="Cambria" w:cs="Cambria"/>
        </w:rPr>
      </w:pPr>
      <w:r w:rsidRPr="00524435">
        <w:rPr>
          <w:rStyle w:val="None"/>
        </w:rPr>
        <w:t xml:space="preserve">On August 28, 2021, the IACHR decided to extend the precautionary measures granted on behalf of </w:t>
      </w:r>
      <w:proofErr w:type="spellStart"/>
      <w:r w:rsidRPr="00524435">
        <w:rPr>
          <w:rStyle w:val="None"/>
        </w:rPr>
        <w:t>Irán</w:t>
      </w:r>
      <w:proofErr w:type="spellEnd"/>
      <w:r w:rsidRPr="00524435">
        <w:rPr>
          <w:rStyle w:val="None"/>
        </w:rPr>
        <w:t xml:space="preserve"> </w:t>
      </w:r>
      <w:proofErr w:type="spellStart"/>
      <w:r w:rsidRPr="00524435">
        <w:rPr>
          <w:rStyle w:val="None"/>
        </w:rPr>
        <w:t>Almaguer</w:t>
      </w:r>
      <w:proofErr w:type="spellEnd"/>
      <w:r w:rsidRPr="00524435">
        <w:rPr>
          <w:rStyle w:val="None"/>
        </w:rPr>
        <w:t xml:space="preserve"> </w:t>
      </w:r>
      <w:proofErr w:type="spellStart"/>
      <w:r w:rsidRPr="00524435">
        <w:rPr>
          <w:rStyle w:val="None"/>
        </w:rPr>
        <w:t>Labrada</w:t>
      </w:r>
      <w:proofErr w:type="spellEnd"/>
      <w:r w:rsidRPr="00524435">
        <w:rPr>
          <w:rStyle w:val="None"/>
        </w:rPr>
        <w:t xml:space="preserve">, a member of the Christian Liberation Movement (MCL), after finding that there was a serious and urgent risk of irreparable harm to his right to life and personal integrity in Cuba. The IACHR found that the proposed beneficiary was being subjected to threats and intimidation and held incommunicado during detentions by agents of the State. After reviewing the allegations of fact and law submitted by the petitioner, the Commission deemed that the information provided showed prima facie that the situation of </w:t>
      </w:r>
      <w:proofErr w:type="spellStart"/>
      <w:r w:rsidRPr="00524435">
        <w:rPr>
          <w:rStyle w:val="None"/>
        </w:rPr>
        <w:t>Almaguer</w:t>
      </w:r>
      <w:proofErr w:type="spellEnd"/>
      <w:r w:rsidRPr="00524435">
        <w:rPr>
          <w:rStyle w:val="None"/>
        </w:rPr>
        <w:t xml:space="preserve"> </w:t>
      </w:r>
      <w:proofErr w:type="spellStart"/>
      <w:r w:rsidRPr="00524435">
        <w:rPr>
          <w:rStyle w:val="None"/>
        </w:rPr>
        <w:t>Labrada</w:t>
      </w:r>
      <w:proofErr w:type="spellEnd"/>
      <w:r w:rsidRPr="00524435">
        <w:rPr>
          <w:rStyle w:val="None"/>
        </w:rPr>
        <w:t xml:space="preserve"> was serious and urgent, since his right to life and personal integrity were at risk of irreparable harm. It therefore requested Cuba to: a) adopt the measures necessary to protect the beneficiary’s right to life and personal integrity. To this end, the State should ensure that its agents respected the life and personal integrity of the beneficiary and protected his rights in connection with acts by third parties that put him at risk, in accordance with the standards established in international human rights law; b) adopt the measures necessary for the beneficiary to pursue his activities without being subjected to threats, intimidation, and acts of violence in the course of his work; c) reach an agreement with the beneficiary and his representatives on the measures to adopt; and d) report on the action taken to investigate the alleged events that had led to the granting of this precautionary measure and thus, avoid their repetition.</w:t>
      </w:r>
    </w:p>
    <w:p w14:paraId="4D1CF307" w14:textId="77777777" w:rsidR="00842401" w:rsidRPr="00E42B49" w:rsidRDefault="00842401" w:rsidP="00842401">
      <w:pPr>
        <w:pStyle w:val="Body"/>
        <w:rPr>
          <w:rStyle w:val="None"/>
          <w:rFonts w:ascii="Cambria" w:eastAsia="Cambria" w:hAnsi="Cambria" w:cs="Cambria"/>
          <w:b/>
          <w:bCs/>
          <w:sz w:val="20"/>
          <w:szCs w:val="20"/>
          <w:lang w:val="es-US"/>
        </w:rPr>
      </w:pPr>
      <w:proofErr w:type="spellStart"/>
      <w:r w:rsidRPr="00E42B49">
        <w:rPr>
          <w:rStyle w:val="None"/>
          <w:rFonts w:ascii="Cambria" w:hAnsi="Cambria"/>
          <w:b/>
          <w:bCs/>
          <w:sz w:val="20"/>
          <w:szCs w:val="20"/>
          <w:lang w:val="es-US"/>
        </w:rPr>
        <w:t>Resolution</w:t>
      </w:r>
      <w:proofErr w:type="spellEnd"/>
      <w:r w:rsidRPr="00E42B49">
        <w:rPr>
          <w:rStyle w:val="None"/>
          <w:rFonts w:ascii="Cambria" w:hAnsi="Cambria"/>
          <w:b/>
          <w:bCs/>
          <w:sz w:val="20"/>
          <w:szCs w:val="20"/>
          <w:lang w:val="es-US"/>
        </w:rPr>
        <w:t xml:space="preserve"> No. 78/21</w:t>
      </w:r>
      <w:r w:rsidRPr="00E42B49">
        <w:rPr>
          <w:rStyle w:val="None"/>
          <w:rFonts w:ascii="Cambria" w:hAnsi="Cambria"/>
          <w:b/>
          <w:bCs/>
          <w:sz w:val="20"/>
          <w:szCs w:val="20"/>
          <w:lang w:val="es-US"/>
        </w:rPr>
        <w:br/>
        <w:t>MC 515-21 - Manuel de Jesús Rodríguez García, Cuba</w:t>
      </w:r>
    </w:p>
    <w:p w14:paraId="6AA43998" w14:textId="77777777" w:rsidR="00842401" w:rsidRPr="00E42B49" w:rsidRDefault="00842401" w:rsidP="00842401">
      <w:pPr>
        <w:pStyle w:val="Body"/>
        <w:jc w:val="both"/>
        <w:rPr>
          <w:rStyle w:val="None"/>
          <w:rFonts w:ascii="Cambria" w:hAnsi="Cambria"/>
          <w:sz w:val="20"/>
          <w:szCs w:val="20"/>
          <w:lang w:val="es-US"/>
        </w:rPr>
      </w:pPr>
    </w:p>
    <w:p w14:paraId="39426532" w14:textId="77777777" w:rsidR="00842401" w:rsidRPr="00524435" w:rsidRDefault="00842401" w:rsidP="009242CD">
      <w:pPr>
        <w:pStyle w:val="ListParagraph"/>
        <w:rPr>
          <w:rStyle w:val="None"/>
          <w:rFonts w:eastAsia="Cambria" w:cs="Cambria"/>
        </w:rPr>
      </w:pPr>
      <w:r w:rsidRPr="00524435">
        <w:rPr>
          <w:rStyle w:val="None"/>
        </w:rPr>
        <w:t xml:space="preserve">On October 3, 2021, the IACHR decided to grant precautionary measures on behalf of Manuel de Jesús Rodríguez García. According to the request, the beneficiary was at risk while in custody </w:t>
      </w:r>
      <w:proofErr w:type="gramStart"/>
      <w:r w:rsidRPr="00524435">
        <w:rPr>
          <w:rStyle w:val="None"/>
        </w:rPr>
        <w:t>as a result of</w:t>
      </w:r>
      <w:proofErr w:type="gramEnd"/>
      <w:r w:rsidRPr="00524435">
        <w:rPr>
          <w:rStyle w:val="None"/>
        </w:rPr>
        <w:t xml:space="preserve"> beatings and threats received during his detention, as well as the conditions of detention and an alleged lack of medical care. After reviewing the allegations of fact and law submitted by the petitioner, the Commission found that the information provided showed prima facie that the situation of Manuel de Jesús Rodríguez García was serious and urgent, since his right to life, personal integrity, and health were at risk of irreparable harm. It therefore requested Cuba to: a) adopt the measures necessary to protect the right to life, personal integrity, and health of Manuel de Jesús Rodríguez García; b) ensure that Manuel de Jesús Rodríguez García’s conditions of detention were compatible with the applicable international standards; c) reach an agreement with the beneficiary and his representatives on the measures to adopt; and d) report on the action take to investigate the alleged events that had led to the granting of this precautionary measure and thus, avoid their repetition. </w:t>
      </w:r>
    </w:p>
    <w:p w14:paraId="4330F4FF" w14:textId="77777777" w:rsidR="00842401" w:rsidRPr="00524435" w:rsidRDefault="00842401" w:rsidP="009C314A">
      <w:pPr>
        <w:spacing w:after="240" w:line="240" w:lineRule="auto"/>
        <w:rPr>
          <w:rFonts w:ascii="Cambria" w:eastAsia="Cambria" w:hAnsi="Cambria" w:cs="Cambria"/>
          <w:b/>
          <w:bCs/>
          <w:color w:val="000000" w:themeColor="text1"/>
          <w:sz w:val="20"/>
          <w:szCs w:val="20"/>
        </w:rPr>
      </w:pPr>
      <w:r w:rsidRPr="00524435">
        <w:rPr>
          <w:rFonts w:ascii="Cambria" w:eastAsia="Cambria" w:hAnsi="Cambria" w:cs="Cambria"/>
          <w:b/>
          <w:bCs/>
          <w:color w:val="000000" w:themeColor="text1"/>
          <w:sz w:val="20"/>
          <w:szCs w:val="20"/>
        </w:rPr>
        <w:t>Resolution No. 100/21</w:t>
      </w:r>
      <w:r w:rsidRPr="00524435">
        <w:rPr>
          <w:rFonts w:ascii="Cambria" w:hAnsi="Cambria"/>
          <w:b/>
          <w:bCs/>
          <w:sz w:val="20"/>
          <w:szCs w:val="20"/>
        </w:rPr>
        <w:br/>
      </w:r>
      <w:r w:rsidRPr="00524435">
        <w:rPr>
          <w:rFonts w:ascii="Cambria" w:eastAsia="Cambria" w:hAnsi="Cambria" w:cs="Cambria"/>
          <w:b/>
          <w:bCs/>
          <w:color w:val="000000" w:themeColor="text1"/>
          <w:sz w:val="20"/>
          <w:szCs w:val="20"/>
        </w:rPr>
        <w:t xml:space="preserve">PM 705-21 and 992-21 - Héctor Luis Valdés </w:t>
      </w:r>
      <w:proofErr w:type="spellStart"/>
      <w:r w:rsidRPr="00524435">
        <w:rPr>
          <w:rFonts w:ascii="Cambria" w:eastAsia="Cambria" w:hAnsi="Cambria" w:cs="Cambria"/>
          <w:b/>
          <w:bCs/>
          <w:color w:val="000000" w:themeColor="text1"/>
          <w:sz w:val="20"/>
          <w:szCs w:val="20"/>
        </w:rPr>
        <w:t>Cocho</w:t>
      </w:r>
      <w:proofErr w:type="spellEnd"/>
      <w:r w:rsidRPr="00524435">
        <w:rPr>
          <w:rFonts w:ascii="Cambria" w:eastAsia="Cambria" w:hAnsi="Cambria" w:cs="Cambria"/>
          <w:b/>
          <w:bCs/>
          <w:color w:val="000000" w:themeColor="text1"/>
          <w:sz w:val="20"/>
          <w:szCs w:val="20"/>
        </w:rPr>
        <w:t xml:space="preserve"> and “X,” Cuba</w:t>
      </w:r>
    </w:p>
    <w:p w14:paraId="0448EADB" w14:textId="77777777" w:rsidR="00842401" w:rsidRPr="00524435" w:rsidRDefault="00842401" w:rsidP="009242CD">
      <w:pPr>
        <w:pStyle w:val="ListParagraph"/>
      </w:pPr>
      <w:r w:rsidRPr="00524435">
        <w:t xml:space="preserve">On December 1, 2021, the IACHR granted precautionary measures in favor of journalist Héctor Luis Valdés </w:t>
      </w:r>
      <w:proofErr w:type="spellStart"/>
      <w:r w:rsidRPr="00524435">
        <w:t>Cocho</w:t>
      </w:r>
      <w:proofErr w:type="spellEnd"/>
      <w:r w:rsidRPr="00524435">
        <w:t xml:space="preserve"> and his partner “X,” a human rights defender, upon considering that they are in a serious and urgent situation presenting a risk of irreparable harm to their rights in Cuba. Based on Article 25 of its Rules of Procedure, the Commission requested that the State of Cuba: a) adopt the necessary measures to protect the rights to life and personal integrity of the beneficiaries. For such purposes, the State must both ensure that state actors respect the life and personal integrity of the proposed beneficiaries, as well as that they are protected from acts that are attributable to third parties, in accordance with the standards established by international human rights law; b) adopt the necessary measures so that they can carry out their activities as a journalist and a human rights activist, as appropriate, without being subjected to acts of violence, intimidation, and harassment in the performance of their work. The above includes the adoption of measures so that they can exercise their right to freedom of expression; c) consult and agree upon the measures to be adopted with the </w:t>
      </w:r>
      <w:r w:rsidRPr="00524435">
        <w:lastRenderedPageBreak/>
        <w:t xml:space="preserve">beneficiaries and their representatives; and d) report on the actions taken to investigate the alleged events that led to the adoption of this precautionary measure, </w:t>
      </w:r>
      <w:proofErr w:type="gramStart"/>
      <w:r w:rsidRPr="00524435">
        <w:t>so as to</w:t>
      </w:r>
      <w:proofErr w:type="gramEnd"/>
      <w:r w:rsidRPr="00524435">
        <w:t xml:space="preserve"> prevent such events from reoccurring.</w:t>
      </w:r>
    </w:p>
    <w:p w14:paraId="7C668A7A" w14:textId="77777777" w:rsidR="00842401" w:rsidRPr="00E42B49" w:rsidRDefault="00842401" w:rsidP="00842401">
      <w:pPr>
        <w:pStyle w:val="Body"/>
        <w:jc w:val="both"/>
        <w:rPr>
          <w:rStyle w:val="None"/>
          <w:rFonts w:ascii="Cambria" w:eastAsia="Cambria" w:hAnsi="Cambria" w:cs="Cambria"/>
          <w:b/>
          <w:sz w:val="20"/>
          <w:szCs w:val="20"/>
          <w:lang w:val="es-US"/>
        </w:rPr>
      </w:pPr>
      <w:r w:rsidRPr="00E42B49">
        <w:rPr>
          <w:rStyle w:val="None"/>
          <w:rFonts w:ascii="Cambria" w:hAnsi="Cambria"/>
          <w:b/>
          <w:sz w:val="20"/>
          <w:szCs w:val="20"/>
          <w:lang w:val="es-US"/>
        </w:rPr>
        <w:t>ECUADOR</w:t>
      </w:r>
    </w:p>
    <w:p w14:paraId="04DB6FFF" w14:textId="77777777" w:rsidR="00842401" w:rsidRPr="00E42B49" w:rsidRDefault="00842401" w:rsidP="00842401">
      <w:pPr>
        <w:pStyle w:val="Body"/>
        <w:jc w:val="both"/>
        <w:rPr>
          <w:rStyle w:val="None"/>
          <w:rFonts w:ascii="Cambria" w:eastAsia="Cambria" w:hAnsi="Cambria" w:cs="Cambria"/>
          <w:b/>
          <w:sz w:val="20"/>
          <w:szCs w:val="20"/>
          <w:lang w:val="es-US"/>
        </w:rPr>
      </w:pPr>
    </w:p>
    <w:p w14:paraId="71643EE8" w14:textId="77777777" w:rsidR="00842401" w:rsidRPr="00E42B49" w:rsidRDefault="00842401" w:rsidP="00842401">
      <w:pPr>
        <w:pStyle w:val="Body"/>
        <w:rPr>
          <w:rStyle w:val="None"/>
          <w:rFonts w:ascii="Cambria" w:eastAsia="Cambria" w:hAnsi="Cambria" w:cs="Cambria"/>
          <w:b/>
          <w:sz w:val="20"/>
          <w:szCs w:val="20"/>
          <w:lang w:val="es-US"/>
        </w:rPr>
      </w:pPr>
      <w:proofErr w:type="spellStart"/>
      <w:r w:rsidRPr="00E42B49">
        <w:rPr>
          <w:rStyle w:val="None"/>
          <w:rFonts w:ascii="Cambria" w:hAnsi="Cambria"/>
          <w:b/>
          <w:sz w:val="20"/>
          <w:szCs w:val="20"/>
          <w:lang w:val="es-US"/>
        </w:rPr>
        <w:t>Resolution</w:t>
      </w:r>
      <w:proofErr w:type="spellEnd"/>
      <w:r w:rsidRPr="00E42B49">
        <w:rPr>
          <w:rStyle w:val="None"/>
          <w:rFonts w:ascii="Cambria" w:hAnsi="Cambria"/>
          <w:b/>
          <w:sz w:val="20"/>
          <w:szCs w:val="20"/>
          <w:lang w:val="es-US"/>
        </w:rPr>
        <w:t xml:space="preserve"> No. 2/21(</w:t>
      </w:r>
      <w:proofErr w:type="gramStart"/>
      <w:r w:rsidRPr="00E42B49">
        <w:rPr>
          <w:rStyle w:val="None"/>
          <w:rFonts w:ascii="Cambria" w:hAnsi="Cambria"/>
          <w:b/>
          <w:sz w:val="20"/>
          <w:szCs w:val="20"/>
          <w:lang w:val="es-US"/>
        </w:rPr>
        <w:t>LIFTING</w:t>
      </w:r>
      <w:proofErr w:type="gramEnd"/>
      <w:r w:rsidRPr="00E42B49">
        <w:rPr>
          <w:rStyle w:val="None"/>
          <w:rFonts w:ascii="Cambria" w:hAnsi="Cambria"/>
          <w:b/>
          <w:sz w:val="20"/>
          <w:szCs w:val="20"/>
          <w:lang w:val="es-US"/>
        </w:rPr>
        <w:t>)</w:t>
      </w:r>
      <w:r w:rsidRPr="00E42B49">
        <w:rPr>
          <w:rStyle w:val="None"/>
          <w:rFonts w:ascii="Cambria" w:hAnsi="Cambria"/>
          <w:b/>
          <w:sz w:val="20"/>
          <w:szCs w:val="20"/>
          <w:lang w:val="es-US"/>
        </w:rPr>
        <w:br/>
        <w:t>MC 1002-04 - Luis Alberto Sabando Veliz, Ecuador</w:t>
      </w:r>
    </w:p>
    <w:p w14:paraId="2DCE501B" w14:textId="77777777" w:rsidR="00842401" w:rsidRPr="00E42B49" w:rsidRDefault="00842401" w:rsidP="00842401">
      <w:pPr>
        <w:pStyle w:val="Body"/>
        <w:jc w:val="both"/>
        <w:rPr>
          <w:rStyle w:val="None"/>
          <w:rFonts w:ascii="Cambria" w:hAnsi="Cambria"/>
          <w:sz w:val="20"/>
          <w:szCs w:val="20"/>
          <w:lang w:val="es-US"/>
        </w:rPr>
      </w:pPr>
    </w:p>
    <w:p w14:paraId="5EE3DF2B" w14:textId="77777777" w:rsidR="00842401" w:rsidRPr="00524435" w:rsidRDefault="00842401" w:rsidP="009242CD">
      <w:pPr>
        <w:pStyle w:val="ListParagraph"/>
        <w:rPr>
          <w:rStyle w:val="None"/>
          <w:rFonts w:eastAsia="Cambria" w:cs="Cambria"/>
        </w:rPr>
      </w:pPr>
      <w:r w:rsidRPr="00524435">
        <w:rPr>
          <w:rStyle w:val="None"/>
        </w:rPr>
        <w:t xml:space="preserve">On January 4, 2021, the IACHR decided to lift the precautionary measures granted on behalf of Luis Alberto </w:t>
      </w:r>
      <w:proofErr w:type="spellStart"/>
      <w:r w:rsidRPr="00524435">
        <w:rPr>
          <w:rStyle w:val="None"/>
        </w:rPr>
        <w:t>Sabando</w:t>
      </w:r>
      <w:proofErr w:type="spellEnd"/>
      <w:r w:rsidRPr="00524435">
        <w:rPr>
          <w:rStyle w:val="None"/>
        </w:rPr>
        <w:t xml:space="preserve"> </w:t>
      </w:r>
      <w:proofErr w:type="spellStart"/>
      <w:r w:rsidRPr="00524435">
        <w:rPr>
          <w:rStyle w:val="None"/>
        </w:rPr>
        <w:t>Veliz</w:t>
      </w:r>
      <w:proofErr w:type="spellEnd"/>
      <w:r w:rsidRPr="00524435">
        <w:rPr>
          <w:rStyle w:val="None"/>
        </w:rPr>
        <w:t xml:space="preserve">, in Ecuador. It was reported that the disappearance of Mr. </w:t>
      </w:r>
      <w:proofErr w:type="spellStart"/>
      <w:r w:rsidRPr="00524435">
        <w:rPr>
          <w:rStyle w:val="None"/>
        </w:rPr>
        <w:t>Sabando</w:t>
      </w:r>
      <w:proofErr w:type="spellEnd"/>
      <w:r w:rsidRPr="00524435">
        <w:rPr>
          <w:rStyle w:val="None"/>
        </w:rPr>
        <w:t xml:space="preserve"> remained under investigation. The IACHR reminded the parties that the precautionary measures sought to ensure that the competent authorities would take expeditious action to discover his whereabouts and prevent irreparable harm. It therefore deemed it appropriate to examine the merits in the framework of a petition rather than the precautionary measures mechanism. Furthermore, under Article 25, Section 11, the IACHR found that the representative had not responded in approximately 16 years.</w:t>
      </w:r>
    </w:p>
    <w:p w14:paraId="66F559C6" w14:textId="77777777" w:rsidR="00842401" w:rsidRPr="00524435" w:rsidRDefault="00842401" w:rsidP="00842401">
      <w:pPr>
        <w:pStyle w:val="Body"/>
        <w:rPr>
          <w:rStyle w:val="None"/>
          <w:rFonts w:ascii="Cambria" w:eastAsia="Cambria" w:hAnsi="Cambria" w:cs="Cambria"/>
          <w:b/>
          <w:bCs/>
          <w:sz w:val="20"/>
          <w:szCs w:val="20"/>
        </w:rPr>
      </w:pPr>
      <w:r w:rsidRPr="00524435">
        <w:rPr>
          <w:rStyle w:val="None"/>
          <w:rFonts w:ascii="Cambria" w:hAnsi="Cambria"/>
          <w:b/>
          <w:bCs/>
          <w:sz w:val="20"/>
          <w:szCs w:val="20"/>
        </w:rPr>
        <w:t>Resolution No. 18/21(LIFTING)</w:t>
      </w:r>
      <w:r w:rsidRPr="00524435">
        <w:rPr>
          <w:rStyle w:val="None"/>
          <w:rFonts w:ascii="Cambria" w:hAnsi="Cambria"/>
          <w:b/>
          <w:bCs/>
          <w:sz w:val="20"/>
          <w:szCs w:val="20"/>
        </w:rPr>
        <w:br/>
        <w:t>MC 185-10 - M.S.T. and immediate family, Ecuador</w:t>
      </w:r>
    </w:p>
    <w:p w14:paraId="6D81E302" w14:textId="77777777" w:rsidR="00842401" w:rsidRPr="00524435" w:rsidRDefault="00842401" w:rsidP="00842401">
      <w:pPr>
        <w:pStyle w:val="Body"/>
        <w:jc w:val="both"/>
        <w:rPr>
          <w:rStyle w:val="None"/>
          <w:rFonts w:ascii="Cambria" w:hAnsi="Cambria"/>
          <w:sz w:val="20"/>
          <w:szCs w:val="20"/>
        </w:rPr>
      </w:pPr>
    </w:p>
    <w:p w14:paraId="2AEEBB04" w14:textId="77777777" w:rsidR="00842401" w:rsidRPr="00524435" w:rsidRDefault="00842401" w:rsidP="009242CD">
      <w:pPr>
        <w:pStyle w:val="ListParagraph"/>
        <w:rPr>
          <w:rStyle w:val="None"/>
          <w:rFonts w:eastAsia="Cambria" w:cs="Cambria"/>
        </w:rPr>
      </w:pPr>
      <w:r w:rsidRPr="00524435">
        <w:rPr>
          <w:rStyle w:val="None"/>
        </w:rPr>
        <w:t>The Inter-American Commission on Human Rights (IACHR) decided to lift the current precautionary measures granted on behalf of M.S.T. and immediate family in Ecuador. When rendering its decision, the Commission considered the request for lifting submitted and reiterated by the State. It reviewed the protective measures adopted by the State over time and found that approximately nine years had gone by without any events that posed a risk.</w:t>
      </w:r>
    </w:p>
    <w:p w14:paraId="23894286" w14:textId="77777777" w:rsidR="00842401" w:rsidRPr="00E42B49" w:rsidRDefault="00842401" w:rsidP="00842401">
      <w:pPr>
        <w:pStyle w:val="Body"/>
        <w:jc w:val="both"/>
        <w:rPr>
          <w:rStyle w:val="None"/>
          <w:rFonts w:ascii="Cambria" w:eastAsia="Cambria" w:hAnsi="Cambria" w:cs="Cambria"/>
          <w:b/>
          <w:sz w:val="20"/>
          <w:szCs w:val="20"/>
          <w:lang w:val="es-US"/>
        </w:rPr>
      </w:pPr>
      <w:r w:rsidRPr="00E42B49">
        <w:rPr>
          <w:rStyle w:val="None"/>
          <w:rFonts w:ascii="Cambria" w:hAnsi="Cambria"/>
          <w:b/>
          <w:sz w:val="20"/>
          <w:szCs w:val="20"/>
          <w:lang w:val="es-US"/>
        </w:rPr>
        <w:t>EL SALVADOR</w:t>
      </w:r>
    </w:p>
    <w:p w14:paraId="63C9DFC0" w14:textId="77777777" w:rsidR="00842401" w:rsidRPr="00E42B49" w:rsidRDefault="00842401" w:rsidP="00842401">
      <w:pPr>
        <w:pStyle w:val="Body"/>
        <w:jc w:val="both"/>
        <w:rPr>
          <w:rStyle w:val="None"/>
          <w:rFonts w:ascii="Cambria" w:eastAsia="Cambria" w:hAnsi="Cambria" w:cs="Cambria"/>
          <w:b/>
          <w:sz w:val="20"/>
          <w:szCs w:val="20"/>
          <w:lang w:val="es-US"/>
        </w:rPr>
      </w:pPr>
    </w:p>
    <w:p w14:paraId="5299B71E" w14:textId="77777777" w:rsidR="00842401" w:rsidRPr="00E42B49" w:rsidRDefault="00842401" w:rsidP="00842401">
      <w:pPr>
        <w:pStyle w:val="Body"/>
        <w:rPr>
          <w:rStyle w:val="None"/>
          <w:rFonts w:ascii="Cambria" w:eastAsia="Cambria" w:hAnsi="Cambria" w:cs="Cambria"/>
          <w:b/>
          <w:sz w:val="20"/>
          <w:szCs w:val="20"/>
          <w:lang w:val="es-US"/>
        </w:rPr>
      </w:pPr>
      <w:proofErr w:type="spellStart"/>
      <w:r w:rsidRPr="00E42B49">
        <w:rPr>
          <w:rStyle w:val="None"/>
          <w:rFonts w:ascii="Cambria" w:hAnsi="Cambria"/>
          <w:b/>
          <w:sz w:val="20"/>
          <w:szCs w:val="20"/>
          <w:lang w:val="es-US"/>
        </w:rPr>
        <w:t>Resolution</w:t>
      </w:r>
      <w:proofErr w:type="spellEnd"/>
      <w:r w:rsidRPr="00E42B49">
        <w:rPr>
          <w:rStyle w:val="None"/>
          <w:rFonts w:ascii="Cambria" w:hAnsi="Cambria"/>
          <w:b/>
          <w:sz w:val="20"/>
          <w:szCs w:val="20"/>
          <w:lang w:val="es-US"/>
        </w:rPr>
        <w:t xml:space="preserve"> No. 12/21</w:t>
      </w:r>
      <w:r w:rsidRPr="00E42B49">
        <w:rPr>
          <w:rStyle w:val="None"/>
          <w:rFonts w:ascii="Cambria" w:hAnsi="Cambria"/>
          <w:b/>
          <w:sz w:val="20"/>
          <w:szCs w:val="20"/>
          <w:lang w:val="es-US"/>
        </w:rPr>
        <w:br/>
        <w:t xml:space="preserve">MC 1051-20 - 34 </w:t>
      </w:r>
      <w:proofErr w:type="spellStart"/>
      <w:r w:rsidRPr="00E42B49">
        <w:rPr>
          <w:rStyle w:val="None"/>
          <w:rFonts w:ascii="Cambria" w:hAnsi="Cambria"/>
          <w:b/>
          <w:sz w:val="20"/>
          <w:szCs w:val="20"/>
          <w:lang w:val="es-US"/>
        </w:rPr>
        <w:t>identified</w:t>
      </w:r>
      <w:proofErr w:type="spellEnd"/>
      <w:r w:rsidRPr="00E42B49">
        <w:rPr>
          <w:rStyle w:val="None"/>
          <w:rFonts w:ascii="Cambria" w:hAnsi="Cambria"/>
          <w:b/>
          <w:sz w:val="20"/>
          <w:szCs w:val="20"/>
          <w:lang w:val="es-US"/>
        </w:rPr>
        <w:t xml:space="preserve"> staff of </w:t>
      </w:r>
      <w:proofErr w:type="spellStart"/>
      <w:r w:rsidRPr="00E42B49">
        <w:rPr>
          <w:rStyle w:val="None"/>
          <w:rFonts w:ascii="Cambria" w:hAnsi="Cambria"/>
          <w:b/>
          <w:sz w:val="20"/>
          <w:szCs w:val="20"/>
          <w:lang w:val="es-US"/>
        </w:rPr>
        <w:t>the</w:t>
      </w:r>
      <w:proofErr w:type="spellEnd"/>
      <w:r w:rsidRPr="00E42B49">
        <w:rPr>
          <w:rStyle w:val="None"/>
          <w:rFonts w:ascii="Cambria" w:hAnsi="Cambria"/>
          <w:b/>
          <w:sz w:val="20"/>
          <w:szCs w:val="20"/>
          <w:lang w:val="es-US"/>
        </w:rPr>
        <w:t xml:space="preserve"> El Faro digital </w:t>
      </w:r>
      <w:proofErr w:type="spellStart"/>
      <w:r w:rsidRPr="00E42B49">
        <w:rPr>
          <w:rStyle w:val="None"/>
          <w:rFonts w:ascii="Cambria" w:hAnsi="Cambria"/>
          <w:b/>
          <w:sz w:val="20"/>
          <w:szCs w:val="20"/>
          <w:lang w:val="es-US"/>
        </w:rPr>
        <w:t>newspaper</w:t>
      </w:r>
      <w:proofErr w:type="spellEnd"/>
      <w:r w:rsidRPr="00E42B49">
        <w:rPr>
          <w:rStyle w:val="None"/>
          <w:rFonts w:ascii="Cambria" w:hAnsi="Cambria"/>
          <w:b/>
          <w:sz w:val="20"/>
          <w:szCs w:val="20"/>
          <w:lang w:val="es-US"/>
        </w:rPr>
        <w:t>, El Salvador</w:t>
      </w:r>
    </w:p>
    <w:p w14:paraId="6E12E917" w14:textId="77777777" w:rsidR="00842401" w:rsidRPr="00E42B49" w:rsidRDefault="00842401" w:rsidP="00842401">
      <w:pPr>
        <w:pStyle w:val="Body"/>
        <w:jc w:val="both"/>
        <w:rPr>
          <w:rStyle w:val="None"/>
          <w:rFonts w:ascii="Cambria" w:hAnsi="Cambria"/>
          <w:sz w:val="20"/>
          <w:szCs w:val="20"/>
          <w:lang w:val="es-US"/>
        </w:rPr>
      </w:pPr>
    </w:p>
    <w:p w14:paraId="66850679" w14:textId="77777777" w:rsidR="00842401" w:rsidRPr="00524435" w:rsidRDefault="00842401" w:rsidP="009242CD">
      <w:pPr>
        <w:pStyle w:val="ListParagraph"/>
        <w:rPr>
          <w:rStyle w:val="None"/>
        </w:rPr>
      </w:pPr>
      <w:r w:rsidRPr="00524435">
        <w:rPr>
          <w:rStyle w:val="None"/>
        </w:rPr>
        <w:t xml:space="preserve">On January 4, 2021, the IACHR granted precautionary measures on behalf of 34 identified staff of the El Faro digital newspaper in El Salvador. When rendering its decision, the Commission found that the beneficiaries worked for the El Faro digital newspaper, an independent news outlet, and were the object of harassment, threats, intimidation, and stigma – chiefly through social networks – due to their journalistic activities. The beneficiaries therefore had a high degree of visibility and exposure, thus heightening their risk. The IACHR therefore requested El Salvador to: a) adopt the measures necessary to preserve the lives and personal integrity of the beneficiaries identified; b) adopt the measures necessary for the beneficiaries to pursue their journalistic activities in the exercise of their right to freedom of expression, without being subjected to intimidation, threats, and harassment; c) reach an agreement with the beneficiaries and their representatives on the measures to adopt; and d) report on the action taken to investigate the alleged events that had led to the granting of this precautionary measure and thus, avoid their repetition. </w:t>
      </w:r>
    </w:p>
    <w:p w14:paraId="1856382F" w14:textId="77777777" w:rsidR="00842401" w:rsidRPr="00E42B49" w:rsidRDefault="00842401" w:rsidP="00842401">
      <w:pPr>
        <w:pStyle w:val="Body"/>
        <w:rPr>
          <w:rStyle w:val="None"/>
          <w:rFonts w:ascii="Cambria" w:eastAsia="Cambria" w:hAnsi="Cambria" w:cs="Cambria"/>
          <w:b/>
          <w:bCs/>
          <w:sz w:val="20"/>
          <w:szCs w:val="20"/>
          <w:lang w:val="es-US"/>
        </w:rPr>
      </w:pPr>
      <w:proofErr w:type="spellStart"/>
      <w:r w:rsidRPr="00E42B49">
        <w:rPr>
          <w:rStyle w:val="None"/>
          <w:rFonts w:ascii="Cambria" w:hAnsi="Cambria"/>
          <w:b/>
          <w:bCs/>
          <w:sz w:val="20"/>
          <w:szCs w:val="20"/>
          <w:lang w:val="es-US"/>
        </w:rPr>
        <w:t>Resolution</w:t>
      </w:r>
      <w:proofErr w:type="spellEnd"/>
      <w:r w:rsidRPr="00E42B49">
        <w:rPr>
          <w:rStyle w:val="None"/>
          <w:rFonts w:ascii="Cambria" w:hAnsi="Cambria"/>
          <w:b/>
          <w:bCs/>
          <w:sz w:val="20"/>
          <w:szCs w:val="20"/>
          <w:lang w:val="es-US"/>
        </w:rPr>
        <w:t xml:space="preserve"> No. 13/21(</w:t>
      </w:r>
      <w:proofErr w:type="gramStart"/>
      <w:r w:rsidRPr="00E42B49">
        <w:rPr>
          <w:rStyle w:val="None"/>
          <w:rFonts w:ascii="Cambria" w:hAnsi="Cambria"/>
          <w:b/>
          <w:bCs/>
          <w:sz w:val="20"/>
          <w:szCs w:val="20"/>
          <w:lang w:val="es-US"/>
        </w:rPr>
        <w:t>LIFTING</w:t>
      </w:r>
      <w:proofErr w:type="gramEnd"/>
      <w:r w:rsidRPr="00E42B49">
        <w:rPr>
          <w:rStyle w:val="None"/>
          <w:rFonts w:ascii="Cambria" w:hAnsi="Cambria"/>
          <w:b/>
          <w:bCs/>
          <w:sz w:val="20"/>
          <w:szCs w:val="20"/>
          <w:lang w:val="es-US"/>
        </w:rPr>
        <w:t>)</w:t>
      </w:r>
      <w:r w:rsidRPr="00E42B49">
        <w:rPr>
          <w:rStyle w:val="None"/>
          <w:rFonts w:ascii="Cambria" w:hAnsi="Cambria"/>
          <w:b/>
          <w:bCs/>
          <w:sz w:val="20"/>
          <w:szCs w:val="20"/>
          <w:lang w:val="es-US"/>
        </w:rPr>
        <w:br/>
        <w:t xml:space="preserve">MC 240-15 - José Fernando Choto </w:t>
      </w:r>
      <w:proofErr w:type="spellStart"/>
      <w:r w:rsidRPr="00E42B49">
        <w:rPr>
          <w:rStyle w:val="None"/>
          <w:rFonts w:ascii="Cambria" w:hAnsi="Cambria"/>
          <w:b/>
          <w:bCs/>
          <w:sz w:val="20"/>
          <w:szCs w:val="20"/>
          <w:lang w:val="es-US"/>
        </w:rPr>
        <w:t>Choto</w:t>
      </w:r>
      <w:proofErr w:type="spellEnd"/>
      <w:r w:rsidRPr="00E42B49">
        <w:rPr>
          <w:rStyle w:val="None"/>
          <w:rFonts w:ascii="Cambria" w:hAnsi="Cambria"/>
          <w:b/>
          <w:bCs/>
          <w:sz w:val="20"/>
          <w:szCs w:val="20"/>
          <w:lang w:val="es-US"/>
        </w:rPr>
        <w:t xml:space="preserve"> et al., El Salvador</w:t>
      </w:r>
    </w:p>
    <w:p w14:paraId="3EB62FF3" w14:textId="77777777" w:rsidR="00842401" w:rsidRPr="00E42B49" w:rsidRDefault="00842401" w:rsidP="00842401">
      <w:pPr>
        <w:pStyle w:val="Body"/>
        <w:jc w:val="both"/>
        <w:rPr>
          <w:rStyle w:val="None"/>
          <w:rFonts w:ascii="Cambria" w:hAnsi="Cambria"/>
          <w:sz w:val="20"/>
          <w:szCs w:val="20"/>
          <w:lang w:val="es-US"/>
        </w:rPr>
      </w:pPr>
    </w:p>
    <w:p w14:paraId="6E5A650D" w14:textId="77777777" w:rsidR="00842401" w:rsidRPr="00524435" w:rsidRDefault="00842401" w:rsidP="009242CD">
      <w:pPr>
        <w:pStyle w:val="ListParagraph"/>
        <w:rPr>
          <w:rStyle w:val="None"/>
        </w:rPr>
      </w:pPr>
      <w:r w:rsidRPr="00524435">
        <w:rPr>
          <w:rStyle w:val="None"/>
        </w:rPr>
        <w:t>The Inter-American Commission on Human Rights (IACHR) decided to lift the current precautionary measures, since progress had been reported in the investigations to shed light on the events that had led to the disappearance of three beneficiaries, and a special internal commission, whose activities are monitored by the Constitutional Chamber of El Salvador’s Supreme Court, had been created exclusively for the purpose of discovering their whereabouts. Therefore, following the Inter-American Court, the IACHR understood that it was appropriate at this time to review the allegations of violations of the American Convention, as well as the applicable instruments, within the framework of P-1206-17, should the legal grounds for doing so exist. By the same token, with respect to the relatives of the identified beneficiaries, the IACHR was informed that they had left the country and were in the United States seeking asylum.</w:t>
      </w:r>
    </w:p>
    <w:p w14:paraId="1CE39385" w14:textId="77777777" w:rsidR="00842401" w:rsidRPr="00E42B49" w:rsidRDefault="00842401" w:rsidP="00842401">
      <w:pPr>
        <w:pStyle w:val="Body"/>
        <w:rPr>
          <w:rStyle w:val="None"/>
          <w:rFonts w:ascii="Cambria" w:eastAsia="Cambria" w:hAnsi="Cambria" w:cs="Cambria"/>
          <w:b/>
          <w:bCs/>
          <w:sz w:val="20"/>
          <w:szCs w:val="20"/>
          <w:lang w:val="es-US"/>
        </w:rPr>
      </w:pPr>
      <w:proofErr w:type="spellStart"/>
      <w:r w:rsidRPr="00E42B49">
        <w:rPr>
          <w:rStyle w:val="None"/>
          <w:rFonts w:ascii="Cambria" w:hAnsi="Cambria"/>
          <w:b/>
          <w:bCs/>
          <w:sz w:val="20"/>
          <w:szCs w:val="20"/>
          <w:lang w:val="es-US"/>
        </w:rPr>
        <w:lastRenderedPageBreak/>
        <w:t>Resolution</w:t>
      </w:r>
      <w:proofErr w:type="spellEnd"/>
      <w:r w:rsidRPr="00E42B49">
        <w:rPr>
          <w:rStyle w:val="None"/>
          <w:rFonts w:ascii="Cambria" w:hAnsi="Cambria"/>
          <w:b/>
          <w:bCs/>
          <w:sz w:val="20"/>
          <w:szCs w:val="20"/>
          <w:lang w:val="es-US"/>
        </w:rPr>
        <w:t xml:space="preserve"> No. 76/21</w:t>
      </w:r>
      <w:r w:rsidRPr="00E42B49">
        <w:rPr>
          <w:rStyle w:val="None"/>
          <w:rFonts w:ascii="Cambria" w:hAnsi="Cambria"/>
          <w:b/>
          <w:bCs/>
          <w:sz w:val="20"/>
          <w:szCs w:val="20"/>
          <w:lang w:val="es-US"/>
        </w:rPr>
        <w:br/>
        <w:t xml:space="preserve">MC 475-21 - Bertha María </w:t>
      </w:r>
      <w:proofErr w:type="spellStart"/>
      <w:r w:rsidRPr="00E42B49">
        <w:rPr>
          <w:rStyle w:val="None"/>
          <w:rFonts w:ascii="Cambria" w:hAnsi="Cambria"/>
          <w:b/>
          <w:bCs/>
          <w:sz w:val="20"/>
          <w:szCs w:val="20"/>
          <w:lang w:val="es-US"/>
        </w:rPr>
        <w:t>Deleón</w:t>
      </w:r>
      <w:proofErr w:type="spellEnd"/>
      <w:r w:rsidRPr="00E42B49">
        <w:rPr>
          <w:rStyle w:val="None"/>
          <w:rFonts w:ascii="Cambria" w:hAnsi="Cambria"/>
          <w:b/>
          <w:bCs/>
          <w:sz w:val="20"/>
          <w:szCs w:val="20"/>
          <w:lang w:val="es-US"/>
        </w:rPr>
        <w:t xml:space="preserve"> Gutiérrez, El Salvador</w:t>
      </w:r>
    </w:p>
    <w:p w14:paraId="619F0917" w14:textId="77777777" w:rsidR="00842401" w:rsidRPr="00E42B49" w:rsidRDefault="00842401" w:rsidP="00842401">
      <w:pPr>
        <w:pStyle w:val="Body"/>
        <w:jc w:val="both"/>
        <w:rPr>
          <w:rStyle w:val="None"/>
          <w:rFonts w:ascii="Cambria" w:hAnsi="Cambria"/>
          <w:sz w:val="20"/>
          <w:szCs w:val="20"/>
          <w:lang w:val="es-US"/>
        </w:rPr>
      </w:pPr>
    </w:p>
    <w:p w14:paraId="2D2CA4E7" w14:textId="77777777" w:rsidR="00842401" w:rsidRPr="00524435" w:rsidRDefault="00842401" w:rsidP="009242CD">
      <w:pPr>
        <w:pStyle w:val="ListParagraph"/>
        <w:rPr>
          <w:rStyle w:val="None"/>
          <w:rFonts w:eastAsia="Cambria" w:cs="Cambria"/>
        </w:rPr>
      </w:pPr>
      <w:r w:rsidRPr="00524435">
        <w:rPr>
          <w:rStyle w:val="None"/>
        </w:rPr>
        <w:t xml:space="preserve">On September 19, 2021, the IACHR decided to grant precautionary measures on behalf of Bertha María </w:t>
      </w:r>
      <w:proofErr w:type="spellStart"/>
      <w:r w:rsidRPr="00524435">
        <w:rPr>
          <w:rStyle w:val="None"/>
        </w:rPr>
        <w:t>Deleón</w:t>
      </w:r>
      <w:proofErr w:type="spellEnd"/>
      <w:r w:rsidRPr="00524435">
        <w:rPr>
          <w:rStyle w:val="None"/>
        </w:rPr>
        <w:t xml:space="preserve"> Gutiérrez. According to the request, the proposed beneficiary, a human rights defender, was in a serious and urgent situation that posed the risk of irreparable harm to her rights after receiving threats and being subjected to harassment, especially on social networks, because of her work. Therefore, pursuant to Article 25 of the Rules of Procedure, the Commission requested El Salvador to: a) adopt the measures necessary to protect the right to life and personal integrity of Bertha María </w:t>
      </w:r>
      <w:proofErr w:type="spellStart"/>
      <w:r w:rsidRPr="00524435">
        <w:rPr>
          <w:rStyle w:val="None"/>
        </w:rPr>
        <w:t>Deleón</w:t>
      </w:r>
      <w:proofErr w:type="spellEnd"/>
      <w:r w:rsidRPr="00524435">
        <w:rPr>
          <w:rStyle w:val="None"/>
        </w:rPr>
        <w:t xml:space="preserve"> Gutiérrez through the lens of a gender perspective, so that she could continue her work as a human rights defender without being subjected to threats, intimidation, harassment, or acts of violence in the course of her work; b) reach an agreement with the beneficiary and her representatives on the measures to adopt; and c) report on the action taken to investigate the alleged events that had led to the granting of this precautionary measure and thus, avoid their repetition.</w:t>
      </w:r>
    </w:p>
    <w:p w14:paraId="24BEFAD3" w14:textId="77777777" w:rsidR="00842401" w:rsidRPr="00524435" w:rsidRDefault="00842401" w:rsidP="00842401">
      <w:pPr>
        <w:rPr>
          <w:rFonts w:ascii="Cambria" w:eastAsia="Cambria" w:hAnsi="Cambria" w:cs="Cambria"/>
          <w:b/>
          <w:bCs/>
          <w:color w:val="000000" w:themeColor="text1"/>
          <w:sz w:val="20"/>
          <w:szCs w:val="20"/>
        </w:rPr>
      </w:pPr>
      <w:r w:rsidRPr="00524435">
        <w:rPr>
          <w:rFonts w:ascii="Cambria" w:eastAsia="Cambria" w:hAnsi="Cambria" w:cs="Cambria"/>
          <w:b/>
          <w:bCs/>
          <w:color w:val="000000" w:themeColor="text1"/>
          <w:sz w:val="20"/>
          <w:szCs w:val="20"/>
        </w:rPr>
        <w:t>Resolution No. 109/21(LIFT)</w:t>
      </w:r>
      <w:r w:rsidRPr="00524435">
        <w:rPr>
          <w:rFonts w:ascii="Cambria" w:hAnsi="Cambria"/>
          <w:b/>
          <w:bCs/>
          <w:sz w:val="20"/>
          <w:szCs w:val="20"/>
        </w:rPr>
        <w:br/>
      </w:r>
      <w:r w:rsidRPr="00524435">
        <w:rPr>
          <w:rFonts w:ascii="Cambria" w:eastAsia="Cambria" w:hAnsi="Cambria" w:cs="Cambria"/>
          <w:b/>
          <w:bCs/>
          <w:color w:val="000000" w:themeColor="text1"/>
          <w:sz w:val="20"/>
          <w:szCs w:val="20"/>
        </w:rPr>
        <w:t>PM 731-17 - R.A.G.P. and her relatives, El Salvador</w:t>
      </w:r>
    </w:p>
    <w:p w14:paraId="711786E7" w14:textId="77777777" w:rsidR="00842401" w:rsidRPr="00524435" w:rsidRDefault="00842401" w:rsidP="009242CD">
      <w:pPr>
        <w:pStyle w:val="ListParagraph"/>
      </w:pPr>
      <w:r w:rsidRPr="00524435">
        <w:t>The Inter-American Commission on Human Rights (IACHR) decides to lift these precautionary measures in favor of R.A.G.P. and her relatives in El Salvador. At the time of making the decision, the Commission assessed the actions taken by the State during implementation as well as the observations of the beneficiaries’ representation. After the State requested the lifting of the measures on December 26, 2017, the IACHR repeatedly requested observations from the representation, who responded for the last time in 2019. Upon not identifying compliance with the procedural requirements, the IACHR decided to lift these measures.</w:t>
      </w:r>
    </w:p>
    <w:p w14:paraId="2E9F3891" w14:textId="77777777" w:rsidR="00842401" w:rsidRPr="00524435" w:rsidRDefault="00842401" w:rsidP="00842401">
      <w:pPr>
        <w:pStyle w:val="Body"/>
        <w:jc w:val="both"/>
        <w:rPr>
          <w:rStyle w:val="None"/>
          <w:rFonts w:ascii="Cambria" w:eastAsia="Cambria" w:hAnsi="Cambria" w:cs="Cambria"/>
          <w:b/>
          <w:sz w:val="20"/>
          <w:szCs w:val="20"/>
        </w:rPr>
      </w:pPr>
      <w:r w:rsidRPr="00524435">
        <w:rPr>
          <w:rStyle w:val="None"/>
          <w:rFonts w:ascii="Cambria" w:hAnsi="Cambria"/>
          <w:b/>
          <w:sz w:val="20"/>
          <w:szCs w:val="20"/>
        </w:rPr>
        <w:t>GUATEMALA</w:t>
      </w:r>
    </w:p>
    <w:p w14:paraId="2D49D4D7" w14:textId="77777777" w:rsidR="00842401" w:rsidRPr="00524435" w:rsidRDefault="00842401" w:rsidP="00842401">
      <w:pPr>
        <w:pStyle w:val="Body"/>
        <w:jc w:val="both"/>
        <w:rPr>
          <w:rStyle w:val="None"/>
          <w:rFonts w:ascii="Cambria" w:eastAsia="Cambria" w:hAnsi="Cambria" w:cs="Cambria"/>
          <w:b/>
          <w:sz w:val="20"/>
          <w:szCs w:val="20"/>
        </w:rPr>
      </w:pPr>
    </w:p>
    <w:p w14:paraId="0476FE7F" w14:textId="77777777" w:rsidR="00842401" w:rsidRPr="00524435" w:rsidRDefault="00842401" w:rsidP="00842401">
      <w:pPr>
        <w:pStyle w:val="Body"/>
        <w:rPr>
          <w:rStyle w:val="None"/>
          <w:rFonts w:ascii="Cambria" w:eastAsia="Cambria" w:hAnsi="Cambria" w:cs="Cambria"/>
          <w:b/>
          <w:sz w:val="20"/>
          <w:szCs w:val="20"/>
        </w:rPr>
      </w:pPr>
      <w:r w:rsidRPr="00524435">
        <w:rPr>
          <w:rStyle w:val="None"/>
          <w:rFonts w:ascii="Cambria" w:hAnsi="Cambria"/>
          <w:b/>
          <w:sz w:val="20"/>
          <w:szCs w:val="20"/>
        </w:rPr>
        <w:t>Resolution No. 36/21(LIFTING)</w:t>
      </w:r>
      <w:r w:rsidRPr="00524435">
        <w:rPr>
          <w:rStyle w:val="None"/>
          <w:rFonts w:ascii="Cambria" w:hAnsi="Cambria"/>
          <w:b/>
          <w:sz w:val="20"/>
          <w:szCs w:val="20"/>
        </w:rPr>
        <w:br/>
        <w:t>MC 231-12 - Wilfredo Ramón Stokes Baltazar, Guatemala</w:t>
      </w:r>
    </w:p>
    <w:p w14:paraId="640DFF10" w14:textId="77777777" w:rsidR="00842401" w:rsidRPr="00524435" w:rsidRDefault="00842401" w:rsidP="00842401">
      <w:pPr>
        <w:pStyle w:val="Body"/>
        <w:jc w:val="both"/>
        <w:rPr>
          <w:rStyle w:val="None"/>
          <w:rFonts w:ascii="Cambria" w:hAnsi="Cambria"/>
          <w:sz w:val="20"/>
          <w:szCs w:val="20"/>
        </w:rPr>
      </w:pPr>
    </w:p>
    <w:p w14:paraId="07FEFA1C" w14:textId="77777777" w:rsidR="00842401" w:rsidRPr="00524435" w:rsidRDefault="00842401" w:rsidP="009242CD">
      <w:pPr>
        <w:pStyle w:val="ListParagraph"/>
        <w:rPr>
          <w:rStyle w:val="None"/>
          <w:rFonts w:eastAsia="Cambria" w:cs="Cambria"/>
        </w:rPr>
      </w:pPr>
      <w:r w:rsidRPr="00524435">
        <w:rPr>
          <w:rStyle w:val="None"/>
        </w:rPr>
        <w:t xml:space="preserve">The Inter-American Commission on Human Rights (IACHR) decided to lift the current precautionary measures following Stokes’ release from prison in January 2017 on being granted “early release,” removing him from the custody of the State. In particular, the Commission reviewed the medical care provided by the State; the observations of his representative over time; </w:t>
      </w:r>
      <w:proofErr w:type="gramStart"/>
      <w:r w:rsidRPr="00524435">
        <w:rPr>
          <w:rStyle w:val="None"/>
        </w:rPr>
        <w:t>and in particular, the</w:t>
      </w:r>
      <w:proofErr w:type="gramEnd"/>
      <w:r w:rsidRPr="00524435">
        <w:rPr>
          <w:rStyle w:val="None"/>
        </w:rPr>
        <w:t xml:space="preserve"> fact that he had submitted no observations in regard to the request to lift the measures. Since it was inappropriate in this proceeding to issue an opinion about the international responsibility of the State or the human rights violations alleged, the Commission reminded the parties that it would have an opportunity to review the allegations in the framework of Case 13,472 on this matter. </w:t>
      </w:r>
    </w:p>
    <w:p w14:paraId="5BCDA9DC" w14:textId="77777777" w:rsidR="00842401" w:rsidRPr="00524435" w:rsidRDefault="00842401" w:rsidP="00842401">
      <w:pPr>
        <w:pStyle w:val="Body"/>
        <w:rPr>
          <w:rStyle w:val="None"/>
          <w:rFonts w:ascii="Cambria" w:eastAsia="Cambria" w:hAnsi="Cambria" w:cs="Cambria"/>
          <w:b/>
          <w:bCs/>
          <w:sz w:val="20"/>
          <w:szCs w:val="20"/>
        </w:rPr>
      </w:pPr>
      <w:r w:rsidRPr="00524435">
        <w:rPr>
          <w:rStyle w:val="None"/>
          <w:rFonts w:ascii="Cambria" w:hAnsi="Cambria"/>
          <w:b/>
          <w:bCs/>
          <w:sz w:val="20"/>
          <w:szCs w:val="20"/>
        </w:rPr>
        <w:t>Resolution No. 46/21 (LIFTING)</w:t>
      </w:r>
      <w:r w:rsidRPr="00524435">
        <w:rPr>
          <w:rStyle w:val="None"/>
          <w:rFonts w:ascii="Cambria" w:hAnsi="Cambria"/>
          <w:b/>
          <w:bCs/>
          <w:sz w:val="20"/>
          <w:szCs w:val="20"/>
        </w:rPr>
        <w:br/>
        <w:t xml:space="preserve">MC 207-12 - </w:t>
      </w:r>
      <w:proofErr w:type="spellStart"/>
      <w:r w:rsidRPr="00524435">
        <w:rPr>
          <w:rStyle w:val="None"/>
          <w:rFonts w:ascii="Cambria" w:hAnsi="Cambria"/>
          <w:b/>
          <w:bCs/>
          <w:sz w:val="20"/>
          <w:szCs w:val="20"/>
        </w:rPr>
        <w:t>Telma</w:t>
      </w:r>
      <w:proofErr w:type="spellEnd"/>
      <w:r w:rsidRPr="00524435">
        <w:rPr>
          <w:rStyle w:val="None"/>
          <w:rFonts w:ascii="Cambria" w:hAnsi="Cambria"/>
          <w:b/>
          <w:bCs/>
          <w:sz w:val="20"/>
          <w:szCs w:val="20"/>
        </w:rPr>
        <w:t xml:space="preserve"> Yolanda </w:t>
      </w:r>
      <w:proofErr w:type="spellStart"/>
      <w:r w:rsidRPr="00524435">
        <w:rPr>
          <w:rStyle w:val="None"/>
          <w:rFonts w:ascii="Cambria" w:hAnsi="Cambria"/>
          <w:b/>
          <w:bCs/>
          <w:sz w:val="20"/>
          <w:szCs w:val="20"/>
        </w:rPr>
        <w:t>Oqueli</w:t>
      </w:r>
      <w:proofErr w:type="spellEnd"/>
      <w:r w:rsidRPr="00524435">
        <w:rPr>
          <w:rStyle w:val="None"/>
          <w:rFonts w:ascii="Cambria" w:hAnsi="Cambria"/>
          <w:b/>
          <w:bCs/>
          <w:sz w:val="20"/>
          <w:szCs w:val="20"/>
        </w:rPr>
        <w:t xml:space="preserve"> </w:t>
      </w:r>
      <w:proofErr w:type="spellStart"/>
      <w:r w:rsidRPr="00524435">
        <w:rPr>
          <w:rStyle w:val="None"/>
          <w:rFonts w:ascii="Cambria" w:hAnsi="Cambria"/>
          <w:b/>
          <w:bCs/>
          <w:sz w:val="20"/>
          <w:szCs w:val="20"/>
        </w:rPr>
        <w:t>Veliz</w:t>
      </w:r>
      <w:proofErr w:type="spellEnd"/>
      <w:r w:rsidRPr="00524435">
        <w:rPr>
          <w:rStyle w:val="None"/>
          <w:rFonts w:ascii="Cambria" w:hAnsi="Cambria"/>
          <w:b/>
          <w:bCs/>
          <w:sz w:val="20"/>
          <w:szCs w:val="20"/>
        </w:rPr>
        <w:t xml:space="preserve"> and her immediate family, Guatemala</w:t>
      </w:r>
    </w:p>
    <w:p w14:paraId="7BFA44C5" w14:textId="77777777" w:rsidR="00842401" w:rsidRPr="00524435" w:rsidRDefault="00842401" w:rsidP="009242CD">
      <w:pPr>
        <w:pStyle w:val="ListParagraph"/>
        <w:rPr>
          <w:rStyle w:val="None"/>
          <w:rFonts w:eastAsia="Cambria" w:cs="Cambria"/>
        </w:rPr>
      </w:pPr>
      <w:r w:rsidRPr="00524435">
        <w:rPr>
          <w:rStyle w:val="None"/>
        </w:rPr>
        <w:t xml:space="preserve">The Inter-American Commission on Human Rights (IACHR) decided to lift the current precautionary measures granted on behalf of </w:t>
      </w:r>
      <w:proofErr w:type="spellStart"/>
      <w:r w:rsidRPr="00524435">
        <w:rPr>
          <w:rStyle w:val="None"/>
        </w:rPr>
        <w:t>Telma</w:t>
      </w:r>
      <w:proofErr w:type="spellEnd"/>
      <w:r w:rsidRPr="00524435">
        <w:rPr>
          <w:rStyle w:val="None"/>
        </w:rPr>
        <w:t xml:space="preserve"> Yolanda </w:t>
      </w:r>
      <w:proofErr w:type="spellStart"/>
      <w:r w:rsidRPr="00524435">
        <w:rPr>
          <w:rStyle w:val="None"/>
        </w:rPr>
        <w:t>Oqueli</w:t>
      </w:r>
      <w:proofErr w:type="spellEnd"/>
      <w:r w:rsidRPr="00524435">
        <w:rPr>
          <w:rStyle w:val="None"/>
        </w:rPr>
        <w:t xml:space="preserve"> </w:t>
      </w:r>
      <w:proofErr w:type="spellStart"/>
      <w:r w:rsidRPr="00524435">
        <w:rPr>
          <w:rStyle w:val="None"/>
        </w:rPr>
        <w:t>Veliz</w:t>
      </w:r>
      <w:proofErr w:type="spellEnd"/>
      <w:r w:rsidRPr="00524435">
        <w:rPr>
          <w:rStyle w:val="None"/>
        </w:rPr>
        <w:t xml:space="preserve"> and her immediate family. On rendering the decision, the Commission observed that Mrs. </w:t>
      </w:r>
      <w:proofErr w:type="spellStart"/>
      <w:r w:rsidRPr="00524435">
        <w:rPr>
          <w:rStyle w:val="None"/>
        </w:rPr>
        <w:t>Oqueli</w:t>
      </w:r>
      <w:proofErr w:type="spellEnd"/>
      <w:r w:rsidRPr="00524435">
        <w:rPr>
          <w:rStyle w:val="None"/>
        </w:rPr>
        <w:t xml:space="preserve"> had “definitively” left the country in 2018 and that the State was requesting that the measures be lifted. The Commission reviewed the action taken by the State to implement the current measures, as well as the comments received from her representative up to 2017.</w:t>
      </w:r>
    </w:p>
    <w:p w14:paraId="4B2D3054" w14:textId="77777777" w:rsidR="00842401" w:rsidRPr="00524435" w:rsidRDefault="00842401" w:rsidP="00842401">
      <w:pPr>
        <w:pStyle w:val="Body"/>
        <w:rPr>
          <w:rStyle w:val="None"/>
          <w:rFonts w:ascii="Cambria" w:eastAsia="Cambria" w:hAnsi="Cambria" w:cs="Cambria"/>
          <w:b/>
          <w:bCs/>
          <w:sz w:val="20"/>
          <w:szCs w:val="20"/>
        </w:rPr>
      </w:pPr>
      <w:r w:rsidRPr="00524435">
        <w:rPr>
          <w:rStyle w:val="None"/>
          <w:rFonts w:ascii="Cambria" w:hAnsi="Cambria"/>
          <w:b/>
          <w:bCs/>
          <w:sz w:val="20"/>
          <w:szCs w:val="20"/>
        </w:rPr>
        <w:t>Resolution No. 77/21(LIFTING)</w:t>
      </w:r>
      <w:r w:rsidRPr="00524435">
        <w:rPr>
          <w:rStyle w:val="None"/>
          <w:rFonts w:ascii="Cambria" w:hAnsi="Cambria"/>
          <w:b/>
          <w:bCs/>
          <w:sz w:val="20"/>
          <w:szCs w:val="20"/>
        </w:rPr>
        <w:br/>
        <w:t xml:space="preserve">MC 974-04 - Ana Luz </w:t>
      </w:r>
      <w:proofErr w:type="spellStart"/>
      <w:r w:rsidRPr="00524435">
        <w:rPr>
          <w:rStyle w:val="None"/>
          <w:rFonts w:ascii="Cambria" w:hAnsi="Cambria"/>
          <w:b/>
          <w:bCs/>
          <w:sz w:val="20"/>
          <w:szCs w:val="20"/>
        </w:rPr>
        <w:t>Chuga</w:t>
      </w:r>
      <w:proofErr w:type="spellEnd"/>
      <w:r w:rsidRPr="00524435">
        <w:rPr>
          <w:rStyle w:val="None"/>
          <w:rFonts w:ascii="Cambria" w:hAnsi="Cambria"/>
          <w:b/>
          <w:bCs/>
          <w:sz w:val="20"/>
          <w:szCs w:val="20"/>
        </w:rPr>
        <w:t xml:space="preserve"> </w:t>
      </w:r>
      <w:proofErr w:type="spellStart"/>
      <w:r w:rsidRPr="00524435">
        <w:rPr>
          <w:rStyle w:val="None"/>
          <w:rFonts w:ascii="Cambria" w:hAnsi="Cambria"/>
          <w:b/>
          <w:bCs/>
          <w:sz w:val="20"/>
          <w:szCs w:val="20"/>
        </w:rPr>
        <w:t>Tathuite</w:t>
      </w:r>
      <w:proofErr w:type="spellEnd"/>
      <w:r w:rsidRPr="00524435">
        <w:rPr>
          <w:rStyle w:val="None"/>
          <w:rFonts w:ascii="Cambria" w:hAnsi="Cambria"/>
          <w:b/>
          <w:bCs/>
          <w:sz w:val="20"/>
          <w:szCs w:val="20"/>
        </w:rPr>
        <w:t xml:space="preserve">, Magda Elena </w:t>
      </w:r>
      <w:proofErr w:type="spellStart"/>
      <w:r w:rsidRPr="00524435">
        <w:rPr>
          <w:rStyle w:val="None"/>
          <w:rFonts w:ascii="Cambria" w:hAnsi="Cambria"/>
          <w:b/>
          <w:bCs/>
          <w:sz w:val="20"/>
          <w:szCs w:val="20"/>
        </w:rPr>
        <w:t>Chuga</w:t>
      </w:r>
      <w:proofErr w:type="spellEnd"/>
      <w:r w:rsidRPr="00524435">
        <w:rPr>
          <w:rStyle w:val="None"/>
          <w:rFonts w:ascii="Cambria" w:hAnsi="Cambria"/>
          <w:b/>
          <w:bCs/>
          <w:sz w:val="20"/>
          <w:szCs w:val="20"/>
        </w:rPr>
        <w:t xml:space="preserve"> </w:t>
      </w:r>
      <w:proofErr w:type="spellStart"/>
      <w:r w:rsidRPr="00524435">
        <w:rPr>
          <w:rStyle w:val="None"/>
          <w:rFonts w:ascii="Cambria" w:hAnsi="Cambria"/>
          <w:b/>
          <w:bCs/>
          <w:sz w:val="20"/>
          <w:szCs w:val="20"/>
        </w:rPr>
        <w:t>Tahuite</w:t>
      </w:r>
      <w:proofErr w:type="spellEnd"/>
      <w:r w:rsidRPr="00524435">
        <w:rPr>
          <w:rStyle w:val="None"/>
          <w:rFonts w:ascii="Cambria" w:hAnsi="Cambria"/>
          <w:b/>
          <w:bCs/>
          <w:sz w:val="20"/>
          <w:szCs w:val="20"/>
        </w:rPr>
        <w:t>, and their families, Guatemala</w:t>
      </w:r>
    </w:p>
    <w:p w14:paraId="1FA3DC9C" w14:textId="77777777" w:rsidR="00842401" w:rsidRPr="00524435" w:rsidRDefault="00842401" w:rsidP="00842401">
      <w:pPr>
        <w:pStyle w:val="Body"/>
        <w:jc w:val="both"/>
        <w:rPr>
          <w:rStyle w:val="None"/>
          <w:rFonts w:ascii="Cambria" w:hAnsi="Cambria"/>
          <w:sz w:val="20"/>
          <w:szCs w:val="20"/>
        </w:rPr>
      </w:pPr>
    </w:p>
    <w:p w14:paraId="6C531B32" w14:textId="77777777" w:rsidR="00842401" w:rsidRPr="00524435" w:rsidRDefault="00842401" w:rsidP="009242CD">
      <w:pPr>
        <w:pStyle w:val="ListParagraph"/>
        <w:rPr>
          <w:rStyle w:val="None"/>
          <w:rFonts w:eastAsia="Cambria" w:cs="Cambria"/>
        </w:rPr>
      </w:pPr>
      <w:r w:rsidRPr="00524435">
        <w:rPr>
          <w:rStyle w:val="None"/>
        </w:rPr>
        <w:t xml:space="preserve">The Inter-American Commission on Human Rights (IACHR) decided to lift the current precautionary measures. On rendering this decision, the Commission </w:t>
      </w:r>
      <w:proofErr w:type="gramStart"/>
      <w:r w:rsidRPr="00524435">
        <w:rPr>
          <w:rStyle w:val="None"/>
        </w:rPr>
        <w:t>took into account</w:t>
      </w:r>
      <w:proofErr w:type="gramEnd"/>
      <w:r w:rsidRPr="00524435">
        <w:rPr>
          <w:rStyle w:val="None"/>
        </w:rPr>
        <w:t xml:space="preserve"> the action taken by the State to implement the current measures. It also noted that their representatives had not responded to the </w:t>
      </w:r>
      <w:r w:rsidRPr="00524435">
        <w:rPr>
          <w:rStyle w:val="None"/>
        </w:rPr>
        <w:lastRenderedPageBreak/>
        <w:t xml:space="preserve">IACHR in approximately 10 years, despite </w:t>
      </w:r>
      <w:proofErr w:type="gramStart"/>
      <w:r w:rsidRPr="00524435">
        <w:rPr>
          <w:rStyle w:val="None"/>
        </w:rPr>
        <w:t>a number of</w:t>
      </w:r>
      <w:proofErr w:type="gramEnd"/>
      <w:r w:rsidRPr="00524435">
        <w:rPr>
          <w:rStyle w:val="None"/>
        </w:rPr>
        <w:t xml:space="preserve"> requests for information and having informed them that the Commission would proceed to review the appropriateness of the current precautionary measures.</w:t>
      </w:r>
    </w:p>
    <w:p w14:paraId="4B4734CA" w14:textId="77777777" w:rsidR="00842401" w:rsidRPr="00524435" w:rsidRDefault="00842401" w:rsidP="00842401">
      <w:pPr>
        <w:rPr>
          <w:rFonts w:ascii="Cambria" w:eastAsia="Cambria" w:hAnsi="Cambria" w:cs="Cambria"/>
          <w:b/>
          <w:bCs/>
          <w:color w:val="000000" w:themeColor="text1"/>
          <w:sz w:val="20"/>
          <w:szCs w:val="20"/>
        </w:rPr>
      </w:pPr>
      <w:r w:rsidRPr="00524435">
        <w:rPr>
          <w:rFonts w:ascii="Cambria" w:eastAsia="Cambria" w:hAnsi="Cambria" w:cs="Cambria"/>
          <w:b/>
          <w:bCs/>
          <w:color w:val="000000" w:themeColor="text1"/>
          <w:sz w:val="20"/>
          <w:szCs w:val="20"/>
        </w:rPr>
        <w:t>Resolution No. 98/21(LIFT)</w:t>
      </w:r>
      <w:r w:rsidRPr="00524435">
        <w:rPr>
          <w:rFonts w:ascii="Cambria" w:hAnsi="Cambria"/>
          <w:b/>
          <w:bCs/>
          <w:sz w:val="20"/>
          <w:szCs w:val="20"/>
        </w:rPr>
        <w:br/>
      </w:r>
      <w:r w:rsidRPr="00524435">
        <w:rPr>
          <w:rFonts w:ascii="Cambria" w:eastAsia="Cambria" w:hAnsi="Cambria" w:cs="Cambria"/>
          <w:b/>
          <w:bCs/>
          <w:color w:val="000000" w:themeColor="text1"/>
          <w:sz w:val="20"/>
          <w:szCs w:val="20"/>
        </w:rPr>
        <w:t xml:space="preserve">PM 764-04 - Rafael Castillo </w:t>
      </w:r>
      <w:proofErr w:type="spellStart"/>
      <w:r w:rsidRPr="00524435">
        <w:rPr>
          <w:rFonts w:ascii="Cambria" w:eastAsia="Cambria" w:hAnsi="Cambria" w:cs="Cambria"/>
          <w:b/>
          <w:bCs/>
          <w:color w:val="000000" w:themeColor="text1"/>
          <w:sz w:val="20"/>
          <w:szCs w:val="20"/>
        </w:rPr>
        <w:t>Gándara</w:t>
      </w:r>
      <w:proofErr w:type="spellEnd"/>
      <w:r w:rsidRPr="00524435">
        <w:rPr>
          <w:rFonts w:ascii="Cambria" w:eastAsia="Cambria" w:hAnsi="Cambria" w:cs="Cambria"/>
          <w:b/>
          <w:bCs/>
          <w:color w:val="000000" w:themeColor="text1"/>
          <w:sz w:val="20"/>
          <w:szCs w:val="20"/>
        </w:rPr>
        <w:t xml:space="preserve"> and Walter Robles, Guatemala</w:t>
      </w:r>
    </w:p>
    <w:p w14:paraId="59DBE569" w14:textId="77777777" w:rsidR="00842401" w:rsidRPr="00524435" w:rsidRDefault="00842401" w:rsidP="009242CD">
      <w:pPr>
        <w:pStyle w:val="ListParagraph"/>
      </w:pPr>
      <w:r w:rsidRPr="00524435">
        <w:t xml:space="preserve">The Inter-American Commission on Human Rights (IACHR) decides to lift these precautionary measures in favor of Rafael Castillo </w:t>
      </w:r>
      <w:proofErr w:type="spellStart"/>
      <w:r w:rsidRPr="00524435">
        <w:t>Gándara</w:t>
      </w:r>
      <w:proofErr w:type="spellEnd"/>
      <w:r w:rsidRPr="00524435">
        <w:t xml:space="preserve"> and his lawyer, Walter Robles, in Guatemala. At the time of making the decision, the Commission evaluated the actions taken by the State during implementation as well as the observations of the beneficiaries’ representation. Following the requests to lift the measures made by the State, the IACHR repeatedly requested observations from the representation, who indicated that they were unable to communicate with the beneficiaries. Upon not identifying compliance with the procedural requirements, the IACHR decided to lift these measures.</w:t>
      </w:r>
    </w:p>
    <w:p w14:paraId="63FCD5D1" w14:textId="77777777" w:rsidR="00842401" w:rsidRPr="00524435" w:rsidRDefault="00842401" w:rsidP="00842401">
      <w:pPr>
        <w:rPr>
          <w:rFonts w:ascii="Cambria" w:eastAsia="Cambria" w:hAnsi="Cambria" w:cs="Cambria"/>
          <w:b/>
          <w:bCs/>
          <w:color w:val="000000" w:themeColor="text1"/>
          <w:sz w:val="20"/>
          <w:szCs w:val="20"/>
        </w:rPr>
      </w:pPr>
      <w:r w:rsidRPr="00524435">
        <w:rPr>
          <w:rFonts w:ascii="Cambria" w:eastAsia="Cambria" w:hAnsi="Cambria" w:cs="Cambria"/>
          <w:b/>
          <w:bCs/>
          <w:color w:val="000000" w:themeColor="text1"/>
          <w:sz w:val="20"/>
          <w:szCs w:val="20"/>
        </w:rPr>
        <w:t>Resolution No. 112/21(FOLLOW-UP)</w:t>
      </w:r>
      <w:r w:rsidRPr="00524435">
        <w:rPr>
          <w:rFonts w:ascii="Cambria" w:hAnsi="Cambria"/>
          <w:b/>
          <w:bCs/>
          <w:sz w:val="20"/>
          <w:szCs w:val="20"/>
        </w:rPr>
        <w:br/>
      </w:r>
      <w:r w:rsidRPr="00524435">
        <w:rPr>
          <w:rFonts w:ascii="Cambria" w:eastAsia="Cambria" w:hAnsi="Cambria" w:cs="Cambria"/>
          <w:b/>
          <w:bCs/>
          <w:color w:val="000000" w:themeColor="text1"/>
          <w:sz w:val="20"/>
          <w:szCs w:val="20"/>
        </w:rPr>
        <w:t xml:space="preserve">PM 412-17 - Families of the Laguna </w:t>
      </w:r>
      <w:proofErr w:type="spellStart"/>
      <w:r w:rsidRPr="00524435">
        <w:rPr>
          <w:rFonts w:ascii="Cambria" w:eastAsia="Cambria" w:hAnsi="Cambria" w:cs="Cambria"/>
          <w:b/>
          <w:bCs/>
          <w:color w:val="000000" w:themeColor="text1"/>
          <w:sz w:val="20"/>
          <w:szCs w:val="20"/>
        </w:rPr>
        <w:t>Larga</w:t>
      </w:r>
      <w:proofErr w:type="spellEnd"/>
      <w:r w:rsidRPr="00524435">
        <w:rPr>
          <w:rFonts w:ascii="Cambria" w:eastAsia="Cambria" w:hAnsi="Cambria" w:cs="Cambria"/>
          <w:b/>
          <w:bCs/>
          <w:color w:val="000000" w:themeColor="text1"/>
          <w:sz w:val="20"/>
          <w:szCs w:val="20"/>
        </w:rPr>
        <w:t xml:space="preserve"> Community, Guatemala</w:t>
      </w:r>
    </w:p>
    <w:p w14:paraId="22AEBB16" w14:textId="77777777" w:rsidR="00842401" w:rsidRPr="00524435" w:rsidRDefault="00842401" w:rsidP="009242CD">
      <w:pPr>
        <w:pStyle w:val="ListParagraph"/>
      </w:pPr>
      <w:r w:rsidRPr="00524435">
        <w:t>The Inter-American Commission on Human Rights (IACHR) decides to issue this follow-up resolution on precautionary measures in the terms of Article 25 of its Rules of Procedure. The IACHR values the actions implemented by the State, as well as the observations provided by the beneficiaries’ representation. The IACHR makes certain clarifications and places itself at the disposal of the parties stating its willingness to carry out an on-site visit when circumstances permit and following the State’s consent. As background information, the IACHR had the opportunity to visit the area in 2017.</w:t>
      </w:r>
    </w:p>
    <w:p w14:paraId="244C06BF" w14:textId="77777777" w:rsidR="00842401" w:rsidRPr="00524435" w:rsidRDefault="00842401" w:rsidP="00842401">
      <w:pPr>
        <w:pStyle w:val="Body"/>
        <w:jc w:val="both"/>
        <w:rPr>
          <w:rStyle w:val="None"/>
          <w:rFonts w:ascii="Cambria" w:eastAsia="Cambria" w:hAnsi="Cambria" w:cs="Cambria"/>
          <w:b/>
          <w:sz w:val="20"/>
          <w:szCs w:val="20"/>
        </w:rPr>
      </w:pPr>
      <w:r w:rsidRPr="00524435">
        <w:rPr>
          <w:rStyle w:val="None"/>
          <w:rFonts w:ascii="Cambria" w:hAnsi="Cambria"/>
          <w:b/>
          <w:sz w:val="20"/>
          <w:szCs w:val="20"/>
        </w:rPr>
        <w:t>GUYANA</w:t>
      </w:r>
    </w:p>
    <w:p w14:paraId="13AB995E" w14:textId="77777777" w:rsidR="00842401" w:rsidRPr="00524435" w:rsidRDefault="00842401" w:rsidP="00842401">
      <w:pPr>
        <w:pStyle w:val="Body"/>
        <w:jc w:val="both"/>
        <w:rPr>
          <w:rStyle w:val="None"/>
          <w:rFonts w:ascii="Cambria" w:eastAsia="Cambria" w:hAnsi="Cambria" w:cs="Cambria"/>
          <w:b/>
          <w:sz w:val="20"/>
          <w:szCs w:val="20"/>
        </w:rPr>
      </w:pPr>
    </w:p>
    <w:p w14:paraId="392765AB" w14:textId="77777777" w:rsidR="00842401" w:rsidRPr="00524435" w:rsidRDefault="00842401" w:rsidP="00842401">
      <w:pPr>
        <w:pStyle w:val="Body"/>
        <w:rPr>
          <w:rStyle w:val="None"/>
          <w:rFonts w:ascii="Cambria" w:eastAsia="Cambria" w:hAnsi="Cambria" w:cs="Cambria"/>
          <w:b/>
          <w:sz w:val="20"/>
          <w:szCs w:val="20"/>
        </w:rPr>
      </w:pPr>
      <w:r w:rsidRPr="00524435">
        <w:rPr>
          <w:rStyle w:val="None"/>
          <w:rFonts w:ascii="Cambria" w:hAnsi="Cambria"/>
          <w:b/>
          <w:sz w:val="20"/>
          <w:szCs w:val="20"/>
        </w:rPr>
        <w:t>Resolution No. 40/21 (LIFTING)</w:t>
      </w:r>
      <w:r w:rsidRPr="00524435">
        <w:rPr>
          <w:rStyle w:val="None"/>
          <w:rFonts w:ascii="Cambria" w:hAnsi="Cambria"/>
          <w:b/>
          <w:sz w:val="20"/>
          <w:szCs w:val="20"/>
        </w:rPr>
        <w:br/>
        <w:t>MC 254-07 - “A” (“AW”), Guyana</w:t>
      </w:r>
    </w:p>
    <w:p w14:paraId="377425A4" w14:textId="77777777" w:rsidR="00842401" w:rsidRPr="00524435" w:rsidRDefault="00842401" w:rsidP="00842401">
      <w:pPr>
        <w:pStyle w:val="Body"/>
        <w:jc w:val="both"/>
        <w:rPr>
          <w:rStyle w:val="None"/>
          <w:rFonts w:ascii="Cambria" w:hAnsi="Cambria"/>
          <w:sz w:val="20"/>
          <w:szCs w:val="20"/>
        </w:rPr>
      </w:pPr>
    </w:p>
    <w:p w14:paraId="7DD4DA38" w14:textId="77777777" w:rsidR="00842401" w:rsidRPr="00524435" w:rsidRDefault="00842401" w:rsidP="009242CD">
      <w:pPr>
        <w:pStyle w:val="ListParagraph"/>
        <w:rPr>
          <w:rStyle w:val="None"/>
          <w:rFonts w:eastAsia="Cambria" w:cs="Cambria"/>
        </w:rPr>
      </w:pPr>
      <w:r w:rsidRPr="00524435">
        <w:rPr>
          <w:rStyle w:val="None"/>
        </w:rPr>
        <w:t>The Inter-American Commission on Human Rights (IACHR) decided to lift the current precautionary measures granted on behalf of “A” (“AW”) in Guyana. The IACHR noted that the respective allegations would be reviewed in the framework of petition 353-07, should the grounds exist. The IACHR also noted that it had not received specific information from the parties in approximately nine years.</w:t>
      </w:r>
    </w:p>
    <w:p w14:paraId="69C487C8" w14:textId="77777777" w:rsidR="00842401" w:rsidRPr="00524435" w:rsidRDefault="00842401" w:rsidP="00842401">
      <w:pPr>
        <w:pStyle w:val="Body"/>
        <w:jc w:val="both"/>
        <w:rPr>
          <w:rStyle w:val="None"/>
          <w:rFonts w:ascii="Cambria" w:eastAsia="Cambria" w:hAnsi="Cambria" w:cs="Cambria"/>
          <w:b/>
          <w:sz w:val="20"/>
          <w:szCs w:val="20"/>
        </w:rPr>
      </w:pPr>
      <w:r w:rsidRPr="00524435">
        <w:rPr>
          <w:rStyle w:val="None"/>
          <w:rFonts w:ascii="Cambria" w:hAnsi="Cambria"/>
          <w:b/>
          <w:sz w:val="20"/>
          <w:szCs w:val="20"/>
        </w:rPr>
        <w:t>HAITI</w:t>
      </w:r>
    </w:p>
    <w:p w14:paraId="339A0429" w14:textId="77777777" w:rsidR="00842401" w:rsidRPr="00524435" w:rsidRDefault="00842401" w:rsidP="00842401">
      <w:pPr>
        <w:pStyle w:val="Body"/>
        <w:jc w:val="both"/>
        <w:rPr>
          <w:rStyle w:val="None"/>
          <w:rFonts w:ascii="Cambria" w:eastAsia="Cambria" w:hAnsi="Cambria" w:cs="Cambria"/>
          <w:sz w:val="20"/>
          <w:szCs w:val="20"/>
        </w:rPr>
      </w:pPr>
    </w:p>
    <w:p w14:paraId="369E6014" w14:textId="77777777" w:rsidR="00842401" w:rsidRPr="00524435" w:rsidRDefault="00842401" w:rsidP="00842401">
      <w:pPr>
        <w:pStyle w:val="Body"/>
        <w:rPr>
          <w:rStyle w:val="None"/>
          <w:rFonts w:ascii="Cambria" w:eastAsia="Cambria" w:hAnsi="Cambria" w:cs="Cambria"/>
          <w:b/>
          <w:bCs/>
          <w:sz w:val="20"/>
          <w:szCs w:val="20"/>
        </w:rPr>
      </w:pPr>
      <w:r w:rsidRPr="00524435">
        <w:rPr>
          <w:rStyle w:val="None"/>
          <w:rFonts w:ascii="Cambria" w:hAnsi="Cambria"/>
          <w:b/>
          <w:bCs/>
          <w:sz w:val="20"/>
          <w:szCs w:val="20"/>
        </w:rPr>
        <w:t>Resolution No. 9/21 (LIFTING)</w:t>
      </w:r>
      <w:r w:rsidRPr="00524435">
        <w:rPr>
          <w:rStyle w:val="None"/>
          <w:rFonts w:ascii="Cambria" w:hAnsi="Cambria"/>
          <w:b/>
          <w:bCs/>
          <w:sz w:val="20"/>
          <w:szCs w:val="20"/>
        </w:rPr>
        <w:br/>
        <w:t>MC 256-06 - Evel Fanfan et al., Haiti</w:t>
      </w:r>
    </w:p>
    <w:p w14:paraId="74D8A82B" w14:textId="77777777" w:rsidR="00842401" w:rsidRPr="00524435" w:rsidRDefault="00842401" w:rsidP="00842401">
      <w:pPr>
        <w:pStyle w:val="Body"/>
        <w:jc w:val="both"/>
        <w:rPr>
          <w:rStyle w:val="None"/>
          <w:rFonts w:ascii="Cambria" w:hAnsi="Cambria"/>
          <w:sz w:val="20"/>
          <w:szCs w:val="20"/>
        </w:rPr>
      </w:pPr>
    </w:p>
    <w:p w14:paraId="36B86FB5" w14:textId="77777777" w:rsidR="00842401" w:rsidRPr="00524435" w:rsidRDefault="00842401" w:rsidP="009242CD">
      <w:pPr>
        <w:pStyle w:val="ListParagraph"/>
        <w:rPr>
          <w:rStyle w:val="None"/>
          <w:rFonts w:eastAsia="Cambria" w:cs="Cambria"/>
        </w:rPr>
      </w:pPr>
      <w:r w:rsidRPr="00524435">
        <w:rPr>
          <w:rStyle w:val="None"/>
        </w:rPr>
        <w:t>On January 31, 2021, the IACHR decided to lift the current precautionary measures. On rendering this decision, the Commission noted that approximately eight years had gone by without a response from the representative. The IACHR pointed out that the State of Haiti had not responded to the Commission’s requests for information either.</w:t>
      </w:r>
    </w:p>
    <w:p w14:paraId="5CA256C8" w14:textId="77777777" w:rsidR="00842401" w:rsidRPr="00524435" w:rsidRDefault="00842401" w:rsidP="00842401">
      <w:pPr>
        <w:pStyle w:val="Body"/>
        <w:rPr>
          <w:rStyle w:val="None"/>
          <w:rFonts w:ascii="Cambria" w:eastAsia="Cambria" w:hAnsi="Cambria" w:cs="Cambria"/>
          <w:b/>
          <w:bCs/>
          <w:sz w:val="20"/>
          <w:szCs w:val="20"/>
        </w:rPr>
      </w:pPr>
      <w:r w:rsidRPr="00524435">
        <w:rPr>
          <w:rStyle w:val="None"/>
          <w:rFonts w:ascii="Cambria" w:hAnsi="Cambria"/>
          <w:b/>
          <w:bCs/>
          <w:sz w:val="20"/>
          <w:szCs w:val="20"/>
        </w:rPr>
        <w:t>Resolution No. 74/21</w:t>
      </w:r>
      <w:r w:rsidRPr="00524435">
        <w:rPr>
          <w:rStyle w:val="None"/>
          <w:rFonts w:ascii="Cambria" w:hAnsi="Cambria"/>
          <w:b/>
          <w:bCs/>
          <w:sz w:val="20"/>
          <w:szCs w:val="20"/>
        </w:rPr>
        <w:br/>
        <w:t xml:space="preserve">MC 1175-20 - Camille </w:t>
      </w:r>
      <w:proofErr w:type="spellStart"/>
      <w:r w:rsidRPr="00524435">
        <w:rPr>
          <w:rStyle w:val="None"/>
          <w:rFonts w:ascii="Cambria" w:hAnsi="Cambria"/>
          <w:b/>
          <w:bCs/>
          <w:sz w:val="20"/>
          <w:szCs w:val="20"/>
        </w:rPr>
        <w:t>Occius</w:t>
      </w:r>
      <w:proofErr w:type="spellEnd"/>
      <w:r w:rsidRPr="00524435">
        <w:rPr>
          <w:rStyle w:val="None"/>
          <w:rFonts w:ascii="Cambria" w:hAnsi="Cambria"/>
          <w:b/>
          <w:bCs/>
          <w:sz w:val="20"/>
          <w:szCs w:val="20"/>
        </w:rPr>
        <w:t xml:space="preserve"> and family, Haiti</w:t>
      </w:r>
    </w:p>
    <w:p w14:paraId="5AE8234D" w14:textId="77777777" w:rsidR="00842401" w:rsidRPr="00524435" w:rsidRDefault="00842401" w:rsidP="00842401">
      <w:pPr>
        <w:pStyle w:val="Body"/>
        <w:jc w:val="both"/>
        <w:rPr>
          <w:rStyle w:val="None"/>
          <w:rFonts w:ascii="Cambria" w:hAnsi="Cambria"/>
          <w:sz w:val="20"/>
          <w:szCs w:val="20"/>
        </w:rPr>
      </w:pPr>
    </w:p>
    <w:p w14:paraId="169F295A" w14:textId="77777777" w:rsidR="00842401" w:rsidRPr="00524435" w:rsidRDefault="00842401" w:rsidP="009242CD">
      <w:pPr>
        <w:pStyle w:val="ListParagraph"/>
        <w:rPr>
          <w:rStyle w:val="None"/>
          <w:rFonts w:eastAsia="Cambria" w:cs="Cambria"/>
        </w:rPr>
      </w:pPr>
      <w:r w:rsidRPr="00524435">
        <w:rPr>
          <w:rStyle w:val="None"/>
        </w:rPr>
        <w:t xml:space="preserve">Of September 4, 2021, the IACHR decided to grant precautionary measures on behalf of Camille </w:t>
      </w:r>
      <w:proofErr w:type="spellStart"/>
      <w:r w:rsidRPr="00524435">
        <w:rPr>
          <w:rStyle w:val="None"/>
        </w:rPr>
        <w:t>Occius</w:t>
      </w:r>
      <w:proofErr w:type="spellEnd"/>
      <w:r w:rsidRPr="00524435">
        <w:rPr>
          <w:rStyle w:val="None"/>
        </w:rPr>
        <w:t xml:space="preserve"> and his family. According to the request, the beneficiary was at risk due to acts of violence committed against him for his work as a human rights defender in Haiti. After reviewing the allegations of fact and law submitted by the requesting organization, the Commission found that the information provided showed prima facie the existence of a serious and urgent risk of irreparable harm to the right to life and personal integrity of Mr. </w:t>
      </w:r>
      <w:proofErr w:type="spellStart"/>
      <w:r w:rsidRPr="00524435">
        <w:rPr>
          <w:rStyle w:val="None"/>
        </w:rPr>
        <w:t>Occius</w:t>
      </w:r>
      <w:proofErr w:type="spellEnd"/>
      <w:r w:rsidRPr="00524435">
        <w:rPr>
          <w:rStyle w:val="None"/>
        </w:rPr>
        <w:t xml:space="preserve">, according to Article 25 of its Rules of Procedure. Commission consequently requested Haiti to: a) adopt the measures necessary to protect the right to life and personal integrity of Camille </w:t>
      </w:r>
      <w:proofErr w:type="spellStart"/>
      <w:r w:rsidRPr="00524435">
        <w:rPr>
          <w:rStyle w:val="None"/>
        </w:rPr>
        <w:lastRenderedPageBreak/>
        <w:t>Occius</w:t>
      </w:r>
      <w:proofErr w:type="spellEnd"/>
      <w:r w:rsidRPr="00524435">
        <w:rPr>
          <w:rStyle w:val="None"/>
        </w:rPr>
        <w:t xml:space="preserve"> and his family. To this end, the State should ensure that its agents respected the life and personal integrity of the beneficiaries and protected their rights in connection with acts attributable to third parties that put them at risk, in accordance with the standards established in international human rights law; b) adopt the measures necessary for Camille </w:t>
      </w:r>
      <w:proofErr w:type="spellStart"/>
      <w:r w:rsidRPr="00524435">
        <w:rPr>
          <w:rStyle w:val="None"/>
        </w:rPr>
        <w:t>Occius</w:t>
      </w:r>
      <w:proofErr w:type="spellEnd"/>
      <w:r w:rsidRPr="00524435">
        <w:rPr>
          <w:rStyle w:val="None"/>
        </w:rPr>
        <w:t xml:space="preserve"> to pursue his activities as a human rights defender without being subjected to acts of violence and harassment in the course of his work; c) reach an agreement with the beneficiaries and their representatives on the measures to adopt; and d) report on the action taken to investigate the events that had led to the adoption of this Resolution and thus, avoid their repetition.</w:t>
      </w:r>
    </w:p>
    <w:p w14:paraId="73021624" w14:textId="77777777" w:rsidR="00842401" w:rsidRPr="00E42B49" w:rsidRDefault="00842401" w:rsidP="00842401">
      <w:pPr>
        <w:pStyle w:val="Body"/>
        <w:jc w:val="both"/>
        <w:rPr>
          <w:rStyle w:val="None"/>
          <w:rFonts w:ascii="Cambria" w:eastAsia="Cambria" w:hAnsi="Cambria" w:cs="Cambria"/>
          <w:b/>
          <w:sz w:val="20"/>
          <w:szCs w:val="20"/>
          <w:lang w:val="es-US"/>
        </w:rPr>
      </w:pPr>
      <w:r w:rsidRPr="00E42B49">
        <w:rPr>
          <w:rStyle w:val="None"/>
          <w:rFonts w:ascii="Cambria" w:hAnsi="Cambria"/>
          <w:b/>
          <w:sz w:val="20"/>
          <w:szCs w:val="20"/>
          <w:lang w:val="es-US"/>
        </w:rPr>
        <w:t>HONDURAS</w:t>
      </w:r>
    </w:p>
    <w:p w14:paraId="321868FA" w14:textId="77777777" w:rsidR="00842401" w:rsidRPr="00E42B49" w:rsidRDefault="00842401" w:rsidP="00842401">
      <w:pPr>
        <w:pStyle w:val="Body"/>
        <w:jc w:val="both"/>
        <w:rPr>
          <w:rStyle w:val="None"/>
          <w:rFonts w:ascii="Cambria" w:eastAsia="Cambria" w:hAnsi="Cambria" w:cs="Cambria"/>
          <w:b/>
          <w:sz w:val="20"/>
          <w:szCs w:val="20"/>
          <w:lang w:val="es-US"/>
        </w:rPr>
      </w:pPr>
    </w:p>
    <w:p w14:paraId="6D800912" w14:textId="77777777" w:rsidR="00842401" w:rsidRPr="00E42B49" w:rsidRDefault="00842401" w:rsidP="00842401">
      <w:pPr>
        <w:pStyle w:val="Body"/>
        <w:rPr>
          <w:rStyle w:val="None"/>
          <w:rFonts w:ascii="Cambria" w:eastAsia="Cambria" w:hAnsi="Cambria" w:cs="Cambria"/>
          <w:b/>
          <w:sz w:val="20"/>
          <w:szCs w:val="20"/>
          <w:lang w:val="es-US"/>
        </w:rPr>
      </w:pPr>
      <w:proofErr w:type="spellStart"/>
      <w:r w:rsidRPr="00E42B49">
        <w:rPr>
          <w:rStyle w:val="None"/>
          <w:rFonts w:ascii="Cambria" w:hAnsi="Cambria"/>
          <w:b/>
          <w:sz w:val="20"/>
          <w:szCs w:val="20"/>
          <w:lang w:val="es-US"/>
        </w:rPr>
        <w:t>Resolution</w:t>
      </w:r>
      <w:proofErr w:type="spellEnd"/>
      <w:r w:rsidRPr="00E42B49">
        <w:rPr>
          <w:rStyle w:val="None"/>
          <w:rFonts w:ascii="Cambria" w:hAnsi="Cambria"/>
          <w:b/>
          <w:sz w:val="20"/>
          <w:szCs w:val="20"/>
          <w:lang w:val="es-US"/>
        </w:rPr>
        <w:t xml:space="preserve"> No. 19/21(</w:t>
      </w:r>
      <w:proofErr w:type="gramStart"/>
      <w:r w:rsidRPr="00E42B49">
        <w:rPr>
          <w:rStyle w:val="None"/>
          <w:rFonts w:ascii="Cambria" w:hAnsi="Cambria"/>
          <w:b/>
          <w:sz w:val="20"/>
          <w:szCs w:val="20"/>
          <w:lang w:val="es-US"/>
        </w:rPr>
        <w:t>LIFTING</w:t>
      </w:r>
      <w:proofErr w:type="gramEnd"/>
      <w:r w:rsidRPr="00E42B49">
        <w:rPr>
          <w:rStyle w:val="None"/>
          <w:rFonts w:ascii="Cambria" w:hAnsi="Cambria"/>
          <w:b/>
          <w:sz w:val="20"/>
          <w:szCs w:val="20"/>
          <w:lang w:val="es-US"/>
        </w:rPr>
        <w:t>)</w:t>
      </w:r>
      <w:r w:rsidRPr="00E42B49">
        <w:rPr>
          <w:rStyle w:val="None"/>
          <w:rFonts w:ascii="Cambria" w:hAnsi="Cambria"/>
          <w:b/>
          <w:sz w:val="20"/>
          <w:szCs w:val="20"/>
          <w:lang w:val="es-US"/>
        </w:rPr>
        <w:br/>
        <w:t xml:space="preserve">MC 75-19 - Jose David </w:t>
      </w:r>
      <w:proofErr w:type="spellStart"/>
      <w:r w:rsidRPr="00E42B49">
        <w:rPr>
          <w:rStyle w:val="None"/>
          <w:rFonts w:ascii="Cambria" w:hAnsi="Cambria"/>
          <w:b/>
          <w:sz w:val="20"/>
          <w:szCs w:val="20"/>
          <w:lang w:val="es-US"/>
        </w:rPr>
        <w:t>Ellner</w:t>
      </w:r>
      <w:proofErr w:type="spellEnd"/>
      <w:r w:rsidRPr="00E42B49">
        <w:rPr>
          <w:rStyle w:val="None"/>
          <w:rFonts w:ascii="Cambria" w:hAnsi="Cambria"/>
          <w:b/>
          <w:sz w:val="20"/>
          <w:szCs w:val="20"/>
          <w:lang w:val="es-US"/>
        </w:rPr>
        <w:t xml:space="preserve"> Romero, Honduras</w:t>
      </w:r>
    </w:p>
    <w:p w14:paraId="63E8F7F7" w14:textId="77777777" w:rsidR="00842401" w:rsidRPr="00E42B49" w:rsidRDefault="00842401" w:rsidP="00842401">
      <w:pPr>
        <w:pStyle w:val="Body"/>
        <w:jc w:val="both"/>
        <w:rPr>
          <w:rStyle w:val="None"/>
          <w:rFonts w:ascii="Cambria" w:hAnsi="Cambria"/>
          <w:sz w:val="20"/>
          <w:szCs w:val="20"/>
          <w:lang w:val="es-US"/>
        </w:rPr>
      </w:pPr>
    </w:p>
    <w:p w14:paraId="7B7DA574" w14:textId="77777777" w:rsidR="00842401" w:rsidRPr="00524435" w:rsidRDefault="00842401" w:rsidP="009242CD">
      <w:pPr>
        <w:pStyle w:val="ListParagraph"/>
        <w:rPr>
          <w:rStyle w:val="None"/>
          <w:rFonts w:eastAsia="Cambria" w:cs="Cambria"/>
        </w:rPr>
      </w:pPr>
      <w:r w:rsidRPr="00524435">
        <w:rPr>
          <w:rStyle w:val="None"/>
        </w:rPr>
        <w:t>The Inter-American Commission on Human Rights (IACHR) decided to lift the current precautionary measures due to the death of the beneficiary in July 2020. Since it was inappropriate in this proceeding to render an opinion on the international responsibility of the State or to determine the human rights violations alleged, the Commission reminded the parties that it would have an opportunity to review the pertinent allegations in the framework of petition 696-19 on this matter.</w:t>
      </w:r>
    </w:p>
    <w:p w14:paraId="1E415478" w14:textId="77777777" w:rsidR="00842401" w:rsidRPr="00E42B49" w:rsidRDefault="00842401" w:rsidP="00842401">
      <w:pPr>
        <w:pStyle w:val="Body"/>
        <w:rPr>
          <w:rStyle w:val="None"/>
          <w:rFonts w:ascii="Cambria" w:eastAsia="Cambria" w:hAnsi="Cambria" w:cs="Cambria"/>
          <w:b/>
          <w:bCs/>
          <w:sz w:val="20"/>
          <w:szCs w:val="20"/>
          <w:lang w:val="es-US"/>
        </w:rPr>
      </w:pPr>
      <w:proofErr w:type="spellStart"/>
      <w:r w:rsidRPr="00E42B49">
        <w:rPr>
          <w:rStyle w:val="None"/>
          <w:rFonts w:ascii="Cambria" w:hAnsi="Cambria"/>
          <w:b/>
          <w:bCs/>
          <w:sz w:val="20"/>
          <w:szCs w:val="20"/>
          <w:lang w:val="es-US"/>
        </w:rPr>
        <w:t>Resolution</w:t>
      </w:r>
      <w:proofErr w:type="spellEnd"/>
      <w:r w:rsidRPr="00E42B49">
        <w:rPr>
          <w:rStyle w:val="None"/>
          <w:rFonts w:ascii="Cambria" w:hAnsi="Cambria"/>
          <w:b/>
          <w:bCs/>
          <w:sz w:val="20"/>
          <w:szCs w:val="20"/>
          <w:lang w:val="es-US"/>
        </w:rPr>
        <w:t xml:space="preserve"> No. 20/21(</w:t>
      </w:r>
      <w:proofErr w:type="gramStart"/>
      <w:r w:rsidRPr="00E42B49">
        <w:rPr>
          <w:rStyle w:val="None"/>
          <w:rFonts w:ascii="Cambria" w:hAnsi="Cambria"/>
          <w:b/>
          <w:bCs/>
          <w:sz w:val="20"/>
          <w:szCs w:val="20"/>
          <w:lang w:val="es-US"/>
        </w:rPr>
        <w:t>LIFTING</w:t>
      </w:r>
      <w:proofErr w:type="gramEnd"/>
      <w:r w:rsidRPr="00E42B49">
        <w:rPr>
          <w:rStyle w:val="None"/>
          <w:rFonts w:ascii="Cambria" w:hAnsi="Cambria"/>
          <w:b/>
          <w:bCs/>
          <w:sz w:val="20"/>
          <w:szCs w:val="20"/>
          <w:lang w:val="es-US"/>
        </w:rPr>
        <w:t>)</w:t>
      </w:r>
      <w:r w:rsidRPr="00E42B49">
        <w:rPr>
          <w:rStyle w:val="None"/>
          <w:rFonts w:ascii="Cambria" w:hAnsi="Cambria"/>
          <w:b/>
          <w:bCs/>
          <w:sz w:val="20"/>
          <w:szCs w:val="20"/>
          <w:lang w:val="es-US"/>
        </w:rPr>
        <w:br/>
        <w:t>MC 196-14 - Julio Ernesto Alvarado, Honduras</w:t>
      </w:r>
    </w:p>
    <w:p w14:paraId="4B5246DA" w14:textId="77777777" w:rsidR="00842401" w:rsidRPr="00E42B49" w:rsidRDefault="00842401" w:rsidP="00842401">
      <w:pPr>
        <w:pStyle w:val="Body"/>
        <w:jc w:val="both"/>
        <w:rPr>
          <w:rStyle w:val="None"/>
          <w:rFonts w:ascii="Cambria" w:hAnsi="Cambria"/>
          <w:sz w:val="20"/>
          <w:szCs w:val="20"/>
          <w:lang w:val="es-US"/>
        </w:rPr>
      </w:pPr>
    </w:p>
    <w:p w14:paraId="2E74E912" w14:textId="77777777" w:rsidR="00842401" w:rsidRPr="00524435" w:rsidRDefault="00842401" w:rsidP="009242CD">
      <w:pPr>
        <w:pStyle w:val="ListParagraph"/>
        <w:rPr>
          <w:rStyle w:val="None"/>
          <w:rFonts w:eastAsia="Cambria" w:cs="Cambria"/>
        </w:rPr>
      </w:pPr>
      <w:r w:rsidRPr="00524435">
        <w:rPr>
          <w:rStyle w:val="None"/>
        </w:rPr>
        <w:t>The Inter-American Commission on Human Rights (IACHR) decided to lift the current precautionary measures due to the death of the beneficiary in July 2020. Since it was inappropriate in this proceeding to issue an opinion on the international responsibility of the State or to find on the alleged violations of human rights, the Commission reminded the parties that it would have an opportunity to review the pertinent allegations in the framework of petition 1414-14 on this matter.</w:t>
      </w:r>
    </w:p>
    <w:p w14:paraId="561E2324" w14:textId="77777777" w:rsidR="00842401" w:rsidRPr="00524435" w:rsidRDefault="00842401" w:rsidP="00842401">
      <w:pPr>
        <w:pStyle w:val="Body"/>
        <w:rPr>
          <w:rStyle w:val="None"/>
          <w:rFonts w:ascii="Cambria" w:eastAsia="Cambria" w:hAnsi="Cambria" w:cs="Cambria"/>
          <w:b/>
          <w:bCs/>
          <w:sz w:val="20"/>
          <w:szCs w:val="20"/>
        </w:rPr>
      </w:pPr>
      <w:r w:rsidRPr="00524435">
        <w:rPr>
          <w:rStyle w:val="None"/>
          <w:rFonts w:ascii="Cambria" w:hAnsi="Cambria"/>
          <w:b/>
          <w:bCs/>
          <w:sz w:val="20"/>
          <w:szCs w:val="20"/>
        </w:rPr>
        <w:t>Resolution No. 75/21(LIFTING)</w:t>
      </w:r>
      <w:r w:rsidRPr="00524435">
        <w:rPr>
          <w:rStyle w:val="None"/>
          <w:rFonts w:ascii="Cambria" w:hAnsi="Cambria"/>
          <w:b/>
          <w:bCs/>
          <w:sz w:val="20"/>
          <w:szCs w:val="20"/>
        </w:rPr>
        <w:br/>
        <w:t>MC 259-16 - N.G.R. and family, Honduras</w:t>
      </w:r>
    </w:p>
    <w:p w14:paraId="5D37007B" w14:textId="77777777" w:rsidR="00842401" w:rsidRPr="00524435" w:rsidRDefault="00842401" w:rsidP="00842401">
      <w:pPr>
        <w:pStyle w:val="Body"/>
        <w:jc w:val="both"/>
        <w:rPr>
          <w:rStyle w:val="None"/>
          <w:rFonts w:ascii="Cambria" w:hAnsi="Cambria"/>
          <w:sz w:val="20"/>
          <w:szCs w:val="20"/>
        </w:rPr>
      </w:pPr>
    </w:p>
    <w:p w14:paraId="221A57CF" w14:textId="77777777" w:rsidR="00842401" w:rsidRPr="00524435" w:rsidRDefault="00842401" w:rsidP="009242CD">
      <w:pPr>
        <w:pStyle w:val="ListParagraph"/>
        <w:rPr>
          <w:rStyle w:val="None"/>
          <w:rFonts w:eastAsia="Cambria" w:cs="Cambria"/>
        </w:rPr>
      </w:pPr>
      <w:r w:rsidRPr="00524435">
        <w:rPr>
          <w:rStyle w:val="None"/>
        </w:rPr>
        <w:t xml:space="preserve">The Inter-American Commission on Human Rights (IACHR) decided to lift the current precautionary measures granted on behalf of N.G.R. and his immediate family. On rendering the decision, the Commission observed that, </w:t>
      </w:r>
      <w:proofErr w:type="gramStart"/>
      <w:r w:rsidRPr="00524435">
        <w:rPr>
          <w:rStyle w:val="None"/>
        </w:rPr>
        <w:t>according</w:t>
      </w:r>
      <w:proofErr w:type="gramEnd"/>
      <w:r w:rsidRPr="00524435">
        <w:rPr>
          <w:rStyle w:val="None"/>
        </w:rPr>
        <w:t xml:space="preserve"> the available information, Mr. N.G.R. had “definitively left the country in 2018.” The Commission reviewed the action taken by the State and the observations submitted by the representative up to 2019. However, it found that the requirements of Article 25 of the Rules of Procedure no longer existed, since the beneficiary was not in the country.</w:t>
      </w:r>
    </w:p>
    <w:p w14:paraId="67A773F8" w14:textId="77777777" w:rsidR="00842401" w:rsidRPr="00E42B49" w:rsidRDefault="00842401" w:rsidP="00842401">
      <w:pPr>
        <w:rPr>
          <w:rFonts w:ascii="Cambria" w:eastAsia="Cambria" w:hAnsi="Cambria" w:cs="Cambria"/>
          <w:b/>
          <w:bCs/>
          <w:color w:val="000000" w:themeColor="text1"/>
          <w:sz w:val="20"/>
          <w:szCs w:val="20"/>
          <w:lang w:val="es-US"/>
        </w:rPr>
      </w:pPr>
      <w:proofErr w:type="spellStart"/>
      <w:r w:rsidRPr="00E42B49">
        <w:rPr>
          <w:rFonts w:ascii="Cambria" w:eastAsia="Cambria" w:hAnsi="Cambria" w:cs="Cambria"/>
          <w:b/>
          <w:bCs/>
          <w:color w:val="000000" w:themeColor="text1"/>
          <w:sz w:val="20"/>
          <w:szCs w:val="20"/>
          <w:lang w:val="es-US"/>
        </w:rPr>
        <w:t>Resolution</w:t>
      </w:r>
      <w:proofErr w:type="spellEnd"/>
      <w:r w:rsidRPr="00E42B49">
        <w:rPr>
          <w:rFonts w:ascii="Cambria" w:eastAsia="Cambria" w:hAnsi="Cambria" w:cs="Cambria"/>
          <w:b/>
          <w:bCs/>
          <w:color w:val="000000" w:themeColor="text1"/>
          <w:sz w:val="20"/>
          <w:szCs w:val="20"/>
          <w:lang w:val="es-US"/>
        </w:rPr>
        <w:t xml:space="preserve"> No. 84/21</w:t>
      </w:r>
      <w:r w:rsidRPr="00E42B49">
        <w:rPr>
          <w:rFonts w:ascii="Cambria" w:hAnsi="Cambria"/>
          <w:b/>
          <w:bCs/>
          <w:sz w:val="20"/>
          <w:szCs w:val="20"/>
          <w:lang w:val="es-US"/>
        </w:rPr>
        <w:br/>
      </w:r>
      <w:r w:rsidRPr="00E42B49">
        <w:rPr>
          <w:rFonts w:ascii="Cambria" w:eastAsia="Cambria" w:hAnsi="Cambria" w:cs="Cambria"/>
          <w:b/>
          <w:bCs/>
          <w:color w:val="000000" w:themeColor="text1"/>
          <w:sz w:val="20"/>
          <w:szCs w:val="20"/>
          <w:lang w:val="es-US"/>
        </w:rPr>
        <w:t>PM 845-21 - Ligia del Carmen Ramos Zúñiga, Honduras</w:t>
      </w:r>
    </w:p>
    <w:p w14:paraId="389B3F95" w14:textId="77777777" w:rsidR="00842401" w:rsidRPr="00524435" w:rsidRDefault="00842401" w:rsidP="009242CD">
      <w:pPr>
        <w:pStyle w:val="ListParagraph"/>
      </w:pPr>
      <w:r w:rsidRPr="00524435">
        <w:t xml:space="preserve">On October 12, 2021, the IACHR decided to grant precautionary measures to the defender Ligia del Carmen Ramos </w:t>
      </w:r>
      <w:proofErr w:type="spellStart"/>
      <w:r w:rsidRPr="00524435">
        <w:t>Zúñiga</w:t>
      </w:r>
      <w:proofErr w:type="spellEnd"/>
      <w:r w:rsidRPr="00524435">
        <w:t xml:space="preserve">, in Honduras. The request for precautionary measures alleges that the beneficiary has been the target of threats, </w:t>
      </w:r>
      <w:proofErr w:type="gramStart"/>
      <w:r w:rsidRPr="00524435">
        <w:t>harassment</w:t>
      </w:r>
      <w:proofErr w:type="gramEnd"/>
      <w:r w:rsidRPr="00524435">
        <w:t xml:space="preserve"> and other acts of violence for years, including an alleged plan to assassinate her, which are purportedly due to her work defending human rights and reporting alleged cases of corruption, while no suitable and effective protection measures have been currently implemented by the State in her favor. Upon analyzing the submissions of fact and law by the applicants, the Commission considered that, from the applicable prima facie standard, Ms. Ligia del Carmen Ramos </w:t>
      </w:r>
      <w:proofErr w:type="spellStart"/>
      <w:r w:rsidRPr="00524435">
        <w:t>Zúñiga</w:t>
      </w:r>
      <w:proofErr w:type="spellEnd"/>
      <w:r w:rsidRPr="00524435">
        <w:t xml:space="preserve"> is in a serious and urgent situation, since her rights to life and personal integrity face a risk of irreparable harm. Consequently, based on Article 25 of its Rules of Procedure, the Commission asked the State of Colombia to a) adopt the necessary measures to protect the rights to life and integrity of Ligia del Carmen Ramos </w:t>
      </w:r>
      <w:proofErr w:type="spellStart"/>
      <w:r w:rsidRPr="00524435">
        <w:t>Zúñiga</w:t>
      </w:r>
      <w:proofErr w:type="spellEnd"/>
      <w:r w:rsidRPr="00524435">
        <w:t xml:space="preserve">. In particular, the State must ensure that its agents respect the life and personal integrity of the beneficiary, as well as protect her rights from threatening acts attributable to third parties, in accordance with the standards established by international human rights law; b) adopt the necessary measures so that Ligia del Carmen Ramos </w:t>
      </w:r>
      <w:proofErr w:type="spellStart"/>
      <w:r w:rsidRPr="00524435">
        <w:t>Zúñiga</w:t>
      </w:r>
      <w:proofErr w:type="spellEnd"/>
      <w:r w:rsidRPr="00524435">
        <w:t xml:space="preserve"> may </w:t>
      </w:r>
      <w:r w:rsidRPr="00524435">
        <w:lastRenderedPageBreak/>
        <w:t xml:space="preserve">carry out her activities as a human rights defender without being subjected to acts of violence, threats, harassment, or other threatening acts in the exercise of her duties. This should include the adoption of measures so that she can properly exercise her right to freedom of expression; c) consult and agree upon the measures to be adopted with the beneficiary and her representatives; and d) report on the actions taken to investigate the alleged facts that gave rise to the adoption of this precautionary measure, </w:t>
      </w:r>
      <w:proofErr w:type="gramStart"/>
      <w:r w:rsidRPr="00524435">
        <w:t>so as to</w:t>
      </w:r>
      <w:proofErr w:type="gramEnd"/>
      <w:r w:rsidRPr="00524435">
        <w:t xml:space="preserve"> prevent them from reoccurring.</w:t>
      </w:r>
    </w:p>
    <w:p w14:paraId="36E30D5F" w14:textId="77777777" w:rsidR="00842401" w:rsidRPr="00524435" w:rsidRDefault="00842401" w:rsidP="00842401">
      <w:pPr>
        <w:rPr>
          <w:rFonts w:ascii="Cambria" w:eastAsia="Cambria" w:hAnsi="Cambria" w:cs="Cambria"/>
          <w:b/>
          <w:bCs/>
          <w:color w:val="000000" w:themeColor="text1"/>
          <w:sz w:val="20"/>
          <w:szCs w:val="20"/>
        </w:rPr>
      </w:pPr>
      <w:r w:rsidRPr="00524435">
        <w:rPr>
          <w:rFonts w:ascii="Cambria" w:eastAsia="Cambria" w:hAnsi="Cambria" w:cs="Cambria"/>
          <w:b/>
          <w:bCs/>
          <w:color w:val="000000" w:themeColor="text1"/>
          <w:sz w:val="20"/>
          <w:szCs w:val="20"/>
        </w:rPr>
        <w:t>Resolution No. 88/21(FOLLOW-UP)</w:t>
      </w:r>
      <w:r w:rsidRPr="00524435">
        <w:rPr>
          <w:rFonts w:ascii="Cambria" w:hAnsi="Cambria"/>
          <w:b/>
          <w:bCs/>
          <w:sz w:val="20"/>
          <w:szCs w:val="20"/>
        </w:rPr>
        <w:br/>
      </w:r>
      <w:r w:rsidRPr="00524435">
        <w:rPr>
          <w:rFonts w:ascii="Cambria" w:eastAsia="Cambria" w:hAnsi="Cambria" w:cs="Cambria"/>
          <w:b/>
          <w:bCs/>
          <w:color w:val="000000" w:themeColor="text1"/>
          <w:sz w:val="20"/>
          <w:szCs w:val="20"/>
        </w:rPr>
        <w:t xml:space="preserve">PM 405-09, 112-16 - Berta Isabel </w:t>
      </w:r>
      <w:proofErr w:type="spellStart"/>
      <w:r w:rsidRPr="00524435">
        <w:rPr>
          <w:rFonts w:ascii="Cambria" w:eastAsia="Cambria" w:hAnsi="Cambria" w:cs="Cambria"/>
          <w:b/>
          <w:bCs/>
          <w:color w:val="000000" w:themeColor="text1"/>
          <w:sz w:val="20"/>
          <w:szCs w:val="20"/>
        </w:rPr>
        <w:t>Cáceres</w:t>
      </w:r>
      <w:proofErr w:type="spellEnd"/>
      <w:r w:rsidRPr="00524435">
        <w:rPr>
          <w:rFonts w:ascii="Cambria" w:eastAsia="Cambria" w:hAnsi="Cambria" w:cs="Cambria"/>
          <w:b/>
          <w:bCs/>
          <w:color w:val="000000" w:themeColor="text1"/>
          <w:sz w:val="20"/>
          <w:szCs w:val="20"/>
        </w:rPr>
        <w:t xml:space="preserve">, her nuclear family, members of COPINH, </w:t>
      </w:r>
      <w:r w:rsidRPr="00524435">
        <w:rPr>
          <w:rFonts w:ascii="Cambria" w:eastAsia="Cambria" w:hAnsi="Cambria" w:cs="Cambria"/>
          <w:b/>
          <w:bCs/>
          <w:i/>
          <w:iCs/>
          <w:color w:val="000000" w:themeColor="text1"/>
          <w:sz w:val="20"/>
          <w:szCs w:val="20"/>
        </w:rPr>
        <w:t>et al</w:t>
      </w:r>
      <w:r w:rsidRPr="00524435">
        <w:rPr>
          <w:rFonts w:ascii="Cambria" w:eastAsia="Cambria" w:hAnsi="Cambria" w:cs="Cambria"/>
          <w:b/>
          <w:bCs/>
          <w:color w:val="000000" w:themeColor="text1"/>
          <w:sz w:val="20"/>
          <w:szCs w:val="20"/>
        </w:rPr>
        <w:t>., Honduras</w:t>
      </w:r>
    </w:p>
    <w:p w14:paraId="65781CD7" w14:textId="77777777" w:rsidR="00842401" w:rsidRPr="00524435" w:rsidRDefault="00842401" w:rsidP="009242CD">
      <w:pPr>
        <w:pStyle w:val="ListParagraph"/>
      </w:pPr>
      <w:r w:rsidRPr="00524435">
        <w:t xml:space="preserve">On November 15, 2021, the Inter-American Commission on Human Rights (IACHR) decided to issue the resolution on the follow-up of precautionary measures under the terms of Article 25 of its Rules of Procedure. The IACHR took into consideration that both the beneficiaries’ representation and the State requested support to guarantee the effective implementation of these precautionary measures. In this sense, in the resolution, the IACHR assesses the progress in the implementation of the precautionary measures; identifies challenges presented throughout the time the measures have been in force; addresses questions raised by the parties; develops the scope of these precautionary measures; and places itself at the disposal of the parties to continue with their implementation. The Inter-American Commission on Human Rights considered that the matter at hand still meets </w:t>
      </w:r>
      <w:r w:rsidRPr="00524435">
        <w:rPr>
          <w:i/>
          <w:iCs/>
        </w:rPr>
        <w:t>prima facie</w:t>
      </w:r>
      <w:r w:rsidRPr="00524435">
        <w:t xml:space="preserve"> the requirements of seriousness, urgency, and irreparable harm contained in Article 25 of its Rules of Procedure in the terms indicated throughout this resolution. Consequently, it decides the following: a) To keep the precautionary measures granted to the members of the COPINH organization, the members of the nuclear family of Berta </w:t>
      </w:r>
      <w:proofErr w:type="spellStart"/>
      <w:r w:rsidRPr="00524435">
        <w:t>Cáceres</w:t>
      </w:r>
      <w:proofErr w:type="spellEnd"/>
      <w:r w:rsidRPr="00524435">
        <w:t xml:space="preserve">, Víctor Fernández, Arnold </w:t>
      </w:r>
      <w:proofErr w:type="spellStart"/>
      <w:r w:rsidRPr="00524435">
        <w:t>Guifarro</w:t>
      </w:r>
      <w:proofErr w:type="spellEnd"/>
      <w:r w:rsidRPr="00524435">
        <w:t xml:space="preserve">, Carlos Jiménez, Mr. A, Ms. B, and Ms. C in force. Therefore, it requires that the State of Honduras continue to adopt the necessary measures to effectively guarantee their life and personal integrity pursuant to the requests made through Resolution 8/2016 and Resolution 16/2016, considering the assessments of this resolution; b) To lift the precautionary measures regarding Berta </w:t>
      </w:r>
      <w:proofErr w:type="spellStart"/>
      <w:r w:rsidRPr="00524435">
        <w:t>Cáceres</w:t>
      </w:r>
      <w:proofErr w:type="spellEnd"/>
      <w:r w:rsidRPr="00524435">
        <w:t xml:space="preserve"> and Gustavo Castro; c) To request that the parties send specific, detailed, and updated information on the situation of the beneficiaries with a view to continuing to analyze their situation in accordance with Article 25 of its Rules of Procedure. At the time of providing such information, the Commission requests that they specify the situation of the beneficiaries or groups of beneficiaries, so that the Commission can adequately identify how these precautionary measures are being implemented with respect to each one of them. </w:t>
      </w:r>
      <w:proofErr w:type="gramStart"/>
      <w:r w:rsidRPr="00524435">
        <w:t>In particular, with</w:t>
      </w:r>
      <w:proofErr w:type="gramEnd"/>
      <w:r w:rsidRPr="00524435">
        <w:t xml:space="preserve"> respect to those beneficiaries who are members of the legal team for whom there is not enough up-to-date information in this file. d) To request that the parties continue with the consultation and coordination spaces at the domestic level within the framework of the implementation of these precautionary measures. e) To express the willingness of the IACHR to carry out an on-site visit to Honduras, with the prior consent of the State, </w:t>
      </w:r>
      <w:proofErr w:type="gramStart"/>
      <w:r w:rsidRPr="00524435">
        <w:t>in order to</w:t>
      </w:r>
      <w:proofErr w:type="gramEnd"/>
      <w:r w:rsidRPr="00524435">
        <w:t xml:space="preserve"> verify the situation of the beneficiaries of these precautionary measures. This could include, among others, a working meeting with the parties, and meetings with the beneficiaries and the domestic authorities directly responsible for the implementation of these precautionary measures. The foregoing, as part of the appropriate follow-up measures for the effective implementation of these precautionary measures. f) To continue to implement the appropriate follow-up measures pursuant to Article 25(10) and other provisions of its Rules of Procedure.</w:t>
      </w:r>
    </w:p>
    <w:p w14:paraId="4BF746B6" w14:textId="77777777" w:rsidR="00842401" w:rsidRPr="00524435" w:rsidRDefault="00842401" w:rsidP="00842401">
      <w:pPr>
        <w:rPr>
          <w:rFonts w:ascii="Cambria" w:eastAsia="Cambria" w:hAnsi="Cambria" w:cs="Cambria"/>
          <w:b/>
          <w:bCs/>
          <w:color w:val="000000" w:themeColor="text1"/>
          <w:sz w:val="20"/>
          <w:szCs w:val="20"/>
        </w:rPr>
      </w:pPr>
      <w:r w:rsidRPr="00524435">
        <w:rPr>
          <w:rFonts w:ascii="Cambria" w:eastAsia="Cambria" w:hAnsi="Cambria" w:cs="Cambria"/>
          <w:b/>
          <w:bCs/>
          <w:color w:val="000000" w:themeColor="text1"/>
          <w:sz w:val="20"/>
          <w:szCs w:val="20"/>
        </w:rPr>
        <w:t>Resolution No. 92/21(LIFT)</w:t>
      </w:r>
      <w:r w:rsidRPr="00524435">
        <w:rPr>
          <w:rFonts w:ascii="Cambria" w:hAnsi="Cambria"/>
          <w:b/>
          <w:bCs/>
          <w:sz w:val="20"/>
          <w:szCs w:val="20"/>
        </w:rPr>
        <w:br/>
      </w:r>
      <w:r w:rsidRPr="00524435">
        <w:rPr>
          <w:rFonts w:ascii="Cambria" w:eastAsia="Cambria" w:hAnsi="Cambria" w:cs="Cambria"/>
          <w:b/>
          <w:bCs/>
          <w:color w:val="000000" w:themeColor="text1"/>
          <w:sz w:val="20"/>
          <w:szCs w:val="20"/>
        </w:rPr>
        <w:t>PM 406-09 - Gregorio Ulises Sarmiento Galindo and family, Honduras</w:t>
      </w:r>
    </w:p>
    <w:p w14:paraId="5B6C3F16" w14:textId="77777777" w:rsidR="00842401" w:rsidRPr="00524435" w:rsidRDefault="00842401" w:rsidP="009242CD">
      <w:pPr>
        <w:pStyle w:val="ListParagraph"/>
      </w:pPr>
      <w:r w:rsidRPr="00524435">
        <w:t>The Inter-American Commission on Human Rights (IACHR) decides to lift these precautionary measures in favor of Gregorio Ulises Sarmiento Galindo and his family. At the time of making the decision, the Commission evaluated the actions taken by the State during implementation. Following the request to lift the measures filed by the State and having learned about the death of the beneficiary through the media, the IACHR requested observations from the State and the beneficiary’s representation. The State confirmed the death. Upon not having information from the representation during the time these precautionary measures were in force, and the beneficiary having died, the Commission considers that the requirements of Article 25 of the Rules of Procedure are no longer met</w:t>
      </w:r>
    </w:p>
    <w:p w14:paraId="62BD290C" w14:textId="77777777" w:rsidR="00842401" w:rsidRPr="00524435" w:rsidRDefault="00842401" w:rsidP="00842401">
      <w:pPr>
        <w:rPr>
          <w:rFonts w:ascii="Cambria" w:eastAsia="Cambria" w:hAnsi="Cambria" w:cs="Cambria"/>
          <w:b/>
          <w:bCs/>
          <w:color w:val="000000" w:themeColor="text1"/>
          <w:sz w:val="20"/>
          <w:szCs w:val="20"/>
        </w:rPr>
      </w:pPr>
      <w:r w:rsidRPr="00524435">
        <w:rPr>
          <w:rFonts w:ascii="Cambria" w:eastAsia="Cambria" w:hAnsi="Cambria" w:cs="Cambria"/>
          <w:b/>
          <w:bCs/>
          <w:color w:val="000000" w:themeColor="text1"/>
          <w:sz w:val="20"/>
          <w:szCs w:val="20"/>
        </w:rPr>
        <w:lastRenderedPageBreak/>
        <w:t>Resolution No. 107/21</w:t>
      </w:r>
      <w:r w:rsidRPr="00524435">
        <w:rPr>
          <w:rFonts w:ascii="Cambria" w:hAnsi="Cambria"/>
          <w:b/>
          <w:bCs/>
          <w:sz w:val="20"/>
          <w:szCs w:val="20"/>
        </w:rPr>
        <w:br/>
      </w:r>
      <w:r w:rsidRPr="00524435">
        <w:rPr>
          <w:rFonts w:ascii="Cambria" w:eastAsia="Cambria" w:hAnsi="Cambria" w:cs="Cambria"/>
          <w:b/>
          <w:bCs/>
          <w:color w:val="000000" w:themeColor="text1"/>
          <w:sz w:val="20"/>
          <w:szCs w:val="20"/>
        </w:rPr>
        <w:t>PM 1084-21 - Glenda Carolina Ayala Mejía and her family, Honduras</w:t>
      </w:r>
    </w:p>
    <w:p w14:paraId="65F69A18" w14:textId="77777777" w:rsidR="00842401" w:rsidRPr="00524435" w:rsidRDefault="00842401" w:rsidP="009242CD">
      <w:pPr>
        <w:pStyle w:val="ListParagraph"/>
      </w:pPr>
      <w:r w:rsidRPr="00524435">
        <w:t>On December 28, 2021, the IACHR decided to grant precautionary measures to Glenda Carolina Ayala Mejía, President Commissioner of the National Committee for the Prevention of Torture and Cruel, Inhuman or Degrading Treatment (MNP – CONAPREV), and her family, in Honduras. The request for precautionary measures alleged that she is in a situation presenting a risk in the framework of her work, and particularly in the face of an alleged plan to assassinate her. Upon analyzing the submissions of fact and law provided by the parties, the IACHR considered that, from the applicable prima facie standard, Commissioner Ayala is in a serious and urgent situation presenting a risk of irreparable harm to her rights. Consequently, in accordance with Article 25 of its Rules of Procedure, the IACHR requests that Honduras: a) adopt the necessary measures, with a gender perspective, to protect the rights to life and personal integrity of Glenda Carolina Ayala Mejía and her family; b) adopt the necessary measures so that the proposed beneficiary can carry out her activities as Presiding Commissioner of the National Committee for the Prevention of Torture and Cruel, Inhuman or Degrading Treatment, without being subjected to threats, harassment, and other acts of violence in the exercise of her duties; c) consult and agree upon the measures to be adopted with the beneficiary and her representatives; and d) report on the actions taken to investigate the alleged facts that gave rise to the adoption of this precautionary measure, so as to prevent such events from reoccurring.</w:t>
      </w:r>
    </w:p>
    <w:p w14:paraId="408286F3" w14:textId="77777777" w:rsidR="00842401" w:rsidRPr="00524435" w:rsidRDefault="00842401" w:rsidP="00842401">
      <w:pPr>
        <w:rPr>
          <w:rFonts w:ascii="Cambria" w:eastAsia="Cambria" w:hAnsi="Cambria" w:cs="Cambria"/>
          <w:color w:val="000000" w:themeColor="text1"/>
          <w:sz w:val="20"/>
          <w:szCs w:val="20"/>
        </w:rPr>
      </w:pPr>
      <w:r w:rsidRPr="00524435">
        <w:rPr>
          <w:rFonts w:ascii="Cambria" w:eastAsia="Cambria" w:hAnsi="Cambria" w:cs="Cambria"/>
          <w:b/>
          <w:bCs/>
          <w:color w:val="000000" w:themeColor="text1"/>
          <w:sz w:val="20"/>
          <w:szCs w:val="20"/>
        </w:rPr>
        <w:t>JAMAICA</w:t>
      </w:r>
    </w:p>
    <w:p w14:paraId="4A63EFF7" w14:textId="77777777" w:rsidR="00842401" w:rsidRPr="00524435" w:rsidRDefault="00842401" w:rsidP="00842401">
      <w:pPr>
        <w:rPr>
          <w:rFonts w:ascii="Cambria" w:eastAsia="Cambria" w:hAnsi="Cambria" w:cs="Cambria"/>
          <w:b/>
          <w:bCs/>
          <w:color w:val="000000" w:themeColor="text1"/>
          <w:sz w:val="20"/>
          <w:szCs w:val="20"/>
        </w:rPr>
      </w:pPr>
      <w:r w:rsidRPr="00524435">
        <w:rPr>
          <w:rFonts w:ascii="Cambria" w:eastAsia="Cambria" w:hAnsi="Cambria" w:cs="Cambria"/>
          <w:b/>
          <w:bCs/>
          <w:color w:val="000000" w:themeColor="text1"/>
          <w:sz w:val="20"/>
          <w:szCs w:val="20"/>
        </w:rPr>
        <w:t>Resolution No. 104/21(LIFT)</w:t>
      </w:r>
      <w:r w:rsidRPr="00524435">
        <w:rPr>
          <w:rFonts w:ascii="Cambria" w:hAnsi="Cambria"/>
          <w:b/>
          <w:bCs/>
          <w:sz w:val="20"/>
          <w:szCs w:val="20"/>
        </w:rPr>
        <w:br/>
      </w:r>
      <w:r w:rsidRPr="00524435">
        <w:rPr>
          <w:rFonts w:ascii="Cambria" w:eastAsia="Cambria" w:hAnsi="Cambria" w:cs="Cambria"/>
          <w:b/>
          <w:bCs/>
          <w:color w:val="000000" w:themeColor="text1"/>
          <w:sz w:val="20"/>
          <w:szCs w:val="20"/>
        </w:rPr>
        <w:t>PM 153-11 - X and Z, Jamaica</w:t>
      </w:r>
    </w:p>
    <w:p w14:paraId="650016D0" w14:textId="77777777" w:rsidR="00842401" w:rsidRPr="00524435" w:rsidRDefault="00842401" w:rsidP="009242CD">
      <w:pPr>
        <w:pStyle w:val="ListParagraph"/>
      </w:pPr>
      <w:r w:rsidRPr="00524435">
        <w:t>The Inter-American Commission on Human Rights (IACHR) decides to lift these precautionary measures in favor of X and Y in Jamaica. At the time of making the decision, the Commission analyzed the information provided by the State during the time the precautionary measures were in force, as well as the observations of the beneficiaries’ representation. Following the requests to lift the measures made by the State and given the lack of information provided by the representation, who submitted information for the last time in 2014, the IACHR decided to lift these measures.</w:t>
      </w:r>
    </w:p>
    <w:p w14:paraId="4F780799" w14:textId="77777777" w:rsidR="00842401" w:rsidRPr="00524435" w:rsidRDefault="00842401" w:rsidP="00842401">
      <w:pPr>
        <w:rPr>
          <w:rFonts w:ascii="Cambria" w:eastAsia="Cambria" w:hAnsi="Cambria" w:cs="Cambria"/>
          <w:b/>
          <w:bCs/>
          <w:color w:val="000000" w:themeColor="text1"/>
          <w:sz w:val="20"/>
          <w:szCs w:val="20"/>
        </w:rPr>
      </w:pPr>
      <w:r w:rsidRPr="00524435">
        <w:rPr>
          <w:rFonts w:ascii="Cambria" w:eastAsia="Cambria" w:hAnsi="Cambria" w:cs="Cambria"/>
          <w:b/>
          <w:bCs/>
          <w:color w:val="000000" w:themeColor="text1"/>
          <w:sz w:val="20"/>
          <w:szCs w:val="20"/>
        </w:rPr>
        <w:t>Resolution No. 114/21 (LIFT)</w:t>
      </w:r>
      <w:r w:rsidRPr="00524435">
        <w:rPr>
          <w:rFonts w:ascii="Cambria" w:hAnsi="Cambria"/>
          <w:b/>
          <w:bCs/>
          <w:sz w:val="20"/>
          <w:szCs w:val="20"/>
        </w:rPr>
        <w:br/>
      </w:r>
      <w:r w:rsidRPr="00524435">
        <w:rPr>
          <w:rFonts w:ascii="Cambria" w:eastAsia="Cambria" w:hAnsi="Cambria" w:cs="Cambria"/>
          <w:b/>
          <w:bCs/>
          <w:color w:val="000000" w:themeColor="text1"/>
          <w:sz w:val="20"/>
          <w:szCs w:val="20"/>
        </w:rPr>
        <w:t>PM 137-13 - Girls deprived of liberty in adult detention centers, Jamaica</w:t>
      </w:r>
    </w:p>
    <w:p w14:paraId="01D26DA0" w14:textId="77777777" w:rsidR="00842401" w:rsidRPr="00524435" w:rsidRDefault="00842401" w:rsidP="009242CD">
      <w:pPr>
        <w:pStyle w:val="ListParagraph"/>
      </w:pPr>
      <w:r w:rsidRPr="00524435">
        <w:t>The Inter-American Commission on Human Rights (IACHR) decides to lift these precautionary measures in favor of girls deprived of liberty in adult detention centers. At the time of making the decision, the Commission assessed the actions taken by the State during implementation as well as the observations of the beneficiaries’ representation. Both the State and the representation provided information that allegedly indicates that there are no longer girls in adult detention centers, having been transferred to a juvenile detention center. Following the request made by the State to have the measures lifted, the IACHR repeatedly requested observations from the representation, who responded for the last time in 2014, without answering to the requests for information made in 2017, 2019, and 2021. However, no additional and updated details on their current situation were provided, despite the repeated requests for information made by the IACHR. Upon not identifying compliance with the procedural requirements, the IACHR decided to lift these measures.</w:t>
      </w:r>
    </w:p>
    <w:p w14:paraId="00C44FF9" w14:textId="77777777" w:rsidR="00842401" w:rsidRPr="00524435" w:rsidRDefault="00842401" w:rsidP="00842401">
      <w:pPr>
        <w:pStyle w:val="Body"/>
        <w:jc w:val="both"/>
        <w:rPr>
          <w:rStyle w:val="None"/>
          <w:rFonts w:ascii="Cambria" w:eastAsia="Cambria" w:hAnsi="Cambria" w:cs="Cambria"/>
          <w:b/>
          <w:sz w:val="20"/>
          <w:szCs w:val="20"/>
        </w:rPr>
      </w:pPr>
      <w:r w:rsidRPr="00524435">
        <w:rPr>
          <w:rStyle w:val="None"/>
          <w:rFonts w:ascii="Cambria" w:hAnsi="Cambria"/>
          <w:b/>
          <w:sz w:val="20"/>
          <w:szCs w:val="20"/>
        </w:rPr>
        <w:t>MEXICO</w:t>
      </w:r>
    </w:p>
    <w:p w14:paraId="063CA375" w14:textId="77777777" w:rsidR="00842401" w:rsidRPr="00524435" w:rsidRDefault="00842401" w:rsidP="00842401">
      <w:pPr>
        <w:pStyle w:val="Body"/>
        <w:jc w:val="both"/>
        <w:rPr>
          <w:rStyle w:val="None"/>
          <w:rFonts w:ascii="Cambria" w:eastAsia="Cambria" w:hAnsi="Cambria" w:cs="Cambria"/>
          <w:b/>
          <w:sz w:val="20"/>
          <w:szCs w:val="20"/>
        </w:rPr>
      </w:pPr>
    </w:p>
    <w:p w14:paraId="5F57791E" w14:textId="77777777" w:rsidR="00842401" w:rsidRPr="00524435" w:rsidRDefault="00842401" w:rsidP="00842401">
      <w:pPr>
        <w:pStyle w:val="Body"/>
        <w:rPr>
          <w:rStyle w:val="None"/>
          <w:rFonts w:ascii="Cambria" w:eastAsia="Cambria" w:hAnsi="Cambria" w:cs="Cambria"/>
          <w:b/>
          <w:sz w:val="20"/>
          <w:szCs w:val="20"/>
        </w:rPr>
      </w:pPr>
      <w:r w:rsidRPr="00524435">
        <w:rPr>
          <w:rStyle w:val="None"/>
          <w:rFonts w:ascii="Cambria" w:hAnsi="Cambria"/>
          <w:b/>
          <w:sz w:val="20"/>
          <w:szCs w:val="20"/>
        </w:rPr>
        <w:t>Resolution No. 35/21</w:t>
      </w:r>
      <w:r w:rsidRPr="00524435">
        <w:rPr>
          <w:rStyle w:val="None"/>
          <w:rFonts w:ascii="Cambria" w:hAnsi="Cambria"/>
          <w:b/>
          <w:sz w:val="20"/>
          <w:szCs w:val="20"/>
        </w:rPr>
        <w:br/>
        <w:t xml:space="preserve">MC 284-18 – Indigenous Tzotzil families from 12 communities in the Municipality of </w:t>
      </w:r>
      <w:proofErr w:type="spellStart"/>
      <w:r w:rsidRPr="00524435">
        <w:rPr>
          <w:rStyle w:val="None"/>
          <w:rFonts w:ascii="Cambria" w:hAnsi="Cambria"/>
          <w:b/>
          <w:sz w:val="20"/>
          <w:szCs w:val="20"/>
        </w:rPr>
        <w:t>Aldama</w:t>
      </w:r>
      <w:proofErr w:type="spellEnd"/>
      <w:r w:rsidRPr="00524435">
        <w:rPr>
          <w:rStyle w:val="None"/>
          <w:rFonts w:ascii="Cambria" w:hAnsi="Cambria"/>
          <w:b/>
          <w:sz w:val="20"/>
          <w:szCs w:val="20"/>
        </w:rPr>
        <w:t>, Chiapas, Mexico</w:t>
      </w:r>
    </w:p>
    <w:p w14:paraId="39CE54C3" w14:textId="77777777" w:rsidR="00842401" w:rsidRPr="00524435" w:rsidRDefault="00842401" w:rsidP="00842401">
      <w:pPr>
        <w:pStyle w:val="Body"/>
        <w:jc w:val="both"/>
        <w:rPr>
          <w:rStyle w:val="None"/>
          <w:rFonts w:ascii="Cambria" w:hAnsi="Cambria"/>
          <w:sz w:val="20"/>
          <w:szCs w:val="20"/>
        </w:rPr>
      </w:pPr>
    </w:p>
    <w:p w14:paraId="3B96993A" w14:textId="77777777" w:rsidR="00842401" w:rsidRPr="00524435" w:rsidRDefault="00842401" w:rsidP="009242CD">
      <w:pPr>
        <w:pStyle w:val="ListParagraph"/>
        <w:rPr>
          <w:rStyle w:val="None"/>
          <w:rFonts w:eastAsia="Cambria" w:cs="Cambria"/>
        </w:rPr>
      </w:pPr>
      <w:r w:rsidRPr="00524435">
        <w:rPr>
          <w:rStyle w:val="None"/>
        </w:rPr>
        <w:t xml:space="preserve">On April 23, 2021, the IACHR decided to grant precautionary measures on behalf of the indigenous Tzotzil families living in the following 12 communities: (1) Coco´, (2) </w:t>
      </w:r>
      <w:proofErr w:type="spellStart"/>
      <w:r w:rsidRPr="00524435">
        <w:rPr>
          <w:rStyle w:val="None"/>
        </w:rPr>
        <w:t>Tabac</w:t>
      </w:r>
      <w:proofErr w:type="spellEnd"/>
      <w:r w:rsidRPr="00524435">
        <w:rPr>
          <w:rStyle w:val="None"/>
        </w:rPr>
        <w:t xml:space="preserve">, (3) </w:t>
      </w:r>
      <w:proofErr w:type="spellStart"/>
      <w:r w:rsidRPr="00524435">
        <w:rPr>
          <w:rStyle w:val="None"/>
        </w:rPr>
        <w:t>Xuxch´en</w:t>
      </w:r>
      <w:proofErr w:type="spellEnd"/>
      <w:r w:rsidRPr="00524435">
        <w:rPr>
          <w:rStyle w:val="None"/>
        </w:rPr>
        <w:t xml:space="preserve">, (4) San Pedro </w:t>
      </w:r>
      <w:proofErr w:type="spellStart"/>
      <w:r w:rsidRPr="00524435">
        <w:rPr>
          <w:rStyle w:val="None"/>
        </w:rPr>
        <w:t>Cotzilnam</w:t>
      </w:r>
      <w:proofErr w:type="spellEnd"/>
      <w:r w:rsidRPr="00524435">
        <w:rPr>
          <w:rStyle w:val="None"/>
        </w:rPr>
        <w:t>, (5) </w:t>
      </w:r>
      <w:proofErr w:type="spellStart"/>
      <w:r w:rsidRPr="00524435">
        <w:rPr>
          <w:rStyle w:val="None"/>
        </w:rPr>
        <w:t>Chayomte</w:t>
      </w:r>
      <w:proofErr w:type="spellEnd"/>
      <w:r w:rsidRPr="00524435">
        <w:rPr>
          <w:rStyle w:val="None"/>
        </w:rPr>
        <w:t xml:space="preserve">, (6) </w:t>
      </w:r>
      <w:proofErr w:type="spellStart"/>
      <w:r w:rsidRPr="00524435">
        <w:rPr>
          <w:rStyle w:val="None"/>
        </w:rPr>
        <w:t>Juxtón</w:t>
      </w:r>
      <w:proofErr w:type="spellEnd"/>
      <w:r w:rsidRPr="00524435">
        <w:rPr>
          <w:rStyle w:val="None"/>
        </w:rPr>
        <w:t xml:space="preserve">, (7) </w:t>
      </w:r>
      <w:proofErr w:type="spellStart"/>
      <w:r w:rsidRPr="00524435">
        <w:rPr>
          <w:rStyle w:val="None"/>
        </w:rPr>
        <w:t>Tselejpotobtic</w:t>
      </w:r>
      <w:proofErr w:type="spellEnd"/>
      <w:r w:rsidRPr="00524435">
        <w:rPr>
          <w:rStyle w:val="None"/>
        </w:rPr>
        <w:t xml:space="preserve">, (8) </w:t>
      </w:r>
      <w:proofErr w:type="spellStart"/>
      <w:r w:rsidRPr="00524435">
        <w:rPr>
          <w:rStyle w:val="None"/>
        </w:rPr>
        <w:t>Yetón</w:t>
      </w:r>
      <w:proofErr w:type="spellEnd"/>
      <w:r w:rsidRPr="00524435">
        <w:rPr>
          <w:rStyle w:val="None"/>
        </w:rPr>
        <w:t xml:space="preserve">, (9) </w:t>
      </w:r>
      <w:proofErr w:type="spellStart"/>
      <w:r w:rsidRPr="00524435">
        <w:rPr>
          <w:rStyle w:val="None"/>
        </w:rPr>
        <w:t>Chivit</w:t>
      </w:r>
      <w:proofErr w:type="spellEnd"/>
      <w:r w:rsidRPr="00524435">
        <w:rPr>
          <w:rStyle w:val="None"/>
        </w:rPr>
        <w:t xml:space="preserve">, (10) </w:t>
      </w:r>
      <w:proofErr w:type="spellStart"/>
      <w:r w:rsidRPr="00524435">
        <w:rPr>
          <w:rStyle w:val="None"/>
        </w:rPr>
        <w:t>Sepelton</w:t>
      </w:r>
      <w:proofErr w:type="spellEnd"/>
      <w:r w:rsidRPr="00524435">
        <w:rPr>
          <w:rStyle w:val="None"/>
        </w:rPr>
        <w:t xml:space="preserve">, (11) </w:t>
      </w:r>
      <w:proofErr w:type="spellStart"/>
      <w:r w:rsidRPr="00524435">
        <w:rPr>
          <w:rStyle w:val="None"/>
        </w:rPr>
        <w:lastRenderedPageBreak/>
        <w:t>Yoctontik</w:t>
      </w:r>
      <w:proofErr w:type="spellEnd"/>
      <w:r w:rsidRPr="00524435">
        <w:rPr>
          <w:rStyle w:val="None"/>
        </w:rPr>
        <w:t xml:space="preserve">, and (12) Cabecera </w:t>
      </w:r>
      <w:proofErr w:type="spellStart"/>
      <w:r w:rsidRPr="00524435">
        <w:rPr>
          <w:rStyle w:val="None"/>
        </w:rPr>
        <w:t>Aldama</w:t>
      </w:r>
      <w:proofErr w:type="spellEnd"/>
      <w:r w:rsidRPr="00524435">
        <w:rPr>
          <w:rStyle w:val="None"/>
        </w:rPr>
        <w:t xml:space="preserve"> in the Municipality of </w:t>
      </w:r>
      <w:proofErr w:type="spellStart"/>
      <w:r w:rsidRPr="00524435">
        <w:rPr>
          <w:rStyle w:val="None"/>
        </w:rPr>
        <w:t>Aldama</w:t>
      </w:r>
      <w:proofErr w:type="spellEnd"/>
      <w:r w:rsidRPr="00524435">
        <w:rPr>
          <w:rStyle w:val="None"/>
        </w:rPr>
        <w:t xml:space="preserve">, Chiapas, in Mexico. The IACHR reviewed the action taken by the State to address the alleged situation. However, after reviewing the matter, the Commission reported that the armed aggression had persisted, even despite a Non-aggression Pact. The Commission also reviewed the opinions of the National Human Rights Commission, which, on several occasions had urged the State to guarantee the rights of the area’s residents. Therefore, pursuant to Article 25 of the IACHR Rules of Procedure, the Commission requested the State of Mexico to: a) adopt the necessary and culturally relevant security measures to protect the beneficiaries lives and personal integrity – In particular, the measures necessary to guarantee their security in their communities and during their movements, to prevent threats, harassment, intimidation, and armed violence against them by third parties.; b) reach an agreement with the beneficiaries and their representatives on the measures to adopt; and c) report on the action taken to investigate the events that had led to the granting of this precautionary measure and thus, avoid their repetition. </w:t>
      </w:r>
    </w:p>
    <w:p w14:paraId="1B811E7D" w14:textId="77777777" w:rsidR="00842401" w:rsidRPr="00DF0CD0" w:rsidRDefault="00842401" w:rsidP="002645C5">
      <w:pPr>
        <w:spacing w:after="240" w:line="240" w:lineRule="auto"/>
        <w:rPr>
          <w:rFonts w:ascii="Cambria" w:eastAsia="Cambria" w:hAnsi="Cambria" w:cs="Cambria"/>
          <w:b/>
          <w:bCs/>
          <w:color w:val="000000" w:themeColor="text1"/>
          <w:sz w:val="20"/>
          <w:szCs w:val="20"/>
          <w:lang w:val="es-US"/>
        </w:rPr>
      </w:pPr>
      <w:proofErr w:type="spellStart"/>
      <w:r w:rsidRPr="00DF0CD0">
        <w:rPr>
          <w:rFonts w:ascii="Cambria" w:eastAsia="Cambria" w:hAnsi="Cambria" w:cs="Cambria"/>
          <w:b/>
          <w:bCs/>
          <w:color w:val="000000" w:themeColor="text1"/>
          <w:sz w:val="20"/>
          <w:szCs w:val="20"/>
          <w:lang w:val="es-US"/>
        </w:rPr>
        <w:t>Resolution</w:t>
      </w:r>
      <w:proofErr w:type="spellEnd"/>
      <w:r w:rsidRPr="00DF0CD0">
        <w:rPr>
          <w:rFonts w:ascii="Cambria" w:eastAsia="Cambria" w:hAnsi="Cambria" w:cs="Cambria"/>
          <w:b/>
          <w:bCs/>
          <w:color w:val="000000" w:themeColor="text1"/>
          <w:sz w:val="20"/>
          <w:szCs w:val="20"/>
          <w:lang w:val="es-US"/>
        </w:rPr>
        <w:t xml:space="preserve"> No. 89/21 (LIFT)</w:t>
      </w:r>
      <w:r w:rsidRPr="00DF0CD0">
        <w:rPr>
          <w:rFonts w:ascii="Cambria" w:hAnsi="Cambria"/>
          <w:b/>
          <w:bCs/>
          <w:sz w:val="20"/>
          <w:szCs w:val="20"/>
          <w:lang w:val="es-US"/>
        </w:rPr>
        <w:br/>
      </w:r>
      <w:r w:rsidRPr="00DF0CD0">
        <w:rPr>
          <w:rFonts w:ascii="Cambria" w:eastAsia="Cambria" w:hAnsi="Cambria" w:cs="Cambria"/>
          <w:b/>
          <w:bCs/>
          <w:color w:val="000000" w:themeColor="text1"/>
          <w:sz w:val="20"/>
          <w:szCs w:val="20"/>
          <w:lang w:val="es-US"/>
        </w:rPr>
        <w:t xml:space="preserve">PM 485-11 - “X”, </w:t>
      </w:r>
      <w:proofErr w:type="spellStart"/>
      <w:r w:rsidRPr="00DF0CD0">
        <w:rPr>
          <w:rFonts w:ascii="Cambria" w:eastAsia="Cambria" w:hAnsi="Cambria" w:cs="Cambria"/>
          <w:b/>
          <w:bCs/>
          <w:color w:val="000000" w:themeColor="text1"/>
          <w:sz w:val="20"/>
          <w:szCs w:val="20"/>
          <w:lang w:val="es-US"/>
        </w:rPr>
        <w:t>Mexico</w:t>
      </w:r>
      <w:proofErr w:type="spellEnd"/>
    </w:p>
    <w:p w14:paraId="6F62C3E4" w14:textId="77777777" w:rsidR="00842401" w:rsidRPr="00524435" w:rsidRDefault="00842401" w:rsidP="009242CD">
      <w:pPr>
        <w:pStyle w:val="ListParagraph"/>
      </w:pPr>
      <w:r w:rsidRPr="00524435">
        <w:t xml:space="preserve">The Inter-American Commission on Human Rights (IACHR) decides to lift these precautionary measures in favor of “X” regarding the State of Mexico. When adopting this decision, the Commission </w:t>
      </w:r>
      <w:proofErr w:type="gramStart"/>
      <w:r w:rsidRPr="00524435">
        <w:t>takes into account</w:t>
      </w:r>
      <w:proofErr w:type="gramEnd"/>
      <w:r w:rsidRPr="00524435">
        <w:t xml:space="preserve"> that the State carried out an investigation into the disappearance of “X,” as a result of which it determined that “X” had never been missing. The representation continued to question what was reported by the State; however, the Commission did not identify sufficient elements to disprove what was indicated by the State. In any event, given that approximately 10 years have elapsed since the purported disappearance, the Commission considered that the allegations concerning the analysis of the actions undertaken in the investigation should be assessed in the petition and case system.</w:t>
      </w:r>
    </w:p>
    <w:p w14:paraId="3B01EF4D" w14:textId="77777777" w:rsidR="00842401" w:rsidRPr="00E42B49" w:rsidRDefault="00842401" w:rsidP="002645C5">
      <w:pPr>
        <w:spacing w:after="240" w:line="240" w:lineRule="auto"/>
        <w:rPr>
          <w:rFonts w:ascii="Cambria" w:eastAsia="Cambria" w:hAnsi="Cambria" w:cs="Cambria"/>
          <w:b/>
          <w:bCs/>
          <w:color w:val="000000" w:themeColor="text1"/>
          <w:sz w:val="20"/>
          <w:szCs w:val="20"/>
          <w:lang w:val="es-US"/>
        </w:rPr>
      </w:pPr>
      <w:proofErr w:type="spellStart"/>
      <w:r w:rsidRPr="00E42B49">
        <w:rPr>
          <w:rFonts w:ascii="Cambria" w:eastAsia="Cambria" w:hAnsi="Cambria" w:cs="Cambria"/>
          <w:b/>
          <w:bCs/>
          <w:color w:val="000000" w:themeColor="text1"/>
          <w:sz w:val="20"/>
          <w:szCs w:val="20"/>
          <w:lang w:val="es-US"/>
        </w:rPr>
        <w:t>Resolution</w:t>
      </w:r>
      <w:proofErr w:type="spellEnd"/>
      <w:r w:rsidRPr="00E42B49">
        <w:rPr>
          <w:rFonts w:ascii="Cambria" w:eastAsia="Cambria" w:hAnsi="Cambria" w:cs="Cambria"/>
          <w:b/>
          <w:bCs/>
          <w:color w:val="000000" w:themeColor="text1"/>
          <w:sz w:val="20"/>
          <w:szCs w:val="20"/>
          <w:lang w:val="es-US"/>
        </w:rPr>
        <w:t xml:space="preserve"> No. 91/21(LIFT)</w:t>
      </w:r>
      <w:r w:rsidRPr="00E42B49">
        <w:rPr>
          <w:rFonts w:ascii="Cambria" w:hAnsi="Cambria"/>
          <w:b/>
          <w:bCs/>
          <w:sz w:val="20"/>
          <w:szCs w:val="20"/>
          <w:lang w:val="es-US"/>
        </w:rPr>
        <w:br/>
      </w:r>
      <w:r w:rsidRPr="00E42B49">
        <w:rPr>
          <w:rFonts w:ascii="Cambria" w:eastAsia="Cambria" w:hAnsi="Cambria" w:cs="Cambria"/>
          <w:b/>
          <w:bCs/>
          <w:color w:val="000000" w:themeColor="text1"/>
          <w:sz w:val="20"/>
          <w:szCs w:val="20"/>
          <w:lang w:val="es-US"/>
        </w:rPr>
        <w:t xml:space="preserve">PM 1016-04 - Armando Díaz López et al., </w:t>
      </w:r>
      <w:proofErr w:type="spellStart"/>
      <w:r w:rsidRPr="00E42B49">
        <w:rPr>
          <w:rFonts w:ascii="Cambria" w:eastAsia="Cambria" w:hAnsi="Cambria" w:cs="Cambria"/>
          <w:b/>
          <w:bCs/>
          <w:color w:val="000000" w:themeColor="text1"/>
          <w:sz w:val="20"/>
          <w:szCs w:val="20"/>
          <w:lang w:val="es-US"/>
        </w:rPr>
        <w:t>Mexico</w:t>
      </w:r>
      <w:proofErr w:type="spellEnd"/>
    </w:p>
    <w:p w14:paraId="211F845D" w14:textId="77777777" w:rsidR="00842401" w:rsidRPr="00524435" w:rsidRDefault="00842401" w:rsidP="009242CD">
      <w:pPr>
        <w:pStyle w:val="ListParagraph"/>
      </w:pPr>
      <w:r w:rsidRPr="00524435">
        <w:t xml:space="preserve">The Inter-American Commission on Human Rights (IACHR) decides to lift these precautionary measures in favor of Armando Díaz López and the members of his family -Micaela Torres Gutiérrez, María Consuelo Díaz Torres, Magdalena Díaz Torres, and José Armando Díaz Torres-, as well as in favor of Reynaldo Gómez Martínez, Mario Torres, Ricardo Martínez </w:t>
      </w:r>
      <w:proofErr w:type="spellStart"/>
      <w:r w:rsidRPr="00524435">
        <w:t>Martínez</w:t>
      </w:r>
      <w:proofErr w:type="spellEnd"/>
      <w:r w:rsidRPr="00524435">
        <w:t xml:space="preserve">, Mariano Sánchez Montejo, and Gilberto Jiménez López, members of the </w:t>
      </w:r>
      <w:proofErr w:type="spellStart"/>
      <w:r w:rsidRPr="00524435">
        <w:t>Kichán</w:t>
      </w:r>
      <w:proofErr w:type="spellEnd"/>
      <w:r w:rsidRPr="00524435">
        <w:t xml:space="preserve"> </w:t>
      </w:r>
      <w:proofErr w:type="spellStart"/>
      <w:r w:rsidRPr="00524435">
        <w:t>Kichañob</w:t>
      </w:r>
      <w:proofErr w:type="spellEnd"/>
      <w:r w:rsidRPr="00524435">
        <w:t xml:space="preserve"> organization from the state of Chiapas. At the time of making the decision, the Commission evaluated the actions taken by the State during implementation as well as the observations of the beneficiaries’ representation. Following the request to lift filed by the State, the IACHR repeatedly requested observations from the representation, who responded for the last time in 2017, without responding to the requests for information made in 2020 and 2021. Upon not identifying compliance with the procedural requirements, the IACHR decided to lift these measures.</w:t>
      </w:r>
    </w:p>
    <w:p w14:paraId="51259CF4" w14:textId="77777777" w:rsidR="00842401" w:rsidRPr="00524435" w:rsidRDefault="00842401" w:rsidP="002645C5">
      <w:pPr>
        <w:spacing w:after="240" w:line="240" w:lineRule="auto"/>
        <w:rPr>
          <w:rFonts w:ascii="Cambria" w:eastAsia="Cambria" w:hAnsi="Cambria" w:cs="Cambria"/>
          <w:b/>
          <w:bCs/>
          <w:color w:val="000000" w:themeColor="text1"/>
          <w:sz w:val="20"/>
          <w:szCs w:val="20"/>
        </w:rPr>
      </w:pPr>
      <w:r w:rsidRPr="00524435">
        <w:rPr>
          <w:rFonts w:ascii="Cambria" w:eastAsia="Cambria" w:hAnsi="Cambria" w:cs="Cambria"/>
          <w:b/>
          <w:bCs/>
          <w:color w:val="000000" w:themeColor="text1"/>
          <w:sz w:val="20"/>
          <w:szCs w:val="20"/>
        </w:rPr>
        <w:t>Resolution No. 93/21</w:t>
      </w:r>
      <w:r w:rsidRPr="00524435">
        <w:rPr>
          <w:rFonts w:ascii="Cambria" w:hAnsi="Cambria"/>
          <w:b/>
          <w:bCs/>
          <w:sz w:val="20"/>
          <w:szCs w:val="20"/>
        </w:rPr>
        <w:br/>
      </w:r>
      <w:r w:rsidRPr="00524435">
        <w:rPr>
          <w:rFonts w:ascii="Cambria" w:eastAsia="Cambria" w:hAnsi="Cambria" w:cs="Cambria"/>
          <w:b/>
          <w:bCs/>
          <w:color w:val="000000" w:themeColor="text1"/>
          <w:sz w:val="20"/>
          <w:szCs w:val="20"/>
        </w:rPr>
        <w:t xml:space="preserve">PM 990-21 - Vicente Iván </w:t>
      </w:r>
      <w:proofErr w:type="spellStart"/>
      <w:r w:rsidRPr="00524435">
        <w:rPr>
          <w:rFonts w:ascii="Cambria" w:eastAsia="Cambria" w:hAnsi="Cambria" w:cs="Cambria"/>
          <w:b/>
          <w:bCs/>
          <w:color w:val="000000" w:themeColor="text1"/>
          <w:sz w:val="20"/>
          <w:szCs w:val="20"/>
        </w:rPr>
        <w:t>Suástegui</w:t>
      </w:r>
      <w:proofErr w:type="spellEnd"/>
      <w:r w:rsidRPr="00524435">
        <w:rPr>
          <w:rFonts w:ascii="Cambria" w:eastAsia="Cambria" w:hAnsi="Cambria" w:cs="Cambria"/>
          <w:b/>
          <w:bCs/>
          <w:color w:val="000000" w:themeColor="text1"/>
          <w:sz w:val="20"/>
          <w:szCs w:val="20"/>
        </w:rPr>
        <w:t xml:space="preserve"> Muñoz and family, Mexico</w:t>
      </w:r>
    </w:p>
    <w:p w14:paraId="33E9372C" w14:textId="77777777" w:rsidR="00842401" w:rsidRPr="00524435" w:rsidRDefault="00842401" w:rsidP="009242CD">
      <w:pPr>
        <w:pStyle w:val="ListParagraph"/>
      </w:pPr>
      <w:r w:rsidRPr="00524435">
        <w:t xml:space="preserve">On October 27, 2021, the Inter-American Commission on Human Rights ("the Inter-American Commission", “the Commission” or “the IACHR”) received a request for precautionary measures filed by the civil association </w:t>
      </w:r>
      <w:proofErr w:type="spellStart"/>
      <w:r w:rsidRPr="00524435">
        <w:t>Tlachinollan</w:t>
      </w:r>
      <w:proofErr w:type="spellEnd"/>
      <w:r w:rsidRPr="00524435">
        <w:t xml:space="preserve"> Mountain Human Rights Center (Centro de Derechos Humanos de la Montaña “</w:t>
      </w:r>
      <w:proofErr w:type="spellStart"/>
      <w:r w:rsidRPr="00524435">
        <w:t>Tlachinollan</w:t>
      </w:r>
      <w:proofErr w:type="spellEnd"/>
      <w:r w:rsidRPr="00524435">
        <w:t xml:space="preserve">” A.C.), Robert F. Kennedy Human Rights, and </w:t>
      </w:r>
      <w:proofErr w:type="spellStart"/>
      <w:r w:rsidRPr="00524435">
        <w:t>Vidulfo</w:t>
      </w:r>
      <w:proofErr w:type="spellEnd"/>
      <w:r w:rsidRPr="00524435">
        <w:t xml:space="preserve"> Rosales Sierra (“the applicants”), urging the Commission to require that the Republic of Mexico (“the State” or “Mexico”) adopt the necessary measures to protect the rights to life and personal integrity of Vicente Iván </w:t>
      </w:r>
      <w:proofErr w:type="spellStart"/>
      <w:r w:rsidRPr="00524435">
        <w:t>Suástegui</w:t>
      </w:r>
      <w:proofErr w:type="spellEnd"/>
      <w:r w:rsidRPr="00524435">
        <w:t xml:space="preserve"> Muñoz and his next of kin (“the proposed beneficiaries”). According to the applicants, the proposed beneficiary is a human rights defender and he disappeared on August 5, 2021, and his whereabouts are unknown to date. The applicants also requested protection measures in favor of “any member of the Council of Ejidos and Communities Opposed to the La </w:t>
      </w:r>
      <w:proofErr w:type="spellStart"/>
      <w:r w:rsidRPr="00524435">
        <w:t>Parota</w:t>
      </w:r>
      <w:proofErr w:type="spellEnd"/>
      <w:r w:rsidRPr="00524435">
        <w:t xml:space="preserve"> Dam (CECOP).”</w:t>
      </w:r>
    </w:p>
    <w:p w14:paraId="14F65752" w14:textId="77777777" w:rsidR="00842401" w:rsidRPr="00524435" w:rsidRDefault="00842401" w:rsidP="002645C5">
      <w:pPr>
        <w:spacing w:after="240" w:line="240" w:lineRule="auto"/>
        <w:rPr>
          <w:rFonts w:ascii="Cambria" w:eastAsia="Cambria" w:hAnsi="Cambria" w:cs="Cambria"/>
          <w:b/>
          <w:bCs/>
          <w:color w:val="000000" w:themeColor="text1"/>
          <w:sz w:val="20"/>
          <w:szCs w:val="20"/>
        </w:rPr>
      </w:pPr>
      <w:r w:rsidRPr="00524435">
        <w:rPr>
          <w:rFonts w:ascii="Cambria" w:eastAsia="Cambria" w:hAnsi="Cambria" w:cs="Cambria"/>
          <w:b/>
          <w:bCs/>
          <w:color w:val="000000" w:themeColor="text1"/>
          <w:sz w:val="20"/>
          <w:szCs w:val="20"/>
        </w:rPr>
        <w:lastRenderedPageBreak/>
        <w:t>Resolution No. 102/21(FOLLOW-UP)</w:t>
      </w:r>
      <w:r w:rsidRPr="00524435">
        <w:rPr>
          <w:rFonts w:ascii="Cambria" w:hAnsi="Cambria"/>
          <w:b/>
          <w:bCs/>
          <w:sz w:val="20"/>
          <w:szCs w:val="20"/>
        </w:rPr>
        <w:br/>
      </w:r>
      <w:r w:rsidRPr="00524435">
        <w:rPr>
          <w:rFonts w:ascii="Cambria" w:eastAsia="Cambria" w:hAnsi="Cambria" w:cs="Cambria"/>
          <w:b/>
          <w:bCs/>
          <w:color w:val="000000" w:themeColor="text1"/>
          <w:sz w:val="20"/>
          <w:szCs w:val="20"/>
        </w:rPr>
        <w:t xml:space="preserve">PM 882-17, 284-18 - </w:t>
      </w:r>
      <w:proofErr w:type="spellStart"/>
      <w:r w:rsidRPr="00524435">
        <w:rPr>
          <w:rFonts w:ascii="Cambria" w:eastAsia="Cambria" w:hAnsi="Cambria" w:cs="Cambria"/>
          <w:b/>
          <w:bCs/>
          <w:color w:val="000000" w:themeColor="text1"/>
          <w:sz w:val="20"/>
          <w:szCs w:val="20"/>
        </w:rPr>
        <w:t>Tsotsil</w:t>
      </w:r>
      <w:proofErr w:type="spellEnd"/>
      <w:r w:rsidRPr="00524435">
        <w:rPr>
          <w:rFonts w:ascii="Cambria" w:eastAsia="Cambria" w:hAnsi="Cambria" w:cs="Cambria"/>
          <w:b/>
          <w:bCs/>
          <w:color w:val="000000" w:themeColor="text1"/>
          <w:sz w:val="20"/>
          <w:szCs w:val="20"/>
        </w:rPr>
        <w:t xml:space="preserve"> families from twenty-two communities identified in the </w:t>
      </w:r>
      <w:proofErr w:type="spellStart"/>
      <w:r w:rsidRPr="00524435">
        <w:rPr>
          <w:rFonts w:ascii="Cambria" w:eastAsia="Cambria" w:hAnsi="Cambria" w:cs="Cambria"/>
          <w:b/>
          <w:bCs/>
          <w:color w:val="000000" w:themeColor="text1"/>
          <w:sz w:val="20"/>
          <w:szCs w:val="20"/>
        </w:rPr>
        <w:t>Chalchihuitán</w:t>
      </w:r>
      <w:proofErr w:type="spellEnd"/>
      <w:r w:rsidRPr="00524435">
        <w:rPr>
          <w:rFonts w:ascii="Cambria" w:eastAsia="Cambria" w:hAnsi="Cambria" w:cs="Cambria"/>
          <w:b/>
          <w:bCs/>
          <w:color w:val="000000" w:themeColor="text1"/>
          <w:sz w:val="20"/>
          <w:szCs w:val="20"/>
        </w:rPr>
        <w:t xml:space="preserve">, </w:t>
      </w:r>
      <w:proofErr w:type="spellStart"/>
      <w:r w:rsidRPr="00524435">
        <w:rPr>
          <w:rFonts w:ascii="Cambria" w:eastAsia="Cambria" w:hAnsi="Cambria" w:cs="Cambria"/>
          <w:b/>
          <w:bCs/>
          <w:color w:val="000000" w:themeColor="text1"/>
          <w:sz w:val="20"/>
          <w:szCs w:val="20"/>
        </w:rPr>
        <w:t>Chenalhó</w:t>
      </w:r>
      <w:proofErr w:type="spellEnd"/>
      <w:r w:rsidRPr="00524435">
        <w:rPr>
          <w:rFonts w:ascii="Cambria" w:eastAsia="Cambria" w:hAnsi="Cambria" w:cs="Cambria"/>
          <w:b/>
          <w:bCs/>
          <w:color w:val="000000" w:themeColor="text1"/>
          <w:sz w:val="20"/>
          <w:szCs w:val="20"/>
        </w:rPr>
        <w:t xml:space="preserve"> and </w:t>
      </w:r>
      <w:proofErr w:type="spellStart"/>
      <w:r w:rsidRPr="00524435">
        <w:rPr>
          <w:rFonts w:ascii="Cambria" w:eastAsia="Cambria" w:hAnsi="Cambria" w:cs="Cambria"/>
          <w:b/>
          <w:bCs/>
          <w:color w:val="000000" w:themeColor="text1"/>
          <w:sz w:val="20"/>
          <w:szCs w:val="20"/>
        </w:rPr>
        <w:t>Aldama</w:t>
      </w:r>
      <w:proofErr w:type="spellEnd"/>
      <w:r w:rsidRPr="00524435">
        <w:rPr>
          <w:rFonts w:ascii="Cambria" w:eastAsia="Cambria" w:hAnsi="Cambria" w:cs="Cambria"/>
          <w:b/>
          <w:bCs/>
          <w:color w:val="000000" w:themeColor="text1"/>
          <w:sz w:val="20"/>
          <w:szCs w:val="20"/>
        </w:rPr>
        <w:t xml:space="preserve"> municipalities in the state of Chiapas, Mexico</w:t>
      </w:r>
    </w:p>
    <w:p w14:paraId="69240EEB" w14:textId="77777777" w:rsidR="00842401" w:rsidRPr="00524435" w:rsidRDefault="00842401" w:rsidP="009242CD">
      <w:pPr>
        <w:pStyle w:val="ListParagraph"/>
      </w:pPr>
      <w:r w:rsidRPr="00524435">
        <w:t>The Inter-American Commission on Human Rights (IACHR) decides to issue this resolution on the follow-up of precautionary measures under the terms of Article 25 of its Rules of Procedure. The Commission appreciates the actions taken by the State throughout the time the precautionary measures have been in force. However, it considers that, in view of the information available and evaluated as a whole, the measures already adopted should be strengthened, considering that the risk factors remain in the terms of Article 25 of the Rules of Procedure. The Commission also requests the State’s consent to visit the area.</w:t>
      </w:r>
    </w:p>
    <w:p w14:paraId="275D4987" w14:textId="77777777" w:rsidR="00842401" w:rsidRPr="00524435" w:rsidRDefault="00842401" w:rsidP="002645C5">
      <w:pPr>
        <w:spacing w:after="240" w:line="240" w:lineRule="auto"/>
        <w:rPr>
          <w:rFonts w:ascii="Cambria" w:eastAsia="Cambria" w:hAnsi="Cambria" w:cs="Cambria"/>
          <w:b/>
          <w:bCs/>
          <w:color w:val="000000" w:themeColor="text1"/>
          <w:sz w:val="20"/>
          <w:szCs w:val="20"/>
        </w:rPr>
      </w:pPr>
      <w:r w:rsidRPr="00524435">
        <w:rPr>
          <w:rFonts w:ascii="Cambria" w:eastAsia="Cambria" w:hAnsi="Cambria" w:cs="Cambria"/>
          <w:b/>
          <w:bCs/>
          <w:color w:val="000000" w:themeColor="text1"/>
          <w:sz w:val="20"/>
          <w:szCs w:val="20"/>
        </w:rPr>
        <w:t>Resolution No. 105/21</w:t>
      </w:r>
      <w:r w:rsidRPr="00524435">
        <w:rPr>
          <w:rFonts w:ascii="Cambria" w:hAnsi="Cambria"/>
          <w:b/>
          <w:bCs/>
          <w:sz w:val="20"/>
          <w:szCs w:val="20"/>
        </w:rPr>
        <w:br/>
      </w:r>
      <w:r w:rsidRPr="00524435">
        <w:rPr>
          <w:rFonts w:ascii="Cambria" w:eastAsia="Cambria" w:hAnsi="Cambria" w:cs="Cambria"/>
          <w:b/>
          <w:bCs/>
          <w:color w:val="000000" w:themeColor="text1"/>
          <w:sz w:val="20"/>
          <w:szCs w:val="20"/>
        </w:rPr>
        <w:t xml:space="preserve">PM 1050-21 - Families from the </w:t>
      </w:r>
      <w:proofErr w:type="spellStart"/>
      <w:r w:rsidRPr="00524435">
        <w:rPr>
          <w:rFonts w:ascii="Cambria" w:eastAsia="Cambria" w:hAnsi="Cambria" w:cs="Cambria"/>
          <w:b/>
          <w:bCs/>
          <w:color w:val="000000" w:themeColor="text1"/>
          <w:sz w:val="20"/>
          <w:szCs w:val="20"/>
        </w:rPr>
        <w:t>Mixteca</w:t>
      </w:r>
      <w:proofErr w:type="spellEnd"/>
      <w:r w:rsidRPr="00524435">
        <w:rPr>
          <w:rFonts w:ascii="Cambria" w:eastAsia="Cambria" w:hAnsi="Cambria" w:cs="Cambria"/>
          <w:b/>
          <w:bCs/>
          <w:color w:val="000000" w:themeColor="text1"/>
          <w:sz w:val="20"/>
          <w:szCs w:val="20"/>
        </w:rPr>
        <w:t xml:space="preserve"> indigenous communities of Guerrero Grande and </w:t>
      </w:r>
      <w:proofErr w:type="spellStart"/>
      <w:r w:rsidRPr="00524435">
        <w:rPr>
          <w:rFonts w:ascii="Cambria" w:eastAsia="Cambria" w:hAnsi="Cambria" w:cs="Cambria"/>
          <w:b/>
          <w:bCs/>
          <w:color w:val="000000" w:themeColor="text1"/>
          <w:sz w:val="20"/>
          <w:szCs w:val="20"/>
        </w:rPr>
        <w:t>Ndoyonuyuji</w:t>
      </w:r>
      <w:proofErr w:type="spellEnd"/>
      <w:r w:rsidRPr="00524435">
        <w:rPr>
          <w:rFonts w:ascii="Cambria" w:eastAsia="Cambria" w:hAnsi="Cambria" w:cs="Cambria"/>
          <w:b/>
          <w:bCs/>
          <w:color w:val="000000" w:themeColor="text1"/>
          <w:sz w:val="20"/>
          <w:szCs w:val="20"/>
        </w:rPr>
        <w:t>, et al., Mexico</w:t>
      </w:r>
    </w:p>
    <w:p w14:paraId="1D2EA633" w14:textId="77777777" w:rsidR="00842401" w:rsidRPr="00524435" w:rsidRDefault="00842401" w:rsidP="009242CD">
      <w:pPr>
        <w:pStyle w:val="ListParagraph"/>
      </w:pPr>
      <w:r w:rsidRPr="00524435">
        <w:t xml:space="preserve">On November 18, 2021, the Inter-American Commission on Human Rights (“the Inter-American Commission,” “the Commission” or “the IACHR”) received a request for precautionary measures filed by the Center for Human Rights and Advice to Indigenous Peoples A.C. (CEDHAPI A.C.), Edith Quiroz Reyes,2 Carmelita García López,3 </w:t>
      </w:r>
      <w:proofErr w:type="spellStart"/>
      <w:r w:rsidRPr="00524435">
        <w:t>Jerónima</w:t>
      </w:r>
      <w:proofErr w:type="spellEnd"/>
      <w:r w:rsidRPr="00524435">
        <w:t xml:space="preserve"> </w:t>
      </w:r>
      <w:proofErr w:type="spellStart"/>
      <w:r w:rsidRPr="00524435">
        <w:t>Emiliana</w:t>
      </w:r>
      <w:proofErr w:type="spellEnd"/>
      <w:r w:rsidRPr="00524435">
        <w:t xml:space="preserve"> Avendaño,4 Cielo Alvarado Bautista,5 </w:t>
      </w:r>
      <w:proofErr w:type="spellStart"/>
      <w:r w:rsidRPr="00524435">
        <w:t>Ranulfo</w:t>
      </w:r>
      <w:proofErr w:type="spellEnd"/>
      <w:r w:rsidRPr="00524435">
        <w:t xml:space="preserve"> Hernández Bautista,6 and Reyna García Barrios7 (“the applicants”), urging the Commission to require that the State of Mexico (“the State” or “Mexico”) adopt the necessary measures to protect the rights to life and personal integrity of five disappeared persons and of the displaced families from the </w:t>
      </w:r>
      <w:proofErr w:type="spellStart"/>
      <w:r w:rsidRPr="00524435">
        <w:t>Mixteca</w:t>
      </w:r>
      <w:proofErr w:type="spellEnd"/>
      <w:r w:rsidRPr="00524435">
        <w:t xml:space="preserve"> indigenous communities of Guerrero Grande and Ndoyonoyuji.8 According to the applicants, the persons proposed as beneficiaries are at risk following a series of acts of violence and armed attacks in the State of Oaxaca, during October 2021.</w:t>
      </w:r>
    </w:p>
    <w:p w14:paraId="21AAAC86" w14:textId="77777777" w:rsidR="00842401" w:rsidRPr="00DF0CD0" w:rsidRDefault="00842401" w:rsidP="00842401">
      <w:pPr>
        <w:pStyle w:val="Body"/>
        <w:jc w:val="both"/>
        <w:rPr>
          <w:rStyle w:val="None"/>
          <w:rFonts w:ascii="Cambria" w:eastAsia="Cambria" w:hAnsi="Cambria" w:cs="Cambria"/>
          <w:b/>
          <w:sz w:val="20"/>
          <w:szCs w:val="20"/>
          <w:lang w:val="pt-BR"/>
        </w:rPr>
      </w:pPr>
      <w:r w:rsidRPr="00DF0CD0">
        <w:rPr>
          <w:rStyle w:val="None"/>
          <w:rFonts w:ascii="Cambria" w:hAnsi="Cambria"/>
          <w:b/>
          <w:sz w:val="20"/>
          <w:szCs w:val="20"/>
          <w:lang w:val="pt-BR"/>
        </w:rPr>
        <w:t xml:space="preserve">NICARAGUA </w:t>
      </w:r>
    </w:p>
    <w:p w14:paraId="2BA95AC9" w14:textId="77777777" w:rsidR="00842401" w:rsidRPr="00DF0CD0" w:rsidRDefault="00842401" w:rsidP="00842401">
      <w:pPr>
        <w:pStyle w:val="Body"/>
        <w:jc w:val="both"/>
        <w:rPr>
          <w:rStyle w:val="None"/>
          <w:rFonts w:ascii="Cambria" w:eastAsia="Cambria" w:hAnsi="Cambria" w:cs="Cambria"/>
          <w:b/>
          <w:bCs/>
          <w:sz w:val="20"/>
          <w:szCs w:val="20"/>
          <w:lang w:val="pt-BR"/>
        </w:rPr>
      </w:pPr>
    </w:p>
    <w:p w14:paraId="1B0C9D26" w14:textId="77777777" w:rsidR="00842401" w:rsidRPr="00DF0CD0" w:rsidRDefault="00842401" w:rsidP="00842401">
      <w:pPr>
        <w:pStyle w:val="Body"/>
        <w:rPr>
          <w:rStyle w:val="None"/>
          <w:rFonts w:ascii="Cambria" w:eastAsia="Cambria" w:hAnsi="Cambria" w:cs="Cambria"/>
          <w:b/>
          <w:bCs/>
          <w:sz w:val="20"/>
          <w:szCs w:val="20"/>
          <w:lang w:val="pt-BR"/>
        </w:rPr>
      </w:pPr>
      <w:r w:rsidRPr="00DF0CD0">
        <w:rPr>
          <w:rStyle w:val="None"/>
          <w:rFonts w:ascii="Cambria" w:hAnsi="Cambria"/>
          <w:b/>
          <w:bCs/>
          <w:sz w:val="20"/>
          <w:szCs w:val="20"/>
          <w:lang w:val="pt-BR"/>
        </w:rPr>
        <w:t>Resolution No. 3/21</w:t>
      </w:r>
      <w:r w:rsidRPr="00DF0CD0">
        <w:rPr>
          <w:rStyle w:val="None"/>
          <w:rFonts w:ascii="Cambria" w:hAnsi="Cambria"/>
          <w:b/>
          <w:bCs/>
          <w:sz w:val="20"/>
          <w:szCs w:val="20"/>
          <w:lang w:val="pt-BR"/>
        </w:rPr>
        <w:br/>
        <w:t>MC 968-20 - Mariano Valle Peters, Nicaragua</w:t>
      </w:r>
    </w:p>
    <w:p w14:paraId="4DF58343" w14:textId="77777777" w:rsidR="00842401" w:rsidRPr="00DF0CD0" w:rsidRDefault="00842401" w:rsidP="00842401">
      <w:pPr>
        <w:pStyle w:val="Body"/>
        <w:jc w:val="both"/>
        <w:rPr>
          <w:rStyle w:val="None"/>
          <w:rFonts w:ascii="Cambria" w:hAnsi="Cambria"/>
          <w:sz w:val="20"/>
          <w:szCs w:val="20"/>
          <w:lang w:val="pt-BR"/>
        </w:rPr>
      </w:pPr>
    </w:p>
    <w:p w14:paraId="5EB96D9E" w14:textId="77777777" w:rsidR="00842401" w:rsidRPr="00524435" w:rsidRDefault="00842401" w:rsidP="009242CD">
      <w:pPr>
        <w:pStyle w:val="ListParagraph"/>
        <w:rPr>
          <w:rStyle w:val="None"/>
          <w:rFonts w:eastAsia="Cambria" w:cs="Cambria"/>
        </w:rPr>
      </w:pPr>
      <w:r w:rsidRPr="00524435">
        <w:rPr>
          <w:rStyle w:val="None"/>
        </w:rPr>
        <w:t xml:space="preserve">On January 8, 2021, the IACHR decided to grant precautionary measures on behalf of Mariano Valle Peters, finding that his right to freedom of expression was at serious and urgent risk of irreparable harm in Nicaragua. On reviewing the request, the Commission considered the exceptional human rights crisis in Nicaragua, which had been confirmed directly by the IACHR and monitored by its MESENI. The Commission noted that, according to the available information, Mr. Valle Peters was the owner and individual responsible for the general editorial focus of Channel 12, the only television station with national coverage that constantly presented news critical of the government. The Commission also noted that Mr. Valle Peters had serious difficulty exercising his right to freedom of expression because of his role in television in the current context of Nicaragua. It therefore requested Nicaragua to guarantee measures that would enable the beneficiary to continue exercising his right to freedom of expression, taking the pertinent </w:t>
      </w:r>
      <w:proofErr w:type="gramStart"/>
      <w:r w:rsidRPr="00524435">
        <w:rPr>
          <w:rStyle w:val="None"/>
        </w:rPr>
        <w:t>action</w:t>
      </w:r>
      <w:proofErr w:type="gramEnd"/>
      <w:r w:rsidRPr="00524435">
        <w:rPr>
          <w:rStyle w:val="None"/>
        </w:rPr>
        <w:t xml:space="preserve"> and refraining from action that would interfere with that right. Among these measures, it requested the State to refrain from implementing the decision to auction off or sell Channel 12 until an assessment of the impact that this decision would have on the exercise of Mr. Valle Peters’ freedom of expression had been conducted. </w:t>
      </w:r>
    </w:p>
    <w:p w14:paraId="0AAF1CCB" w14:textId="77777777" w:rsidR="00842401" w:rsidRPr="00524435" w:rsidRDefault="00842401" w:rsidP="00842401">
      <w:pPr>
        <w:pStyle w:val="Body"/>
        <w:rPr>
          <w:rStyle w:val="None"/>
          <w:rFonts w:ascii="Cambria" w:eastAsia="Cambria" w:hAnsi="Cambria" w:cs="Cambria"/>
          <w:b/>
          <w:bCs/>
          <w:sz w:val="20"/>
          <w:szCs w:val="20"/>
        </w:rPr>
      </w:pPr>
      <w:r w:rsidRPr="00524435">
        <w:rPr>
          <w:rStyle w:val="None"/>
          <w:rFonts w:ascii="Cambria" w:hAnsi="Cambria"/>
          <w:b/>
          <w:bCs/>
          <w:sz w:val="20"/>
          <w:szCs w:val="20"/>
        </w:rPr>
        <w:t>Resolution No. 11/21</w:t>
      </w:r>
      <w:r w:rsidRPr="00524435">
        <w:rPr>
          <w:rStyle w:val="None"/>
          <w:rFonts w:ascii="Cambria" w:hAnsi="Cambria"/>
          <w:b/>
          <w:bCs/>
          <w:sz w:val="20"/>
          <w:szCs w:val="20"/>
        </w:rPr>
        <w:br/>
        <w:t xml:space="preserve">MC 664-20 - </w:t>
      </w:r>
      <w:proofErr w:type="spellStart"/>
      <w:r w:rsidRPr="00524435">
        <w:rPr>
          <w:rStyle w:val="None"/>
          <w:rFonts w:ascii="Cambria" w:hAnsi="Cambria"/>
          <w:b/>
          <w:bCs/>
          <w:sz w:val="20"/>
          <w:szCs w:val="20"/>
        </w:rPr>
        <w:t>Olman</w:t>
      </w:r>
      <w:proofErr w:type="spellEnd"/>
      <w:r w:rsidRPr="00524435">
        <w:rPr>
          <w:rStyle w:val="None"/>
          <w:rFonts w:ascii="Cambria" w:hAnsi="Cambria"/>
          <w:b/>
          <w:bCs/>
          <w:sz w:val="20"/>
          <w:szCs w:val="20"/>
        </w:rPr>
        <w:t xml:space="preserve"> </w:t>
      </w:r>
      <w:proofErr w:type="spellStart"/>
      <w:r w:rsidRPr="00524435">
        <w:rPr>
          <w:rStyle w:val="None"/>
          <w:rFonts w:ascii="Cambria" w:hAnsi="Cambria"/>
          <w:b/>
          <w:bCs/>
          <w:sz w:val="20"/>
          <w:szCs w:val="20"/>
        </w:rPr>
        <w:t>Onel</w:t>
      </w:r>
      <w:proofErr w:type="spellEnd"/>
      <w:r w:rsidRPr="00524435">
        <w:rPr>
          <w:rStyle w:val="None"/>
          <w:rFonts w:ascii="Cambria" w:hAnsi="Cambria"/>
          <w:b/>
          <w:bCs/>
          <w:sz w:val="20"/>
          <w:szCs w:val="20"/>
        </w:rPr>
        <w:t xml:space="preserve"> Salazar </w:t>
      </w:r>
      <w:proofErr w:type="spellStart"/>
      <w:r w:rsidRPr="00524435">
        <w:rPr>
          <w:rStyle w:val="None"/>
          <w:rFonts w:ascii="Cambria" w:hAnsi="Cambria"/>
          <w:b/>
          <w:bCs/>
          <w:sz w:val="20"/>
          <w:szCs w:val="20"/>
        </w:rPr>
        <w:t>Umanzor</w:t>
      </w:r>
      <w:proofErr w:type="spellEnd"/>
      <w:r w:rsidRPr="00524435">
        <w:rPr>
          <w:rStyle w:val="None"/>
          <w:rFonts w:ascii="Cambria" w:hAnsi="Cambria"/>
          <w:b/>
          <w:bCs/>
          <w:sz w:val="20"/>
          <w:szCs w:val="20"/>
        </w:rPr>
        <w:t xml:space="preserve"> and his immediate family, Nicaragua</w:t>
      </w:r>
    </w:p>
    <w:p w14:paraId="7AF05BC7" w14:textId="77777777" w:rsidR="00842401" w:rsidRPr="00524435" w:rsidRDefault="00842401" w:rsidP="00842401">
      <w:pPr>
        <w:pStyle w:val="Body"/>
        <w:jc w:val="both"/>
        <w:rPr>
          <w:rStyle w:val="None"/>
          <w:rFonts w:ascii="Cambria" w:hAnsi="Cambria"/>
          <w:sz w:val="20"/>
          <w:szCs w:val="20"/>
        </w:rPr>
      </w:pPr>
    </w:p>
    <w:p w14:paraId="71FDDECC" w14:textId="77777777" w:rsidR="00842401" w:rsidRPr="00524435" w:rsidRDefault="00842401" w:rsidP="009242CD">
      <w:pPr>
        <w:pStyle w:val="ListParagraph"/>
        <w:rPr>
          <w:rStyle w:val="None"/>
          <w:rFonts w:eastAsia="Cambria" w:cs="Cambria"/>
        </w:rPr>
      </w:pPr>
      <w:r w:rsidRPr="00524435">
        <w:rPr>
          <w:rStyle w:val="None"/>
        </w:rPr>
        <w:t xml:space="preserve">On February 4, 2021, the IACHR granted precautionary measures on behalf of </w:t>
      </w:r>
      <w:proofErr w:type="spellStart"/>
      <w:r w:rsidRPr="00524435">
        <w:rPr>
          <w:rStyle w:val="None"/>
        </w:rPr>
        <w:t>Olman</w:t>
      </w:r>
      <w:proofErr w:type="spellEnd"/>
      <w:r w:rsidRPr="00524435">
        <w:rPr>
          <w:rStyle w:val="None"/>
        </w:rPr>
        <w:t xml:space="preserve"> </w:t>
      </w:r>
      <w:proofErr w:type="spellStart"/>
      <w:r w:rsidRPr="00524435">
        <w:rPr>
          <w:rStyle w:val="None"/>
        </w:rPr>
        <w:t>Onel</w:t>
      </w:r>
      <w:proofErr w:type="spellEnd"/>
      <w:r w:rsidRPr="00524435">
        <w:rPr>
          <w:rStyle w:val="None"/>
        </w:rPr>
        <w:t xml:space="preserve"> Salazar </w:t>
      </w:r>
      <w:proofErr w:type="spellStart"/>
      <w:r w:rsidRPr="00524435">
        <w:rPr>
          <w:rStyle w:val="None"/>
        </w:rPr>
        <w:t>Umanzor</w:t>
      </w:r>
      <w:proofErr w:type="spellEnd"/>
      <w:r w:rsidRPr="00524435">
        <w:rPr>
          <w:rStyle w:val="None"/>
        </w:rPr>
        <w:t xml:space="preserve"> and his immediate family in Nicaragua. Mr. Salazar was a leader in his community and the environmental movement. The Commission reviewed the continued threats of assault, smears, intimidation, stalking, and harassment that he had been subjected to over time, especially since the events of April 2018. The Commission therefore requested the State to: a) adopt the measures necessary to guarantee the right to life and personal integrity of </w:t>
      </w:r>
      <w:proofErr w:type="spellStart"/>
      <w:r w:rsidRPr="00524435">
        <w:rPr>
          <w:rStyle w:val="None"/>
        </w:rPr>
        <w:t>Olman</w:t>
      </w:r>
      <w:proofErr w:type="spellEnd"/>
      <w:r w:rsidRPr="00524435">
        <w:rPr>
          <w:rStyle w:val="None"/>
        </w:rPr>
        <w:t xml:space="preserve"> </w:t>
      </w:r>
      <w:proofErr w:type="spellStart"/>
      <w:r w:rsidRPr="00524435">
        <w:rPr>
          <w:rStyle w:val="None"/>
        </w:rPr>
        <w:t>Onel</w:t>
      </w:r>
      <w:proofErr w:type="spellEnd"/>
      <w:r w:rsidRPr="00524435">
        <w:rPr>
          <w:rStyle w:val="None"/>
        </w:rPr>
        <w:t xml:space="preserve"> Salazar </w:t>
      </w:r>
      <w:proofErr w:type="spellStart"/>
      <w:r w:rsidRPr="00524435">
        <w:rPr>
          <w:rStyle w:val="None"/>
        </w:rPr>
        <w:t>Umanzor</w:t>
      </w:r>
      <w:proofErr w:type="spellEnd"/>
      <w:r w:rsidRPr="00524435">
        <w:rPr>
          <w:rStyle w:val="None"/>
        </w:rPr>
        <w:t xml:space="preserve"> and his immediate family. In particular, the State should ensure that the beneficiaries’ rights would be respected both by its agents and in connection with acts </w:t>
      </w:r>
      <w:r w:rsidRPr="00524435">
        <w:rPr>
          <w:rStyle w:val="None"/>
        </w:rPr>
        <w:lastRenderedPageBreak/>
        <w:t xml:space="preserve">attributable to third parties that put them at risk, in accordance with the standards established in international human rights law; b) reach an agreement with the beneficiary and his representatives on the measures to adopt; and c) report on the action taken to investigate the events that had led to the granting of this precautionary measure and thus, avoid their repetition. </w:t>
      </w:r>
    </w:p>
    <w:p w14:paraId="33591B8A" w14:textId="77777777" w:rsidR="00842401" w:rsidRPr="00524435" w:rsidRDefault="00842401" w:rsidP="00842401">
      <w:pPr>
        <w:pStyle w:val="Body"/>
        <w:rPr>
          <w:rStyle w:val="None"/>
          <w:rFonts w:ascii="Cambria" w:eastAsia="Cambria" w:hAnsi="Cambria" w:cs="Cambria"/>
          <w:b/>
          <w:bCs/>
          <w:sz w:val="20"/>
          <w:szCs w:val="20"/>
        </w:rPr>
      </w:pPr>
      <w:r w:rsidRPr="00524435">
        <w:rPr>
          <w:rStyle w:val="None"/>
          <w:rFonts w:ascii="Cambria" w:hAnsi="Cambria"/>
          <w:b/>
          <w:bCs/>
          <w:sz w:val="20"/>
          <w:szCs w:val="20"/>
        </w:rPr>
        <w:t>Resolution No. 16/21</w:t>
      </w:r>
      <w:r w:rsidRPr="00524435">
        <w:rPr>
          <w:rStyle w:val="None"/>
          <w:rFonts w:ascii="Cambria" w:hAnsi="Cambria"/>
          <w:b/>
          <w:bCs/>
          <w:sz w:val="20"/>
          <w:szCs w:val="20"/>
        </w:rPr>
        <w:br/>
        <w:t xml:space="preserve">MC 907-20 - Kevin Adrián </w:t>
      </w:r>
      <w:proofErr w:type="spellStart"/>
      <w:r w:rsidRPr="00524435">
        <w:rPr>
          <w:rStyle w:val="None"/>
          <w:rFonts w:ascii="Cambria" w:hAnsi="Cambria"/>
          <w:b/>
          <w:bCs/>
          <w:sz w:val="20"/>
          <w:szCs w:val="20"/>
        </w:rPr>
        <w:t>Monzón</w:t>
      </w:r>
      <w:proofErr w:type="spellEnd"/>
      <w:r w:rsidRPr="00524435">
        <w:rPr>
          <w:rStyle w:val="None"/>
          <w:rFonts w:ascii="Cambria" w:hAnsi="Cambria"/>
          <w:b/>
          <w:bCs/>
          <w:sz w:val="20"/>
          <w:szCs w:val="20"/>
        </w:rPr>
        <w:t xml:space="preserve"> Mora and his immediate family, Nicaragua</w:t>
      </w:r>
    </w:p>
    <w:p w14:paraId="7C825878" w14:textId="77777777" w:rsidR="00842401" w:rsidRPr="00524435" w:rsidRDefault="00842401" w:rsidP="00842401">
      <w:pPr>
        <w:pStyle w:val="Body"/>
        <w:jc w:val="both"/>
        <w:rPr>
          <w:rStyle w:val="None"/>
          <w:rFonts w:ascii="Cambria" w:hAnsi="Cambria"/>
          <w:sz w:val="20"/>
          <w:szCs w:val="20"/>
        </w:rPr>
      </w:pPr>
    </w:p>
    <w:p w14:paraId="2F88DD8B" w14:textId="77777777" w:rsidR="00842401" w:rsidRPr="00524435" w:rsidRDefault="00842401" w:rsidP="009242CD">
      <w:pPr>
        <w:pStyle w:val="ListParagraph"/>
        <w:rPr>
          <w:rStyle w:val="None"/>
          <w:rFonts w:eastAsia="Cambria" w:cs="Cambria"/>
        </w:rPr>
      </w:pPr>
      <w:r w:rsidRPr="00524435">
        <w:rPr>
          <w:rStyle w:val="None"/>
        </w:rPr>
        <w:t xml:space="preserve">On February 22, 2021, the IACHR granted precautionary measures on behalf of Kevin Adrián </w:t>
      </w:r>
      <w:proofErr w:type="spellStart"/>
      <w:r w:rsidRPr="00524435">
        <w:rPr>
          <w:rStyle w:val="None"/>
        </w:rPr>
        <w:t>Monzón</w:t>
      </w:r>
      <w:proofErr w:type="spellEnd"/>
      <w:r w:rsidRPr="00524435">
        <w:rPr>
          <w:rStyle w:val="None"/>
        </w:rPr>
        <w:t xml:space="preserve"> Mora and his immediate family in Nicaragua. In the country’s current circumstances, the Commission found that after a series of posts on Tik Tok, Kevin Adrián </w:t>
      </w:r>
      <w:proofErr w:type="spellStart"/>
      <w:r w:rsidRPr="00524435">
        <w:rPr>
          <w:rStyle w:val="None"/>
        </w:rPr>
        <w:t>Monzón</w:t>
      </w:r>
      <w:proofErr w:type="spellEnd"/>
      <w:r w:rsidRPr="00524435">
        <w:rPr>
          <w:rStyle w:val="None"/>
        </w:rPr>
        <w:t xml:space="preserve"> had been the object of threats, harassment, intimidation, and acts of violence, including when he was in the custody of the State. It therefore requested the State of Nicaragua to: a) adopt the measures necessary to guarantee the right to life and personal integrity of Kevin Adrián </w:t>
      </w:r>
      <w:proofErr w:type="spellStart"/>
      <w:r w:rsidRPr="00524435">
        <w:rPr>
          <w:rStyle w:val="None"/>
        </w:rPr>
        <w:t>Monzón</w:t>
      </w:r>
      <w:proofErr w:type="spellEnd"/>
      <w:r w:rsidRPr="00524435">
        <w:rPr>
          <w:rStyle w:val="None"/>
        </w:rPr>
        <w:t xml:space="preserve"> Mora and his immediate family. In particular, the State should ensure that the rights of the beneficiaries would be respected both by its agents and in connection with acts attributable to third parties that put them at risk, in accordance with the standards established in international human rights law. This included the adoption of measures that would allow him to freely exercise his freedom of expression without being subjected to threats, intimidation, harassment, or assaults; b) reach an agreement with the beneficiary and his representatives on the measures to adopt; and c) report on the action taken to investigate the alleged events that had led to the granting of this precautionary measure and thus, avoid their repetition. </w:t>
      </w:r>
    </w:p>
    <w:p w14:paraId="30A7F158" w14:textId="77777777" w:rsidR="00842401" w:rsidRPr="00524435" w:rsidRDefault="00842401" w:rsidP="00842401">
      <w:pPr>
        <w:pStyle w:val="Body"/>
        <w:rPr>
          <w:rStyle w:val="None"/>
          <w:rFonts w:ascii="Cambria" w:eastAsia="Cambria" w:hAnsi="Cambria" w:cs="Cambria"/>
          <w:b/>
          <w:bCs/>
          <w:sz w:val="20"/>
          <w:szCs w:val="20"/>
        </w:rPr>
      </w:pPr>
      <w:r w:rsidRPr="00524435">
        <w:rPr>
          <w:rStyle w:val="None"/>
          <w:rFonts w:ascii="Cambria" w:hAnsi="Cambria"/>
          <w:b/>
          <w:bCs/>
          <w:sz w:val="20"/>
          <w:szCs w:val="20"/>
        </w:rPr>
        <w:t>Resolution No. 17/21</w:t>
      </w:r>
      <w:r w:rsidRPr="00524435">
        <w:rPr>
          <w:rStyle w:val="None"/>
          <w:rFonts w:ascii="Cambria" w:hAnsi="Cambria"/>
          <w:b/>
          <w:bCs/>
          <w:sz w:val="20"/>
          <w:szCs w:val="20"/>
        </w:rPr>
        <w:br/>
        <w:t xml:space="preserve">MC 1076-18 - Carlos Ramon </w:t>
      </w:r>
      <w:proofErr w:type="spellStart"/>
      <w:r w:rsidRPr="00524435">
        <w:rPr>
          <w:rStyle w:val="None"/>
          <w:rFonts w:ascii="Cambria" w:hAnsi="Cambria"/>
          <w:b/>
          <w:bCs/>
          <w:sz w:val="20"/>
          <w:szCs w:val="20"/>
        </w:rPr>
        <w:t>Brenes</w:t>
      </w:r>
      <w:proofErr w:type="spellEnd"/>
      <w:r w:rsidRPr="00524435">
        <w:rPr>
          <w:rStyle w:val="None"/>
          <w:rFonts w:ascii="Cambria" w:hAnsi="Cambria"/>
          <w:b/>
          <w:bCs/>
          <w:sz w:val="20"/>
          <w:szCs w:val="20"/>
        </w:rPr>
        <w:t xml:space="preserve"> Sánchez and his immediate family, Nicaragua</w:t>
      </w:r>
    </w:p>
    <w:p w14:paraId="35E27A43" w14:textId="77777777" w:rsidR="00842401" w:rsidRPr="00524435" w:rsidRDefault="00842401" w:rsidP="00842401">
      <w:pPr>
        <w:pStyle w:val="Body"/>
        <w:jc w:val="both"/>
        <w:rPr>
          <w:rStyle w:val="None"/>
          <w:rFonts w:ascii="Cambria" w:hAnsi="Cambria"/>
          <w:sz w:val="20"/>
          <w:szCs w:val="20"/>
        </w:rPr>
      </w:pPr>
    </w:p>
    <w:p w14:paraId="4C792625" w14:textId="77777777" w:rsidR="00842401" w:rsidRPr="00524435" w:rsidRDefault="00842401" w:rsidP="009242CD">
      <w:pPr>
        <w:pStyle w:val="ListParagraph"/>
        <w:rPr>
          <w:rStyle w:val="None"/>
          <w:rFonts w:eastAsia="Cambria" w:cs="Cambria"/>
        </w:rPr>
      </w:pPr>
      <w:r w:rsidRPr="00524435">
        <w:rPr>
          <w:rStyle w:val="None"/>
        </w:rPr>
        <w:t xml:space="preserve">On February 25, 2021, the IACHR decided to grant precautionary measures on behalf of Carlos </w:t>
      </w:r>
      <w:proofErr w:type="spellStart"/>
      <w:r w:rsidRPr="00524435">
        <w:rPr>
          <w:rStyle w:val="None"/>
        </w:rPr>
        <w:t>Brenes</w:t>
      </w:r>
      <w:proofErr w:type="spellEnd"/>
      <w:r w:rsidRPr="00524435">
        <w:rPr>
          <w:rStyle w:val="None"/>
        </w:rPr>
        <w:t xml:space="preserve"> and his immediate family in Nicaragua. The Commission found that Mr. </w:t>
      </w:r>
      <w:proofErr w:type="spellStart"/>
      <w:r w:rsidRPr="00524435">
        <w:rPr>
          <w:rStyle w:val="None"/>
        </w:rPr>
        <w:t>Brenes</w:t>
      </w:r>
      <w:proofErr w:type="spellEnd"/>
      <w:r w:rsidRPr="00524435">
        <w:rPr>
          <w:rStyle w:val="None"/>
        </w:rPr>
        <w:t xml:space="preserve"> was a leader among retired military personnel and the communities of Masaya and Carazo. He was also identified as a dissident, especially after the events of April 2018. Within this context, the IACHR found that Mr. </w:t>
      </w:r>
      <w:proofErr w:type="spellStart"/>
      <w:r w:rsidRPr="00524435">
        <w:rPr>
          <w:rStyle w:val="None"/>
        </w:rPr>
        <w:t>Brenes</w:t>
      </w:r>
      <w:proofErr w:type="spellEnd"/>
      <w:r w:rsidRPr="00524435">
        <w:rPr>
          <w:rStyle w:val="None"/>
        </w:rPr>
        <w:t xml:space="preserve"> had been the object of harassment, intimidation, and threats. </w:t>
      </w:r>
      <w:proofErr w:type="gramStart"/>
      <w:r w:rsidRPr="00524435">
        <w:rPr>
          <w:rStyle w:val="None"/>
        </w:rPr>
        <w:t>In particular, it</w:t>
      </w:r>
      <w:proofErr w:type="gramEnd"/>
      <w:r w:rsidRPr="00524435">
        <w:rPr>
          <w:rStyle w:val="None"/>
        </w:rPr>
        <w:t xml:space="preserve"> stated that those acts had been perpetrated by agents of the State and had extended to members of Mr. </w:t>
      </w:r>
      <w:proofErr w:type="spellStart"/>
      <w:r w:rsidRPr="00524435">
        <w:rPr>
          <w:rStyle w:val="None"/>
        </w:rPr>
        <w:t>Brenes</w:t>
      </w:r>
      <w:proofErr w:type="spellEnd"/>
      <w:r w:rsidRPr="00524435">
        <w:rPr>
          <w:rStyle w:val="None"/>
        </w:rPr>
        <w:t xml:space="preserve">’ family as well. It therefore requested the State to: a) adopt the measures necessary to guarantee the right to life and personal integrity of Carlos Ramon </w:t>
      </w:r>
      <w:proofErr w:type="spellStart"/>
      <w:r w:rsidRPr="00524435">
        <w:rPr>
          <w:rStyle w:val="None"/>
        </w:rPr>
        <w:t>Brenes</w:t>
      </w:r>
      <w:proofErr w:type="spellEnd"/>
      <w:r w:rsidRPr="00524435">
        <w:rPr>
          <w:rStyle w:val="None"/>
        </w:rPr>
        <w:t xml:space="preserve"> Sánchez and his immediate family. In particular, the State should ensure that the rights of the beneficiaries were respected both by its agents and in connection with acts attributable to third parties that put them at risk, in accordance with the standards established in international human rights law; b) reach an agreement with the beneficiary and his representatives on the measures to adopt; and c) report on the action taken to investigate the alleged events that had led to the granting of this precautionary measure and thus, avoid their repetition.</w:t>
      </w:r>
    </w:p>
    <w:p w14:paraId="5EB9300F" w14:textId="77777777" w:rsidR="00842401" w:rsidRPr="00524435" w:rsidRDefault="00842401" w:rsidP="00842401">
      <w:pPr>
        <w:pStyle w:val="Body"/>
        <w:rPr>
          <w:rStyle w:val="None"/>
          <w:rFonts w:ascii="Cambria" w:eastAsia="Cambria" w:hAnsi="Cambria" w:cs="Cambria"/>
          <w:b/>
          <w:bCs/>
          <w:sz w:val="20"/>
          <w:szCs w:val="20"/>
        </w:rPr>
      </w:pPr>
      <w:r w:rsidRPr="00524435">
        <w:rPr>
          <w:rStyle w:val="None"/>
          <w:rFonts w:ascii="Cambria" w:hAnsi="Cambria"/>
          <w:b/>
          <w:bCs/>
          <w:sz w:val="20"/>
          <w:szCs w:val="20"/>
        </w:rPr>
        <w:t>Resolution No. 27/21(EXTENSION)</w:t>
      </w:r>
      <w:r w:rsidRPr="00524435">
        <w:rPr>
          <w:rStyle w:val="None"/>
          <w:rFonts w:ascii="Cambria" w:hAnsi="Cambria"/>
          <w:b/>
          <w:bCs/>
          <w:sz w:val="20"/>
          <w:szCs w:val="20"/>
        </w:rPr>
        <w:br/>
        <w:t xml:space="preserve">MC 1067-18 - </w:t>
      </w:r>
      <w:proofErr w:type="spellStart"/>
      <w:r w:rsidRPr="00524435">
        <w:rPr>
          <w:rStyle w:val="None"/>
          <w:rFonts w:ascii="Cambria" w:hAnsi="Cambria"/>
          <w:b/>
          <w:bCs/>
          <w:sz w:val="20"/>
          <w:szCs w:val="20"/>
        </w:rPr>
        <w:t>Danelia</w:t>
      </w:r>
      <w:proofErr w:type="spellEnd"/>
      <w:r w:rsidRPr="00524435">
        <w:rPr>
          <w:rStyle w:val="None"/>
          <w:rFonts w:ascii="Cambria" w:hAnsi="Cambria"/>
          <w:b/>
          <w:bCs/>
          <w:sz w:val="20"/>
          <w:szCs w:val="20"/>
        </w:rPr>
        <w:t xml:space="preserve"> del Rosario </w:t>
      </w:r>
      <w:proofErr w:type="spellStart"/>
      <w:r w:rsidRPr="00524435">
        <w:rPr>
          <w:rStyle w:val="None"/>
          <w:rFonts w:ascii="Cambria" w:hAnsi="Cambria"/>
          <w:b/>
          <w:bCs/>
          <w:sz w:val="20"/>
          <w:szCs w:val="20"/>
        </w:rPr>
        <w:t>Argüello</w:t>
      </w:r>
      <w:proofErr w:type="spellEnd"/>
      <w:r w:rsidRPr="00524435">
        <w:rPr>
          <w:rStyle w:val="None"/>
          <w:rFonts w:ascii="Cambria" w:hAnsi="Cambria"/>
          <w:b/>
          <w:bCs/>
          <w:sz w:val="20"/>
          <w:szCs w:val="20"/>
        </w:rPr>
        <w:t xml:space="preserve"> Cano and her immediate family, Nicaragua</w:t>
      </w:r>
    </w:p>
    <w:p w14:paraId="01758865" w14:textId="77777777" w:rsidR="00842401" w:rsidRPr="00524435" w:rsidRDefault="00842401" w:rsidP="00842401">
      <w:pPr>
        <w:pStyle w:val="Body"/>
        <w:jc w:val="both"/>
        <w:rPr>
          <w:rStyle w:val="None"/>
          <w:rFonts w:ascii="Cambria" w:hAnsi="Cambria"/>
          <w:sz w:val="20"/>
          <w:szCs w:val="20"/>
        </w:rPr>
      </w:pPr>
    </w:p>
    <w:p w14:paraId="14FE2F1C" w14:textId="77777777" w:rsidR="00842401" w:rsidRPr="00524435" w:rsidRDefault="00842401" w:rsidP="009242CD">
      <w:pPr>
        <w:pStyle w:val="ListParagraph"/>
        <w:rPr>
          <w:rStyle w:val="None"/>
          <w:rFonts w:eastAsia="Cambria" w:cs="Cambria"/>
        </w:rPr>
      </w:pPr>
      <w:r w:rsidRPr="00524435">
        <w:rPr>
          <w:rStyle w:val="None"/>
        </w:rPr>
        <w:t xml:space="preserve">On March 14, 2021, the IACHR decided to extend the precautionary measures granted on behalf of </w:t>
      </w:r>
      <w:proofErr w:type="spellStart"/>
      <w:r w:rsidRPr="00524435">
        <w:rPr>
          <w:rStyle w:val="None"/>
        </w:rPr>
        <w:t>Danelia</w:t>
      </w:r>
      <w:proofErr w:type="spellEnd"/>
      <w:r w:rsidRPr="00524435">
        <w:rPr>
          <w:rStyle w:val="None"/>
        </w:rPr>
        <w:t xml:space="preserve"> del Rosario </w:t>
      </w:r>
      <w:proofErr w:type="spellStart"/>
      <w:r w:rsidRPr="00524435">
        <w:rPr>
          <w:rStyle w:val="None"/>
        </w:rPr>
        <w:t>Argüello</w:t>
      </w:r>
      <w:proofErr w:type="spellEnd"/>
      <w:r w:rsidRPr="00524435">
        <w:rPr>
          <w:rStyle w:val="None"/>
        </w:rPr>
        <w:t xml:space="preserve"> Cano and her immediate family in Nicaragua. In the country’s current situation, the request alleged that Mrs. </w:t>
      </w:r>
      <w:proofErr w:type="spellStart"/>
      <w:r w:rsidRPr="00524435">
        <w:rPr>
          <w:rStyle w:val="None"/>
        </w:rPr>
        <w:t>Argüello</w:t>
      </w:r>
      <w:proofErr w:type="spellEnd"/>
      <w:r w:rsidRPr="00524435">
        <w:rPr>
          <w:rStyle w:val="None"/>
        </w:rPr>
        <w:t xml:space="preserve"> and her family had been subjected to stalking, intimidation, and assaults </w:t>
      </w:r>
      <w:proofErr w:type="gramStart"/>
      <w:r w:rsidRPr="00524435">
        <w:rPr>
          <w:rStyle w:val="None"/>
        </w:rPr>
        <w:t>as a result of</w:t>
      </w:r>
      <w:proofErr w:type="gramEnd"/>
      <w:r w:rsidRPr="00524435">
        <w:rPr>
          <w:rStyle w:val="None"/>
        </w:rPr>
        <w:t xml:space="preserve"> her work as a human rights defender and member of the National Blue and White Unit (Unidad Nacional Azul y Blanco}. The Commission therefore requested the State of Nicaragua to: a) adopt the measures necessary to guarantee the right to life and personal integrity of the beneficiary and her immediate family. In particular, the State should ensure that the rights of the beneficiaries would be respected both by its agents and in connection with acts attributable to third parties that put them at risk, in accordance with the standards established in international human rights law; b)  reach an agreement with the beneficiaries and their representatives on the measures to adopt; and c) report on the action taken to investigate the alleged events that had led to the granting of this precautionary measure and thus, avoid their repetition.</w:t>
      </w:r>
    </w:p>
    <w:p w14:paraId="76620349" w14:textId="77777777" w:rsidR="00842401" w:rsidRPr="00524435" w:rsidRDefault="00842401" w:rsidP="00842401">
      <w:pPr>
        <w:pStyle w:val="Body"/>
        <w:rPr>
          <w:rStyle w:val="None"/>
          <w:rFonts w:ascii="Cambria" w:eastAsia="Cambria" w:hAnsi="Cambria" w:cs="Cambria"/>
          <w:b/>
          <w:bCs/>
          <w:sz w:val="20"/>
          <w:szCs w:val="20"/>
        </w:rPr>
      </w:pPr>
      <w:r w:rsidRPr="00524435">
        <w:rPr>
          <w:rStyle w:val="None"/>
          <w:rFonts w:ascii="Cambria" w:hAnsi="Cambria"/>
          <w:b/>
          <w:bCs/>
          <w:sz w:val="20"/>
          <w:szCs w:val="20"/>
        </w:rPr>
        <w:lastRenderedPageBreak/>
        <w:t>Resolution No. 28/21</w:t>
      </w:r>
      <w:r w:rsidRPr="00524435">
        <w:rPr>
          <w:rStyle w:val="None"/>
          <w:rFonts w:ascii="Cambria" w:hAnsi="Cambria"/>
          <w:b/>
          <w:bCs/>
          <w:sz w:val="20"/>
          <w:szCs w:val="20"/>
        </w:rPr>
        <w:br/>
        <w:t xml:space="preserve">MC 127-21 - Nelson Gabriel </w:t>
      </w:r>
      <w:proofErr w:type="spellStart"/>
      <w:r w:rsidRPr="00524435">
        <w:rPr>
          <w:rStyle w:val="None"/>
          <w:rFonts w:ascii="Cambria" w:hAnsi="Cambria"/>
          <w:b/>
          <w:bCs/>
          <w:sz w:val="20"/>
          <w:szCs w:val="20"/>
        </w:rPr>
        <w:t>Lorío</w:t>
      </w:r>
      <w:proofErr w:type="spellEnd"/>
      <w:r w:rsidRPr="00524435">
        <w:rPr>
          <w:rStyle w:val="None"/>
          <w:rFonts w:ascii="Cambria" w:hAnsi="Cambria"/>
          <w:b/>
          <w:bCs/>
          <w:sz w:val="20"/>
          <w:szCs w:val="20"/>
        </w:rPr>
        <w:t xml:space="preserve"> Sandoval and his immediate family, Nicaragua</w:t>
      </w:r>
    </w:p>
    <w:p w14:paraId="2925031E" w14:textId="77777777" w:rsidR="00842401" w:rsidRPr="00524435" w:rsidRDefault="00842401" w:rsidP="00842401">
      <w:pPr>
        <w:pStyle w:val="Body"/>
        <w:jc w:val="both"/>
        <w:rPr>
          <w:rStyle w:val="None"/>
          <w:rFonts w:ascii="Cambria" w:hAnsi="Cambria"/>
          <w:sz w:val="20"/>
          <w:szCs w:val="20"/>
        </w:rPr>
      </w:pPr>
    </w:p>
    <w:p w14:paraId="0BF54DE0" w14:textId="77777777" w:rsidR="00842401" w:rsidRPr="00524435" w:rsidRDefault="00842401" w:rsidP="009242CD">
      <w:pPr>
        <w:pStyle w:val="ListParagraph"/>
        <w:rPr>
          <w:rStyle w:val="None"/>
          <w:rFonts w:eastAsia="Cambria" w:cs="Cambria"/>
        </w:rPr>
      </w:pPr>
      <w:r w:rsidRPr="00524435">
        <w:rPr>
          <w:rStyle w:val="None"/>
        </w:rPr>
        <w:t xml:space="preserve">On March 19, 2021, the IACHR granted precautionary measures to protect Nelson Gabriel </w:t>
      </w:r>
      <w:proofErr w:type="spellStart"/>
      <w:r w:rsidRPr="00524435">
        <w:rPr>
          <w:rStyle w:val="None"/>
        </w:rPr>
        <w:t>Lorío</w:t>
      </w:r>
      <w:proofErr w:type="spellEnd"/>
      <w:r w:rsidRPr="00524435">
        <w:rPr>
          <w:rStyle w:val="None"/>
        </w:rPr>
        <w:t xml:space="preserve"> Sandoval, Karina Alejandra Navarrete Sánchez, their daughter J.M.L.N. and their nephew, </w:t>
      </w:r>
      <w:proofErr w:type="spellStart"/>
      <w:r w:rsidRPr="00524435">
        <w:rPr>
          <w:rStyle w:val="None"/>
        </w:rPr>
        <w:t>Ángel</w:t>
      </w:r>
      <w:proofErr w:type="spellEnd"/>
      <w:r w:rsidRPr="00524435">
        <w:rPr>
          <w:rStyle w:val="None"/>
        </w:rPr>
        <w:t xml:space="preserve"> Gabriel </w:t>
      </w:r>
      <w:proofErr w:type="spellStart"/>
      <w:r w:rsidRPr="00524435">
        <w:rPr>
          <w:rStyle w:val="None"/>
        </w:rPr>
        <w:t>Umaña</w:t>
      </w:r>
      <w:proofErr w:type="spellEnd"/>
      <w:r w:rsidRPr="00524435">
        <w:rPr>
          <w:rStyle w:val="None"/>
        </w:rPr>
        <w:t xml:space="preserve"> Navarrete. According to the request, the proposed beneficiaries were at risk due to their search for justice in the alleged killing of their 14-month-old son, T.L.L.N., by police and paramilitary personnel. After reviewing the available information, given the applicable context and the findings, the Commission deemed that the information provided showed prima facie that the right to life and personal integrity of Nelson Gabriel </w:t>
      </w:r>
      <w:proofErr w:type="spellStart"/>
      <w:r w:rsidRPr="00524435">
        <w:rPr>
          <w:rStyle w:val="None"/>
        </w:rPr>
        <w:t>Lorío</w:t>
      </w:r>
      <w:proofErr w:type="spellEnd"/>
      <w:r w:rsidRPr="00524435">
        <w:rPr>
          <w:rStyle w:val="None"/>
        </w:rPr>
        <w:t xml:space="preserve"> Sandoval and his family were at serious and urgent risk. Therefore, pursuant to Article 25 of the Rules of Procedure, the Commission requested the State of Nicaragua to: a) adopt the measures necessary to guarantee the right to life and personal integrity de Nelson Gabriel </w:t>
      </w:r>
      <w:proofErr w:type="spellStart"/>
      <w:r w:rsidRPr="00524435">
        <w:rPr>
          <w:rStyle w:val="None"/>
        </w:rPr>
        <w:t>Lorío</w:t>
      </w:r>
      <w:proofErr w:type="spellEnd"/>
      <w:r w:rsidRPr="00524435">
        <w:rPr>
          <w:rStyle w:val="None"/>
        </w:rPr>
        <w:t xml:space="preserve"> Sandoval and his identified immediate family. In particular, the State should ensure that its agents respected the rights of the beneficiaries in accordance with the standards established in international human rights law and in connection with acts attributable to third parties that put them at risk; b) reach an agreement with the beneficiaries and their representatives on the measures to adopt; and c) report on the action taken to investigate the alleged events that had led to the granting of this precautionary measure and thus, avoid their repetition.</w:t>
      </w:r>
    </w:p>
    <w:p w14:paraId="5CB931C9" w14:textId="77777777" w:rsidR="00842401" w:rsidRPr="00E42B49" w:rsidRDefault="00842401" w:rsidP="00842401">
      <w:pPr>
        <w:pStyle w:val="Body"/>
        <w:rPr>
          <w:rStyle w:val="None"/>
          <w:rFonts w:ascii="Cambria" w:eastAsia="Cambria" w:hAnsi="Cambria" w:cs="Cambria"/>
          <w:b/>
          <w:bCs/>
          <w:sz w:val="20"/>
          <w:szCs w:val="20"/>
          <w:lang w:val="es-US"/>
        </w:rPr>
      </w:pPr>
      <w:proofErr w:type="spellStart"/>
      <w:r w:rsidRPr="00E42B49">
        <w:rPr>
          <w:rStyle w:val="None"/>
          <w:rFonts w:ascii="Cambria" w:hAnsi="Cambria"/>
          <w:b/>
          <w:bCs/>
          <w:sz w:val="20"/>
          <w:szCs w:val="20"/>
          <w:lang w:val="es-US"/>
        </w:rPr>
        <w:t>Resolution</w:t>
      </w:r>
      <w:proofErr w:type="spellEnd"/>
      <w:r w:rsidRPr="00E42B49">
        <w:rPr>
          <w:rStyle w:val="None"/>
          <w:rFonts w:ascii="Cambria" w:hAnsi="Cambria"/>
          <w:b/>
          <w:bCs/>
          <w:sz w:val="20"/>
          <w:szCs w:val="20"/>
          <w:lang w:val="es-US"/>
        </w:rPr>
        <w:t xml:space="preserve"> No. 31/21 (EXTENSION)</w:t>
      </w:r>
      <w:r w:rsidRPr="00E42B49">
        <w:rPr>
          <w:rStyle w:val="None"/>
          <w:rFonts w:ascii="Cambria" w:hAnsi="Cambria"/>
          <w:b/>
          <w:bCs/>
          <w:sz w:val="20"/>
          <w:szCs w:val="20"/>
          <w:lang w:val="es-US"/>
        </w:rPr>
        <w:br/>
        <w:t>MC 1606-18 - Javier Iván Olivares, Nicaragua</w:t>
      </w:r>
    </w:p>
    <w:p w14:paraId="47B7DAB0" w14:textId="77777777" w:rsidR="00842401" w:rsidRPr="00E42B49" w:rsidRDefault="00842401" w:rsidP="00842401">
      <w:pPr>
        <w:pStyle w:val="Body"/>
        <w:jc w:val="both"/>
        <w:rPr>
          <w:rStyle w:val="None"/>
          <w:rFonts w:ascii="Cambria" w:hAnsi="Cambria"/>
          <w:sz w:val="20"/>
          <w:szCs w:val="20"/>
          <w:lang w:val="es-US"/>
        </w:rPr>
      </w:pPr>
    </w:p>
    <w:p w14:paraId="734D76A3" w14:textId="77777777" w:rsidR="00842401" w:rsidRPr="00524435" w:rsidRDefault="00842401" w:rsidP="009242CD">
      <w:pPr>
        <w:pStyle w:val="ListParagraph"/>
        <w:rPr>
          <w:rStyle w:val="None"/>
          <w:rFonts w:eastAsia="Cambria" w:cs="Cambria"/>
        </w:rPr>
      </w:pPr>
      <w:r w:rsidRPr="00524435">
        <w:rPr>
          <w:rStyle w:val="None"/>
        </w:rPr>
        <w:t>On April 5, 2021, the IACHR decided to extend the precautionary measures on behalf of Javier Iván Olivares, in Nicaragua. The Commission found that Olivares’ particular situation as staff of the news outlet “</w:t>
      </w:r>
      <w:proofErr w:type="spellStart"/>
      <w:r w:rsidRPr="00524435">
        <w:rPr>
          <w:rStyle w:val="None"/>
        </w:rPr>
        <w:t>Confidencial</w:t>
      </w:r>
      <w:proofErr w:type="spellEnd"/>
      <w:r w:rsidRPr="00524435">
        <w:rPr>
          <w:rStyle w:val="None"/>
        </w:rPr>
        <w:t xml:space="preserve">” or independent journalist was part of the general repression of freedom of expression in the country noted by the IACHR. It was also connected with the </w:t>
      </w:r>
      <w:proofErr w:type="gramStart"/>
      <w:r w:rsidRPr="00524435">
        <w:rPr>
          <w:rStyle w:val="None"/>
        </w:rPr>
        <w:t>particular situation</w:t>
      </w:r>
      <w:proofErr w:type="gramEnd"/>
      <w:r w:rsidRPr="00524435">
        <w:rPr>
          <w:rStyle w:val="None"/>
        </w:rPr>
        <w:t xml:space="preserve"> of the staff of independent news outlets such as “</w:t>
      </w:r>
      <w:proofErr w:type="spellStart"/>
      <w:r w:rsidRPr="00524435">
        <w:rPr>
          <w:rStyle w:val="None"/>
        </w:rPr>
        <w:t>Confidencial</w:t>
      </w:r>
      <w:proofErr w:type="spellEnd"/>
      <w:r w:rsidRPr="00524435">
        <w:rPr>
          <w:rStyle w:val="None"/>
        </w:rPr>
        <w:t>,” who were the beneficiaries of precautionary measures. In this regard, threats, harassment, or stalking by persons identified as police had persisted and extended to their families. The Commission understood that as independent journalists or staff of the Chamorro media company, they continued to be exposed to risk factors previously evaluated in the precautionary measures of 2018 and the extension of 2020. The Commission therefore requested the State of Nicaragua to: a) adopt the measures necessary to guarantee the life and personal integrity of the person identified in this Resolution. To this end, the State should ensure that its agents respected the lives and personal integrity of the beneficiary, and protected their rights in connection with acts attributable to third parties that put them at risk, in accordance with the standards established in international human rights law; b) adopt the measures necessary for the beneficiary to pursue his journalistic activities without being subjected to acts of intimidation, threats, or other acts of violence in the course of his work. This included the adoption of measures to protect the right of freedom of expression of the staff of the media company identified; c) reach an agreement with the person identified and his representatives on the measures to adopt; and d) report on the action taken to investigate the alleged events that had led to the granting of this precautionary measure and thus, avoid their repetition.</w:t>
      </w:r>
    </w:p>
    <w:p w14:paraId="7DCD5036" w14:textId="77777777" w:rsidR="00842401" w:rsidRPr="00E42B49" w:rsidRDefault="00842401" w:rsidP="00842401">
      <w:pPr>
        <w:pStyle w:val="Body"/>
        <w:rPr>
          <w:rStyle w:val="None"/>
          <w:rFonts w:ascii="Cambria" w:eastAsia="Cambria" w:hAnsi="Cambria" w:cs="Cambria"/>
          <w:b/>
          <w:bCs/>
          <w:sz w:val="20"/>
          <w:szCs w:val="20"/>
          <w:lang w:val="es-US"/>
        </w:rPr>
      </w:pPr>
      <w:proofErr w:type="spellStart"/>
      <w:r w:rsidRPr="00E42B49">
        <w:rPr>
          <w:rStyle w:val="None"/>
          <w:rFonts w:ascii="Cambria" w:hAnsi="Cambria"/>
          <w:b/>
          <w:bCs/>
          <w:sz w:val="20"/>
          <w:szCs w:val="20"/>
          <w:lang w:val="es-US"/>
        </w:rPr>
        <w:t>Resolution</w:t>
      </w:r>
      <w:proofErr w:type="spellEnd"/>
      <w:r w:rsidRPr="00E42B49">
        <w:rPr>
          <w:rStyle w:val="None"/>
          <w:rFonts w:ascii="Cambria" w:hAnsi="Cambria"/>
          <w:b/>
          <w:bCs/>
          <w:sz w:val="20"/>
          <w:szCs w:val="20"/>
          <w:lang w:val="es-US"/>
        </w:rPr>
        <w:t xml:space="preserve"> No. 33/21</w:t>
      </w:r>
      <w:r w:rsidRPr="00E42B49">
        <w:rPr>
          <w:rStyle w:val="None"/>
          <w:rFonts w:ascii="Cambria" w:hAnsi="Cambria"/>
          <w:b/>
          <w:bCs/>
          <w:sz w:val="20"/>
          <w:szCs w:val="20"/>
          <w:lang w:val="es-US"/>
        </w:rPr>
        <w:br/>
        <w:t>MC 205-21 - Kevin Roberto Solís, Nicaragua</w:t>
      </w:r>
    </w:p>
    <w:p w14:paraId="488B1157" w14:textId="77777777" w:rsidR="00842401" w:rsidRPr="00E42B49" w:rsidRDefault="00842401" w:rsidP="00842401">
      <w:pPr>
        <w:pStyle w:val="Body"/>
        <w:jc w:val="both"/>
        <w:rPr>
          <w:rStyle w:val="None"/>
          <w:rFonts w:ascii="Cambria" w:hAnsi="Cambria"/>
          <w:sz w:val="20"/>
          <w:szCs w:val="20"/>
          <w:lang w:val="es-US"/>
        </w:rPr>
      </w:pPr>
    </w:p>
    <w:p w14:paraId="1A251BD6" w14:textId="77777777" w:rsidR="00842401" w:rsidRPr="00524435" w:rsidRDefault="00842401" w:rsidP="009242CD">
      <w:pPr>
        <w:pStyle w:val="ListParagraph"/>
        <w:rPr>
          <w:rStyle w:val="None"/>
          <w:rFonts w:eastAsia="Cambria" w:cs="Cambria"/>
        </w:rPr>
      </w:pPr>
      <w:r w:rsidRPr="00524435">
        <w:rPr>
          <w:rStyle w:val="None"/>
        </w:rPr>
        <w:t xml:space="preserve">On April 22, 2021, the IACHR decided to grant precautionary measures on behalf of Kevin Roberto Solís. According to the request, the beneficiary, a university student, social activist, and dissident, was at risk while in custody </w:t>
      </w:r>
      <w:proofErr w:type="gramStart"/>
      <w:r w:rsidRPr="00524435">
        <w:rPr>
          <w:rStyle w:val="None"/>
        </w:rPr>
        <w:t>as a result of</w:t>
      </w:r>
      <w:proofErr w:type="gramEnd"/>
      <w:r w:rsidRPr="00524435">
        <w:rPr>
          <w:rStyle w:val="None"/>
        </w:rPr>
        <w:t xml:space="preserve"> a beating he received during his detention, as well as his conditions of detention and an alleged lack of medical care. After reviewing the allegations of fact and law submitted by the parties, the Commission found that the information provided showed prima facie that the situation of Kevin Roberto Solís was serious and urgent, since his life, personal integrity, and health were at risk of irreparable harm. It therefore requested Nicaragua to: a) adopt the measures necessary to protect the right to life, personal integrity, and health of Kevin Roberto Solís; b) ensure that his conditions of detention were compatible with the applicable inter-American standards in this regard; c) bearing in mind the context of the COVID-19 pandemic and the risk to life, personal integrity, and health as a result of the circumstances surrounding his current detention, immediately explore the possibility of granting alternatives to the deprivation of liberty, in </w:t>
      </w:r>
      <w:r w:rsidRPr="00524435">
        <w:rPr>
          <w:rStyle w:val="None"/>
        </w:rPr>
        <w:lastRenderedPageBreak/>
        <w:t xml:space="preserve">accordance with domestic law and the applicable inter-American standards; and, d) report on the action taken to investigate the alleged events that had led to the adoption of this Resolution and thus, avoid their repetition. </w:t>
      </w:r>
    </w:p>
    <w:p w14:paraId="1CA9A36E" w14:textId="77777777" w:rsidR="00842401" w:rsidRPr="00DF0CD0" w:rsidRDefault="00842401" w:rsidP="00842401">
      <w:pPr>
        <w:pStyle w:val="Body"/>
        <w:rPr>
          <w:rStyle w:val="None"/>
          <w:rFonts w:ascii="Cambria" w:eastAsia="Cambria" w:hAnsi="Cambria" w:cs="Cambria"/>
          <w:b/>
          <w:bCs/>
          <w:sz w:val="20"/>
          <w:szCs w:val="20"/>
          <w:lang w:val="pt-BR"/>
        </w:rPr>
      </w:pPr>
      <w:r w:rsidRPr="00DF0CD0">
        <w:rPr>
          <w:rStyle w:val="None"/>
          <w:rFonts w:ascii="Cambria" w:hAnsi="Cambria"/>
          <w:b/>
          <w:bCs/>
          <w:sz w:val="20"/>
          <w:szCs w:val="20"/>
          <w:lang w:val="pt-BR"/>
        </w:rPr>
        <w:t>Resolution No. 37/21</w:t>
      </w:r>
      <w:r w:rsidRPr="00DF0CD0">
        <w:rPr>
          <w:rStyle w:val="None"/>
          <w:rFonts w:ascii="Cambria" w:hAnsi="Cambria"/>
          <w:b/>
          <w:bCs/>
          <w:sz w:val="20"/>
          <w:szCs w:val="20"/>
          <w:lang w:val="pt-BR"/>
        </w:rPr>
        <w:br/>
        <w:t>MC 96-21 - Gustavo Adolfo Mendoza Beteta and family, Nicaragua</w:t>
      </w:r>
    </w:p>
    <w:p w14:paraId="32EF7FC3" w14:textId="77777777" w:rsidR="00842401" w:rsidRPr="00DF0CD0" w:rsidRDefault="00842401" w:rsidP="00842401">
      <w:pPr>
        <w:pStyle w:val="Body"/>
        <w:jc w:val="both"/>
        <w:rPr>
          <w:rStyle w:val="None"/>
          <w:rFonts w:ascii="Cambria" w:hAnsi="Cambria"/>
          <w:sz w:val="20"/>
          <w:szCs w:val="20"/>
          <w:lang w:val="pt-BR"/>
        </w:rPr>
      </w:pPr>
    </w:p>
    <w:p w14:paraId="29053CA6" w14:textId="77777777" w:rsidR="00842401" w:rsidRPr="00524435" w:rsidRDefault="00842401" w:rsidP="009242CD">
      <w:pPr>
        <w:pStyle w:val="ListParagraph"/>
        <w:rPr>
          <w:rStyle w:val="None"/>
          <w:rFonts w:eastAsia="Cambria" w:cs="Cambria"/>
        </w:rPr>
      </w:pPr>
      <w:r w:rsidRPr="00524435">
        <w:rPr>
          <w:rStyle w:val="None"/>
        </w:rPr>
        <w:t xml:space="preserve">On April 29, </w:t>
      </w:r>
      <w:proofErr w:type="gramStart"/>
      <w:r w:rsidRPr="00524435">
        <w:rPr>
          <w:rStyle w:val="None"/>
        </w:rPr>
        <w:t>2021</w:t>
      </w:r>
      <w:proofErr w:type="gramEnd"/>
      <w:r w:rsidRPr="00524435">
        <w:rPr>
          <w:rStyle w:val="None"/>
        </w:rPr>
        <w:t xml:space="preserve"> the IACHR decided to grant precautionary measures on behalf of Gustavo Adolfo Mendoza </w:t>
      </w:r>
      <w:proofErr w:type="spellStart"/>
      <w:r w:rsidRPr="00524435">
        <w:rPr>
          <w:rStyle w:val="None"/>
        </w:rPr>
        <w:t>Beteta</w:t>
      </w:r>
      <w:proofErr w:type="spellEnd"/>
      <w:r w:rsidRPr="00524435">
        <w:rPr>
          <w:rStyle w:val="None"/>
        </w:rPr>
        <w:t xml:space="preserve">, who was deprived of liberty in Jorge Navarro jail (known as “La </w:t>
      </w:r>
      <w:proofErr w:type="spellStart"/>
      <w:r w:rsidRPr="00524435">
        <w:rPr>
          <w:rStyle w:val="None"/>
        </w:rPr>
        <w:t>Modelo</w:t>
      </w:r>
      <w:proofErr w:type="spellEnd"/>
      <w:r w:rsidRPr="00524435">
        <w:rPr>
          <w:rStyle w:val="None"/>
        </w:rPr>
        <w:t xml:space="preserve">”) and his family, comprised of María del Rosario </w:t>
      </w:r>
      <w:proofErr w:type="spellStart"/>
      <w:r w:rsidRPr="00524435">
        <w:rPr>
          <w:rStyle w:val="None"/>
        </w:rPr>
        <w:t>Beteta</w:t>
      </w:r>
      <w:proofErr w:type="spellEnd"/>
      <w:r w:rsidRPr="00524435">
        <w:rPr>
          <w:rStyle w:val="None"/>
        </w:rPr>
        <w:t xml:space="preserve"> </w:t>
      </w:r>
      <w:proofErr w:type="spellStart"/>
      <w:r w:rsidRPr="00524435">
        <w:rPr>
          <w:rStyle w:val="None"/>
        </w:rPr>
        <w:t>Castañeda</w:t>
      </w:r>
      <w:proofErr w:type="spellEnd"/>
      <w:r w:rsidRPr="00524435">
        <w:rPr>
          <w:rStyle w:val="None"/>
        </w:rPr>
        <w:t xml:space="preserve">, Domingo Mendoza, and </w:t>
      </w:r>
      <w:proofErr w:type="spellStart"/>
      <w:r w:rsidRPr="00524435">
        <w:rPr>
          <w:rStyle w:val="None"/>
        </w:rPr>
        <w:t>Marbely</w:t>
      </w:r>
      <w:proofErr w:type="spellEnd"/>
      <w:r w:rsidRPr="00524435">
        <w:rPr>
          <w:rStyle w:val="None"/>
        </w:rPr>
        <w:t xml:space="preserve"> Leal López. According to the request, due to Mendoza </w:t>
      </w:r>
      <w:proofErr w:type="spellStart"/>
      <w:r w:rsidRPr="00524435">
        <w:rPr>
          <w:rStyle w:val="None"/>
        </w:rPr>
        <w:t>Beteta’s</w:t>
      </w:r>
      <w:proofErr w:type="spellEnd"/>
      <w:r w:rsidRPr="00524435">
        <w:rPr>
          <w:rStyle w:val="None"/>
        </w:rPr>
        <w:t xml:space="preserve"> activities in opposition to the current government of Nicaragua, he had been detained in poor conditions and subjected to threats and acts of violence by agents of the State. In this context, his family had also been subjected to harassment. Therefore, pursuant to Article 25 of the Rules of Procedure, the Commission requested Nicaragua to: a) adopt the measures necessary to protect the right to life and personal integrity of Gustavo Adolfo Mendoza </w:t>
      </w:r>
      <w:proofErr w:type="spellStart"/>
      <w:r w:rsidRPr="00524435">
        <w:rPr>
          <w:rStyle w:val="None"/>
        </w:rPr>
        <w:t>Beteta</w:t>
      </w:r>
      <w:proofErr w:type="spellEnd"/>
      <w:r w:rsidRPr="00524435">
        <w:rPr>
          <w:rStyle w:val="None"/>
        </w:rPr>
        <w:t xml:space="preserve"> and his family. In particular, the State should ensure that its agents respected the rights of the beneficiaries in accordance with the standards established in international human rights law and in connection with acts attributable to third parties that put them at risk; b) adopt the measures necessary to ensure that the conditions of Gustavo Adolfo Mendoza </w:t>
      </w:r>
      <w:proofErr w:type="spellStart"/>
      <w:r w:rsidRPr="00524435">
        <w:rPr>
          <w:rStyle w:val="None"/>
        </w:rPr>
        <w:t>Beteta’s</w:t>
      </w:r>
      <w:proofErr w:type="spellEnd"/>
      <w:r w:rsidRPr="00524435">
        <w:rPr>
          <w:rStyle w:val="None"/>
        </w:rPr>
        <w:t xml:space="preserve"> detention met the applicable international standards; c) reach an agreement with the beneficiaries and their representatives on the measures to adopt; and d) report on the action taken to investigate the events that had led to the granting of this precautionary measure and thus, avoid their repetition. </w:t>
      </w:r>
    </w:p>
    <w:p w14:paraId="48F479DB" w14:textId="77777777" w:rsidR="00842401" w:rsidRPr="00524435" w:rsidRDefault="00842401" w:rsidP="00842401">
      <w:pPr>
        <w:pStyle w:val="Body"/>
        <w:rPr>
          <w:rStyle w:val="None"/>
          <w:rFonts w:ascii="Cambria" w:eastAsia="Cambria" w:hAnsi="Cambria" w:cs="Cambria"/>
          <w:b/>
          <w:bCs/>
          <w:sz w:val="20"/>
          <w:szCs w:val="20"/>
        </w:rPr>
      </w:pPr>
      <w:r w:rsidRPr="00524435">
        <w:rPr>
          <w:rStyle w:val="None"/>
          <w:rFonts w:ascii="Cambria" w:hAnsi="Cambria"/>
          <w:b/>
          <w:bCs/>
          <w:sz w:val="20"/>
          <w:szCs w:val="20"/>
        </w:rPr>
        <w:t>Resolution No. 44/21(EXTENSION)</w:t>
      </w:r>
      <w:r w:rsidRPr="00524435">
        <w:rPr>
          <w:rStyle w:val="None"/>
          <w:rFonts w:ascii="Cambria" w:hAnsi="Cambria"/>
          <w:b/>
          <w:bCs/>
          <w:sz w:val="20"/>
          <w:szCs w:val="20"/>
        </w:rPr>
        <w:br/>
        <w:t xml:space="preserve">MC 1105-19 – Identified family members of </w:t>
      </w:r>
      <w:proofErr w:type="spellStart"/>
      <w:r w:rsidRPr="00524435">
        <w:rPr>
          <w:rStyle w:val="None"/>
          <w:rFonts w:ascii="Cambria" w:hAnsi="Cambria"/>
          <w:b/>
          <w:bCs/>
          <w:sz w:val="20"/>
          <w:szCs w:val="20"/>
        </w:rPr>
        <w:t>Neyma</w:t>
      </w:r>
      <w:proofErr w:type="spellEnd"/>
      <w:r w:rsidRPr="00524435">
        <w:rPr>
          <w:rStyle w:val="None"/>
          <w:rFonts w:ascii="Cambria" w:hAnsi="Cambria"/>
          <w:b/>
          <w:bCs/>
          <w:sz w:val="20"/>
          <w:szCs w:val="20"/>
        </w:rPr>
        <w:t xml:space="preserve"> Elizabeth Hernández Ruiz et al., Nicaragua</w:t>
      </w:r>
    </w:p>
    <w:p w14:paraId="65F3A052" w14:textId="77777777" w:rsidR="00842401" w:rsidRPr="00524435" w:rsidRDefault="00842401" w:rsidP="00842401">
      <w:pPr>
        <w:pStyle w:val="Body"/>
        <w:jc w:val="both"/>
        <w:rPr>
          <w:rStyle w:val="None"/>
          <w:rFonts w:ascii="Cambria" w:hAnsi="Cambria"/>
          <w:sz w:val="20"/>
          <w:szCs w:val="20"/>
        </w:rPr>
      </w:pPr>
    </w:p>
    <w:p w14:paraId="4E5A5ADB" w14:textId="77777777" w:rsidR="00842401" w:rsidRPr="00524435" w:rsidRDefault="00842401" w:rsidP="009242CD">
      <w:pPr>
        <w:pStyle w:val="ListParagraph"/>
        <w:rPr>
          <w:rStyle w:val="None"/>
          <w:rFonts w:eastAsia="Cambria" w:cs="Cambria"/>
        </w:rPr>
      </w:pPr>
      <w:r w:rsidRPr="00524435">
        <w:rPr>
          <w:rStyle w:val="None"/>
        </w:rPr>
        <w:t xml:space="preserve">On May 17, 2021, the Inter-American Commission on Human Rights decided to extend the precautionary measures granted on behalf of the identified family members of human rights defenders in Nicaragua. The Commission found </w:t>
      </w:r>
      <w:proofErr w:type="gramStart"/>
      <w:r w:rsidRPr="00524435">
        <w:rPr>
          <w:rStyle w:val="None"/>
        </w:rPr>
        <w:t>the that</w:t>
      </w:r>
      <w:proofErr w:type="gramEnd"/>
      <w:r w:rsidRPr="00524435">
        <w:rPr>
          <w:rStyle w:val="None"/>
        </w:rPr>
        <w:t xml:space="preserve"> situation prima facie met all the requirements of seriousness, urgency, and irreparable harm cited in Article 25 of the IACHR Rules of Procedure. The IACHR therefore requested Nicaragua to adopt the measures necessary to guarantee the lives and personal integrity of the beneficiaries identified in this Resolution. To this end, the State should ensure that its agents respected the lives and personal integrity of beneficiaries, in accordance with the standards established in international human </w:t>
      </w:r>
      <w:proofErr w:type="gramStart"/>
      <w:r w:rsidRPr="00524435">
        <w:rPr>
          <w:rStyle w:val="None"/>
        </w:rPr>
        <w:t>rights law, and</w:t>
      </w:r>
      <w:proofErr w:type="gramEnd"/>
      <w:r w:rsidRPr="00524435">
        <w:rPr>
          <w:rStyle w:val="None"/>
        </w:rPr>
        <w:t xml:space="preserve"> protected their rights in connection with acts attributable to third parties that put them at risk. In the case of persons deprived of liberty, that it </w:t>
      </w:r>
      <w:proofErr w:type="gramStart"/>
      <w:r w:rsidRPr="00524435">
        <w:rPr>
          <w:rStyle w:val="None"/>
        </w:rPr>
        <w:t>ensure</w:t>
      </w:r>
      <w:proofErr w:type="gramEnd"/>
      <w:r w:rsidRPr="00524435">
        <w:rPr>
          <w:rStyle w:val="None"/>
        </w:rPr>
        <w:t xml:space="preserve"> that their conditions of detention were compatible with the international human rights standards applicable to the case. It also requested the State to reach an agreement with the beneficiaries and their representatives on the measures to adopt and to report on the action taken to investigate the alleged events that had led to the adoption of this Resolution.</w:t>
      </w:r>
    </w:p>
    <w:p w14:paraId="7B5C6111" w14:textId="77777777" w:rsidR="00842401" w:rsidRPr="00524435" w:rsidRDefault="00842401" w:rsidP="00842401">
      <w:pPr>
        <w:pStyle w:val="Body"/>
        <w:rPr>
          <w:rStyle w:val="None"/>
          <w:rFonts w:ascii="Cambria" w:eastAsia="Cambria" w:hAnsi="Cambria" w:cs="Cambria"/>
          <w:b/>
          <w:bCs/>
          <w:sz w:val="20"/>
          <w:szCs w:val="20"/>
        </w:rPr>
      </w:pPr>
      <w:r w:rsidRPr="00524435">
        <w:rPr>
          <w:rStyle w:val="None"/>
          <w:rFonts w:ascii="Cambria" w:hAnsi="Cambria"/>
          <w:b/>
          <w:bCs/>
          <w:sz w:val="20"/>
          <w:szCs w:val="20"/>
        </w:rPr>
        <w:t>Resolution No. 47/21</w:t>
      </w:r>
      <w:r w:rsidRPr="00524435">
        <w:rPr>
          <w:rStyle w:val="None"/>
          <w:rFonts w:ascii="Cambria" w:hAnsi="Cambria"/>
          <w:b/>
          <w:bCs/>
          <w:sz w:val="20"/>
          <w:szCs w:val="20"/>
        </w:rPr>
        <w:br/>
        <w:t>MC 366-21 - Kalua Salazar and her family, Nicaragua</w:t>
      </w:r>
    </w:p>
    <w:p w14:paraId="2204BD64" w14:textId="77777777" w:rsidR="00842401" w:rsidRPr="00524435" w:rsidRDefault="00842401" w:rsidP="00842401">
      <w:pPr>
        <w:pStyle w:val="Body"/>
        <w:jc w:val="both"/>
        <w:rPr>
          <w:rStyle w:val="None"/>
          <w:rFonts w:ascii="Cambria" w:hAnsi="Cambria"/>
          <w:sz w:val="20"/>
          <w:szCs w:val="20"/>
        </w:rPr>
      </w:pPr>
    </w:p>
    <w:p w14:paraId="2AE274AE" w14:textId="77777777" w:rsidR="00842401" w:rsidRPr="00524435" w:rsidRDefault="00842401" w:rsidP="009242CD">
      <w:pPr>
        <w:pStyle w:val="ListParagraph"/>
        <w:rPr>
          <w:rStyle w:val="None"/>
          <w:rFonts w:eastAsia="Cambria" w:cs="Cambria"/>
        </w:rPr>
      </w:pPr>
      <w:r w:rsidRPr="00524435">
        <w:rPr>
          <w:rStyle w:val="None"/>
        </w:rPr>
        <w:t xml:space="preserve">On June 10, 2021, the IACHR decided to grant precautionary measures on behalf of Kalua Salazar. According to the petition, the beneficiary – head of the press office of the independent news outlet La </w:t>
      </w:r>
      <w:proofErr w:type="spellStart"/>
      <w:r w:rsidRPr="00524435">
        <w:rPr>
          <w:rStyle w:val="None"/>
        </w:rPr>
        <w:t>Costeñísima</w:t>
      </w:r>
      <w:proofErr w:type="spellEnd"/>
      <w:r w:rsidRPr="00524435">
        <w:rPr>
          <w:rStyle w:val="None"/>
        </w:rPr>
        <w:t xml:space="preserve">– was at risk, being the victim of threats, harassment, and surveillance by State authorities and private parties due to her work as a journalist. After reviewing the allegations of fact and law submitted by the parties, the Commission found that the information provided showed prima facie that the situation of Mrs. Salazar was serious and urgent, since her right to life and personal integrity were at risk of irreparable harm. It therefore requested Nicaragua to: a) adopt the measures necessary to protect the right to life and personal integrity of Kalua Salazar and her family. To this end, the State should ensure that its agents respected the life and personal integrity of the beneficiaries and protected their rights in connection with acts attributable to third parties that put them at risk, in accordance with the standards established in international human rights law; b) adopt the measures necessary for Kalua Salazar to pursue her activities as an independent journalist without being subjected to acts of violence, intimidation, harassment, and detention in the course of her work. This included the adoption of measures to allow her to duly exercise the right to freedom of expression; c) reach an agreement with the beneficiaries and their representatives on the measures to adopt; and d) report on the </w:t>
      </w:r>
      <w:r w:rsidRPr="00524435">
        <w:rPr>
          <w:rStyle w:val="None"/>
        </w:rPr>
        <w:lastRenderedPageBreak/>
        <w:t>action taken to investigate the alleged events that had led to the granting of this precautionary measure and thus, avoid their repetition.</w:t>
      </w:r>
    </w:p>
    <w:p w14:paraId="4CA2F866" w14:textId="77777777" w:rsidR="00842401" w:rsidRPr="007A5442" w:rsidRDefault="00842401" w:rsidP="00842401">
      <w:pPr>
        <w:pStyle w:val="Body"/>
        <w:rPr>
          <w:rStyle w:val="None"/>
          <w:rFonts w:ascii="Cambria" w:eastAsia="Cambria" w:hAnsi="Cambria" w:cs="Cambria"/>
          <w:b/>
          <w:bCs/>
          <w:sz w:val="20"/>
          <w:szCs w:val="20"/>
          <w:lang w:val="pt-PT"/>
        </w:rPr>
      </w:pPr>
      <w:r w:rsidRPr="007A5442">
        <w:rPr>
          <w:rStyle w:val="None"/>
          <w:rFonts w:ascii="Cambria" w:hAnsi="Cambria"/>
          <w:b/>
          <w:bCs/>
          <w:sz w:val="20"/>
          <w:szCs w:val="20"/>
          <w:lang w:val="pt-PT"/>
        </w:rPr>
        <w:t>Resolution No. 48/21</w:t>
      </w:r>
      <w:r w:rsidRPr="007A5442">
        <w:rPr>
          <w:rStyle w:val="None"/>
          <w:rFonts w:ascii="Cambria" w:hAnsi="Cambria"/>
          <w:b/>
          <w:bCs/>
          <w:sz w:val="20"/>
          <w:szCs w:val="20"/>
          <w:lang w:val="pt-PT"/>
        </w:rPr>
        <w:br/>
        <w:t>MC 479-21 - Jhovanny Alexander Tenorio Urbina, Nicaragua</w:t>
      </w:r>
    </w:p>
    <w:p w14:paraId="23203BF2" w14:textId="77777777" w:rsidR="00842401" w:rsidRPr="007A5442" w:rsidRDefault="00842401" w:rsidP="00842401">
      <w:pPr>
        <w:pStyle w:val="Body"/>
        <w:jc w:val="both"/>
        <w:rPr>
          <w:rStyle w:val="None"/>
          <w:rFonts w:ascii="Cambria" w:hAnsi="Cambria"/>
          <w:sz w:val="20"/>
          <w:szCs w:val="20"/>
          <w:lang w:val="pt-PT"/>
        </w:rPr>
      </w:pPr>
    </w:p>
    <w:p w14:paraId="26A8730E" w14:textId="77777777" w:rsidR="00842401" w:rsidRPr="00524435" w:rsidRDefault="00842401" w:rsidP="009242CD">
      <w:pPr>
        <w:pStyle w:val="ListParagraph"/>
        <w:rPr>
          <w:rStyle w:val="None"/>
          <w:rFonts w:eastAsia="Cambria" w:cs="Cambria"/>
        </w:rPr>
      </w:pPr>
      <w:r w:rsidRPr="00524435">
        <w:rPr>
          <w:rStyle w:val="None"/>
        </w:rPr>
        <w:t xml:space="preserve">On June 13, 2021, the IACHR decided to grant precautionary measures on behalf of </w:t>
      </w:r>
      <w:proofErr w:type="spellStart"/>
      <w:r w:rsidRPr="00524435">
        <w:rPr>
          <w:rStyle w:val="None"/>
        </w:rPr>
        <w:t>Jhovanny</w:t>
      </w:r>
      <w:proofErr w:type="spellEnd"/>
      <w:r w:rsidRPr="00524435">
        <w:rPr>
          <w:rStyle w:val="None"/>
        </w:rPr>
        <w:t xml:space="preserve"> Alexander Tenorio Urbina. According to the request, the beneficiary disappeared on May 2, 2021, when he was detained at Hacienda La Aurora, in the municipality of Matagalpa by four armed individuals dressed in civilian clothes who identified themselves as police officers. Since then, his whereabouts or fate had been unknown. After reviewing the allegations of fact and law submitted by the petitioner, the Commission deemed that the information provided showed prima facie that the situation of Mr. Tenorio Urbina was serious and urgent, since his right to life and personal integrity were at risk of irreparable harm. It therefore requested Nicaragua to: a) adopt the measures necessary to protect the right to life and personal integrity of </w:t>
      </w:r>
      <w:proofErr w:type="spellStart"/>
      <w:r w:rsidRPr="00524435">
        <w:rPr>
          <w:rStyle w:val="None"/>
        </w:rPr>
        <w:t>Jhovanny</w:t>
      </w:r>
      <w:proofErr w:type="spellEnd"/>
      <w:r w:rsidRPr="00524435">
        <w:rPr>
          <w:rStyle w:val="None"/>
        </w:rPr>
        <w:t xml:space="preserve"> Alexander Tenorio Urbina – in particular, to report whether the beneficiary was in the custody of the State, and if so, the circumstances surrounding his deprivation of liberty, or else, take steps to determine his whereabouts or fate; b) reach an agreement with the beneficiary’s representative on the measures to adopt; and c) take action to investigate the events that had led to the granting of this precautionary measure and thus, avoid their repetition. </w:t>
      </w:r>
    </w:p>
    <w:p w14:paraId="2752A625" w14:textId="77777777" w:rsidR="00842401" w:rsidRPr="00E42B49" w:rsidRDefault="00842401" w:rsidP="00842401">
      <w:pPr>
        <w:pStyle w:val="Body"/>
        <w:rPr>
          <w:rStyle w:val="None"/>
          <w:rFonts w:ascii="Cambria" w:eastAsia="Cambria" w:hAnsi="Cambria" w:cs="Cambria"/>
          <w:b/>
          <w:bCs/>
          <w:sz w:val="20"/>
          <w:szCs w:val="20"/>
          <w:lang w:val="es-US"/>
        </w:rPr>
      </w:pPr>
      <w:proofErr w:type="spellStart"/>
      <w:r w:rsidRPr="00E42B49">
        <w:rPr>
          <w:rStyle w:val="None"/>
          <w:rFonts w:ascii="Cambria" w:hAnsi="Cambria"/>
          <w:b/>
          <w:bCs/>
          <w:sz w:val="20"/>
          <w:szCs w:val="20"/>
          <w:lang w:val="es-US"/>
        </w:rPr>
        <w:t>Resolution</w:t>
      </w:r>
      <w:proofErr w:type="spellEnd"/>
      <w:r w:rsidRPr="00E42B49">
        <w:rPr>
          <w:rStyle w:val="None"/>
          <w:rFonts w:ascii="Cambria" w:hAnsi="Cambria"/>
          <w:b/>
          <w:bCs/>
          <w:sz w:val="20"/>
          <w:szCs w:val="20"/>
          <w:lang w:val="es-US"/>
        </w:rPr>
        <w:t xml:space="preserve"> No. 49/21</w:t>
      </w:r>
      <w:r w:rsidRPr="00E42B49">
        <w:rPr>
          <w:rStyle w:val="None"/>
          <w:rFonts w:ascii="Cambria" w:hAnsi="Cambria"/>
          <w:b/>
          <w:bCs/>
          <w:sz w:val="20"/>
          <w:szCs w:val="20"/>
          <w:lang w:val="es-US"/>
        </w:rPr>
        <w:br/>
        <w:t>MC 480-21 - Cristiana María Chamorro Barrios et al., Nicaragua</w:t>
      </w:r>
    </w:p>
    <w:p w14:paraId="28BCACEA" w14:textId="77777777" w:rsidR="00842401" w:rsidRPr="00E42B49" w:rsidRDefault="00842401" w:rsidP="00842401">
      <w:pPr>
        <w:pStyle w:val="Body"/>
        <w:jc w:val="both"/>
        <w:rPr>
          <w:rStyle w:val="None"/>
          <w:rFonts w:ascii="Cambria" w:hAnsi="Cambria"/>
          <w:sz w:val="20"/>
          <w:szCs w:val="20"/>
          <w:lang w:val="es-US"/>
        </w:rPr>
      </w:pPr>
    </w:p>
    <w:p w14:paraId="69424DD2" w14:textId="77777777" w:rsidR="00842401" w:rsidRPr="00524435" w:rsidRDefault="00842401" w:rsidP="009242CD">
      <w:pPr>
        <w:pStyle w:val="ListParagraph"/>
        <w:rPr>
          <w:rStyle w:val="None"/>
          <w:rFonts w:eastAsia="Cambria" w:cs="Cambria"/>
        </w:rPr>
      </w:pPr>
      <w:r w:rsidRPr="00524435">
        <w:rPr>
          <w:rStyle w:val="None"/>
        </w:rPr>
        <w:t xml:space="preserve">On June 24, 2021, the IACHR decided to grant precautionary measures on behalf of Cristiana María Chamorro Barrios, Walter Antonio Gómez Silva, Marcos Antonio </w:t>
      </w:r>
      <w:proofErr w:type="spellStart"/>
      <w:r w:rsidRPr="00524435">
        <w:rPr>
          <w:rStyle w:val="None"/>
        </w:rPr>
        <w:t>Fletes</w:t>
      </w:r>
      <w:proofErr w:type="spellEnd"/>
      <w:r w:rsidRPr="00524435">
        <w:rPr>
          <w:rStyle w:val="None"/>
        </w:rPr>
        <w:t xml:space="preserve"> Casco, and Lourdes </w:t>
      </w:r>
      <w:proofErr w:type="spellStart"/>
      <w:r w:rsidRPr="00524435">
        <w:rPr>
          <w:rStyle w:val="None"/>
        </w:rPr>
        <w:t>Arróliga</w:t>
      </w:r>
      <w:proofErr w:type="spellEnd"/>
      <w:r w:rsidRPr="00524435">
        <w:rPr>
          <w:rStyle w:val="None"/>
        </w:rPr>
        <w:t xml:space="preserve">. According to the request, due to the potential presidential candidacy of Mrs. Cristiana María Chamorro Barrios, both she and the other beneficiaries had been persecuted and harassed, some of them even being deprived of liberty with no indication of their whereabouts and conditions of detention. Therefore, pursuant to Article 25 of the Rules of Procedure, the Commission requested Nicaragua to: a) adopt the measures necessary to protect the right to life and personal integrity of Cristiana María Chamorro Barrios, Walter Antonio Gómez Silva, Marcos Antonio </w:t>
      </w:r>
      <w:proofErr w:type="spellStart"/>
      <w:r w:rsidRPr="00524435">
        <w:rPr>
          <w:rStyle w:val="None"/>
        </w:rPr>
        <w:t>Fletes</w:t>
      </w:r>
      <w:proofErr w:type="spellEnd"/>
      <w:r w:rsidRPr="00524435">
        <w:rPr>
          <w:rStyle w:val="None"/>
        </w:rPr>
        <w:t xml:space="preserve"> Casco, and Lourdes </w:t>
      </w:r>
      <w:proofErr w:type="spellStart"/>
      <w:r w:rsidRPr="00524435">
        <w:rPr>
          <w:rStyle w:val="None"/>
        </w:rPr>
        <w:t>Arróliga</w:t>
      </w:r>
      <w:proofErr w:type="spellEnd"/>
      <w:r w:rsidRPr="00524435">
        <w:rPr>
          <w:rStyle w:val="None"/>
        </w:rPr>
        <w:t xml:space="preserve">. In particular, the State should ensure that its agents respected the rights of the beneficiaries, in accordance with the standards established in international human rights law and in connection with acts attributable to third parties that put them at risk; b) adopt the measures necessary to ensure that the conditions of detention of the beneficiaries deprived of liberty met the applicable international standards; c) reach an agreement with the beneficiaries and their representatives on the measures to adopt; and d) report on the action taken to investigate the events that had led to the granting of this precautionary measure and thus, avoid their repetition. </w:t>
      </w:r>
    </w:p>
    <w:p w14:paraId="2FB04FB3" w14:textId="77777777" w:rsidR="00842401" w:rsidRPr="00E42B49" w:rsidRDefault="00842401" w:rsidP="00842401">
      <w:pPr>
        <w:pStyle w:val="Body"/>
        <w:rPr>
          <w:rStyle w:val="None"/>
          <w:rFonts w:ascii="Cambria" w:eastAsia="Cambria" w:hAnsi="Cambria" w:cs="Cambria"/>
          <w:b/>
          <w:bCs/>
          <w:sz w:val="20"/>
          <w:szCs w:val="20"/>
          <w:lang w:val="es-US"/>
        </w:rPr>
      </w:pPr>
      <w:proofErr w:type="spellStart"/>
      <w:r w:rsidRPr="00E42B49">
        <w:rPr>
          <w:rStyle w:val="None"/>
          <w:rFonts w:ascii="Cambria" w:hAnsi="Cambria"/>
          <w:b/>
          <w:bCs/>
          <w:sz w:val="20"/>
          <w:szCs w:val="20"/>
          <w:lang w:val="es-US"/>
        </w:rPr>
        <w:t>Resolution</w:t>
      </w:r>
      <w:proofErr w:type="spellEnd"/>
      <w:r w:rsidRPr="00E42B49">
        <w:rPr>
          <w:rStyle w:val="None"/>
          <w:rFonts w:ascii="Cambria" w:hAnsi="Cambria"/>
          <w:b/>
          <w:bCs/>
          <w:sz w:val="20"/>
          <w:szCs w:val="20"/>
          <w:lang w:val="es-US"/>
        </w:rPr>
        <w:t xml:space="preserve"> No. 52/21</w:t>
      </w:r>
      <w:r w:rsidRPr="00E42B49">
        <w:rPr>
          <w:rStyle w:val="None"/>
          <w:rFonts w:ascii="Cambria" w:hAnsi="Cambria"/>
          <w:b/>
          <w:bCs/>
          <w:sz w:val="20"/>
          <w:szCs w:val="20"/>
          <w:lang w:val="es-US"/>
        </w:rPr>
        <w:br/>
        <w:t xml:space="preserve">MC 311-21, 462-21 - </w:t>
      </w:r>
      <w:proofErr w:type="spellStart"/>
      <w:r w:rsidRPr="00E42B49">
        <w:rPr>
          <w:rStyle w:val="None"/>
          <w:rFonts w:ascii="Cambria" w:hAnsi="Cambria"/>
          <w:b/>
          <w:bCs/>
          <w:sz w:val="20"/>
          <w:szCs w:val="20"/>
          <w:lang w:val="es-US"/>
        </w:rPr>
        <w:t>Willih</w:t>
      </w:r>
      <w:proofErr w:type="spellEnd"/>
      <w:r w:rsidRPr="00E42B49">
        <w:rPr>
          <w:rStyle w:val="None"/>
          <w:rFonts w:ascii="Cambria" w:hAnsi="Cambria"/>
          <w:b/>
          <w:bCs/>
          <w:sz w:val="20"/>
          <w:szCs w:val="20"/>
          <w:lang w:val="es-US"/>
        </w:rPr>
        <w:t xml:space="preserve"> Francisco Narváez González and Alberto José Miranda Herrera, Nicaragua</w:t>
      </w:r>
    </w:p>
    <w:p w14:paraId="19EE5AC6" w14:textId="77777777" w:rsidR="00842401" w:rsidRPr="00E42B49" w:rsidRDefault="00842401" w:rsidP="00842401">
      <w:pPr>
        <w:pStyle w:val="Body"/>
        <w:jc w:val="both"/>
        <w:rPr>
          <w:rStyle w:val="None"/>
          <w:rFonts w:ascii="Cambria" w:hAnsi="Cambria"/>
          <w:sz w:val="20"/>
          <w:szCs w:val="20"/>
          <w:lang w:val="es-US"/>
        </w:rPr>
      </w:pPr>
    </w:p>
    <w:p w14:paraId="681D221D" w14:textId="77777777" w:rsidR="00842401" w:rsidRPr="00524435" w:rsidRDefault="00842401" w:rsidP="009242CD">
      <w:pPr>
        <w:pStyle w:val="ListParagraph"/>
        <w:rPr>
          <w:rStyle w:val="None"/>
          <w:rFonts w:eastAsia="Cambria" w:cs="Cambria"/>
        </w:rPr>
      </w:pPr>
      <w:r w:rsidRPr="00524435">
        <w:rPr>
          <w:rStyle w:val="None"/>
        </w:rPr>
        <w:t xml:space="preserve">On July 11, 2021, the IACHR decided to grant precautionary measures on behalf of </w:t>
      </w:r>
      <w:proofErr w:type="spellStart"/>
      <w:r w:rsidRPr="00524435">
        <w:rPr>
          <w:rStyle w:val="None"/>
        </w:rPr>
        <w:t>Willih</w:t>
      </w:r>
      <w:proofErr w:type="spellEnd"/>
      <w:r w:rsidRPr="00524435">
        <w:rPr>
          <w:rStyle w:val="None"/>
        </w:rPr>
        <w:t xml:space="preserve"> Francisco </w:t>
      </w:r>
      <w:proofErr w:type="spellStart"/>
      <w:r w:rsidRPr="00524435">
        <w:rPr>
          <w:rStyle w:val="None"/>
        </w:rPr>
        <w:t>Narváez</w:t>
      </w:r>
      <w:proofErr w:type="spellEnd"/>
      <w:r w:rsidRPr="00524435">
        <w:rPr>
          <w:rStyle w:val="None"/>
        </w:rPr>
        <w:t xml:space="preserve"> González and Alberto José Miranda Herrera. According to the petition, the beneficiaries were at risk, as they were receiving threats and being subjected to harassment and surveillance by State authorities and private parties due to their work as journalists. Therefore, pursuant to Article 25 of the Rules of Procedure, the Commission requested Nicaragua to: a) adopt the measures necessary to protect the right to life and personal integrity of </w:t>
      </w:r>
      <w:proofErr w:type="spellStart"/>
      <w:r w:rsidRPr="00524435">
        <w:rPr>
          <w:rStyle w:val="None"/>
        </w:rPr>
        <w:t>Willih</w:t>
      </w:r>
      <w:proofErr w:type="spellEnd"/>
      <w:r w:rsidRPr="00524435">
        <w:rPr>
          <w:rStyle w:val="None"/>
        </w:rPr>
        <w:t xml:space="preserve"> Francisco </w:t>
      </w:r>
      <w:proofErr w:type="spellStart"/>
      <w:r w:rsidRPr="00524435">
        <w:rPr>
          <w:rStyle w:val="None"/>
        </w:rPr>
        <w:t>Narváez</w:t>
      </w:r>
      <w:proofErr w:type="spellEnd"/>
      <w:r w:rsidRPr="00524435">
        <w:rPr>
          <w:rStyle w:val="None"/>
        </w:rPr>
        <w:t xml:space="preserve"> González and Alberto José Miranda Herrera. To this end, the State should ensure that its agents respected the beneficiaries’ lives and personal integrity and protected their rights in connection with acts attributable to third parties that put them at risk, in accordance with the standards established in international human rights law; b) adopt the measures necessary for </w:t>
      </w:r>
      <w:proofErr w:type="spellStart"/>
      <w:r w:rsidRPr="00524435">
        <w:rPr>
          <w:rStyle w:val="None"/>
        </w:rPr>
        <w:t>Willih</w:t>
      </w:r>
      <w:proofErr w:type="spellEnd"/>
      <w:r w:rsidRPr="00524435">
        <w:rPr>
          <w:rStyle w:val="None"/>
        </w:rPr>
        <w:t xml:space="preserve"> Francisco </w:t>
      </w:r>
      <w:proofErr w:type="spellStart"/>
      <w:r w:rsidRPr="00524435">
        <w:rPr>
          <w:rStyle w:val="None"/>
        </w:rPr>
        <w:t>Narváez</w:t>
      </w:r>
      <w:proofErr w:type="spellEnd"/>
      <w:r w:rsidRPr="00524435">
        <w:rPr>
          <w:rStyle w:val="None"/>
        </w:rPr>
        <w:t xml:space="preserve"> González and Alberto José Miranda Herrera to pursue their activities as independent journalists without being subjected to violence, intimidation, harassment, and/or other acts of violence in the course of their work. This included the adoption of measures to enable them to duly exercise their right to freedom of expression; c) reach an agreement with the beneficiaries and their representatives on the measures to adopt; </w:t>
      </w:r>
      <w:r w:rsidRPr="00524435">
        <w:rPr>
          <w:rStyle w:val="None"/>
        </w:rPr>
        <w:lastRenderedPageBreak/>
        <w:t>and d) report on the action taken to investigate the alleged events that had led to the granting of this precautionary measure and thus, avoid their repetition.</w:t>
      </w:r>
    </w:p>
    <w:p w14:paraId="40B2979D" w14:textId="77777777" w:rsidR="00842401" w:rsidRPr="00524435" w:rsidRDefault="00842401" w:rsidP="00842401">
      <w:pPr>
        <w:pStyle w:val="Body"/>
        <w:rPr>
          <w:rStyle w:val="None"/>
          <w:rFonts w:ascii="Cambria" w:eastAsia="Cambria" w:hAnsi="Cambria" w:cs="Cambria"/>
          <w:b/>
          <w:bCs/>
          <w:sz w:val="20"/>
          <w:szCs w:val="20"/>
        </w:rPr>
      </w:pPr>
      <w:r w:rsidRPr="00524435">
        <w:rPr>
          <w:rStyle w:val="None"/>
          <w:rFonts w:ascii="Cambria" w:hAnsi="Cambria"/>
          <w:b/>
          <w:bCs/>
          <w:sz w:val="20"/>
          <w:szCs w:val="20"/>
        </w:rPr>
        <w:t>Resolution No. 54/21</w:t>
      </w:r>
      <w:r w:rsidRPr="00524435">
        <w:rPr>
          <w:rStyle w:val="None"/>
          <w:rFonts w:ascii="Cambria" w:hAnsi="Cambria"/>
          <w:b/>
          <w:bCs/>
          <w:sz w:val="20"/>
          <w:szCs w:val="20"/>
        </w:rPr>
        <w:br/>
        <w:t xml:space="preserve">MC 324-21 - Karla Patricia </w:t>
      </w:r>
      <w:proofErr w:type="spellStart"/>
      <w:r w:rsidRPr="00524435">
        <w:rPr>
          <w:rStyle w:val="None"/>
          <w:rFonts w:ascii="Cambria" w:hAnsi="Cambria"/>
          <w:b/>
          <w:bCs/>
          <w:sz w:val="20"/>
          <w:szCs w:val="20"/>
        </w:rPr>
        <w:t>Ñamendi</w:t>
      </w:r>
      <w:proofErr w:type="spellEnd"/>
      <w:r w:rsidRPr="00524435">
        <w:rPr>
          <w:rStyle w:val="None"/>
          <w:rFonts w:ascii="Cambria" w:hAnsi="Cambria"/>
          <w:b/>
          <w:bCs/>
          <w:sz w:val="20"/>
          <w:szCs w:val="20"/>
        </w:rPr>
        <w:t xml:space="preserve"> Mendoza and immediate family, Nicaragua</w:t>
      </w:r>
    </w:p>
    <w:p w14:paraId="1E6F3D26" w14:textId="77777777" w:rsidR="00842401" w:rsidRPr="00524435" w:rsidRDefault="00842401" w:rsidP="00842401">
      <w:pPr>
        <w:pStyle w:val="Body"/>
        <w:jc w:val="both"/>
        <w:rPr>
          <w:rStyle w:val="None"/>
          <w:rFonts w:ascii="Cambria" w:hAnsi="Cambria"/>
          <w:sz w:val="20"/>
          <w:szCs w:val="20"/>
        </w:rPr>
      </w:pPr>
    </w:p>
    <w:p w14:paraId="2C89AFDA" w14:textId="77777777" w:rsidR="00842401" w:rsidRPr="00524435" w:rsidRDefault="00842401" w:rsidP="009242CD">
      <w:pPr>
        <w:pStyle w:val="ListParagraph"/>
        <w:rPr>
          <w:rStyle w:val="None"/>
          <w:rFonts w:eastAsia="Cambria" w:cs="Cambria"/>
        </w:rPr>
      </w:pPr>
      <w:r w:rsidRPr="00524435">
        <w:rPr>
          <w:rStyle w:val="None"/>
        </w:rPr>
        <w:t xml:space="preserve">On July 22, 2021, the IACHR decided to grant precautionary measures on behalf of Karla Patricia </w:t>
      </w:r>
      <w:proofErr w:type="spellStart"/>
      <w:r w:rsidRPr="00524435">
        <w:rPr>
          <w:rStyle w:val="None"/>
        </w:rPr>
        <w:t>Ñamendi</w:t>
      </w:r>
      <w:proofErr w:type="spellEnd"/>
      <w:r w:rsidRPr="00524435">
        <w:rPr>
          <w:rStyle w:val="None"/>
        </w:rPr>
        <w:t xml:space="preserve"> Mendoza and her family. According to the request, Karla Patricia </w:t>
      </w:r>
      <w:proofErr w:type="spellStart"/>
      <w:r w:rsidRPr="00524435">
        <w:rPr>
          <w:rStyle w:val="None"/>
        </w:rPr>
        <w:t>Ñamendi</w:t>
      </w:r>
      <w:proofErr w:type="spellEnd"/>
      <w:r w:rsidRPr="00524435">
        <w:rPr>
          <w:rStyle w:val="None"/>
        </w:rPr>
        <w:t xml:space="preserve"> Mendoza was the object of threats, harassment, and acts of violence by State authorities and parastate agents due to her work in opposition to the current government of Nicaragua. Therefore, pursuant to Article 25 of the Rules of Procedure, the Commission requested Nicaragua to: a) adopt the measures necessary to protect the right to life and personal integrity of Karla Patricia </w:t>
      </w:r>
      <w:proofErr w:type="spellStart"/>
      <w:r w:rsidRPr="00524435">
        <w:rPr>
          <w:rStyle w:val="None"/>
        </w:rPr>
        <w:t>Ñamendi</w:t>
      </w:r>
      <w:proofErr w:type="spellEnd"/>
      <w:r w:rsidRPr="00524435">
        <w:rPr>
          <w:rStyle w:val="None"/>
        </w:rPr>
        <w:t xml:space="preserve"> Mendoza, Esperanza del Carmen Mendoza Amador, Raquel de los </w:t>
      </w:r>
      <w:proofErr w:type="spellStart"/>
      <w:r w:rsidRPr="00524435">
        <w:rPr>
          <w:rStyle w:val="None"/>
        </w:rPr>
        <w:t>Ángeles</w:t>
      </w:r>
      <w:proofErr w:type="spellEnd"/>
      <w:r w:rsidRPr="00524435">
        <w:rPr>
          <w:rStyle w:val="None"/>
        </w:rPr>
        <w:t xml:space="preserve"> </w:t>
      </w:r>
      <w:proofErr w:type="spellStart"/>
      <w:r w:rsidRPr="00524435">
        <w:rPr>
          <w:rStyle w:val="None"/>
        </w:rPr>
        <w:t>Ñamendi</w:t>
      </w:r>
      <w:proofErr w:type="spellEnd"/>
      <w:r w:rsidRPr="00524435">
        <w:rPr>
          <w:rStyle w:val="None"/>
        </w:rPr>
        <w:t xml:space="preserve"> Mendoza, C.A.G.Ñ., and A.A.G.Ñ. In particular, the State should ensure that its agents respected the rights of the beneficiaries in accordance with the standards established in international human rights law and in connection with acts attributable to third parties that put them at risk,; b) reach an agreement with the beneficiaries and their representatives on the measures to adopt; and c) report on the action taken to investigate the events that had led to the granting of this precautionary measure and thus, avoid their repetition.</w:t>
      </w:r>
    </w:p>
    <w:p w14:paraId="392BF7E4" w14:textId="77777777" w:rsidR="00842401" w:rsidRPr="007A5442" w:rsidRDefault="00842401" w:rsidP="00842401">
      <w:pPr>
        <w:pStyle w:val="Body"/>
        <w:rPr>
          <w:rStyle w:val="None"/>
          <w:rFonts w:ascii="Cambria" w:eastAsia="Cambria" w:hAnsi="Cambria" w:cs="Cambria"/>
          <w:b/>
          <w:bCs/>
          <w:sz w:val="20"/>
          <w:szCs w:val="20"/>
          <w:lang w:val="pt-PT"/>
        </w:rPr>
      </w:pPr>
      <w:r w:rsidRPr="007A5442">
        <w:rPr>
          <w:rStyle w:val="None"/>
          <w:rFonts w:ascii="Cambria" w:hAnsi="Cambria"/>
          <w:b/>
          <w:bCs/>
          <w:sz w:val="20"/>
          <w:szCs w:val="20"/>
          <w:lang w:val="pt-PT"/>
        </w:rPr>
        <w:t>Resolution No. 58/21 (EXTENSION)</w:t>
      </w:r>
      <w:r w:rsidRPr="007A5442">
        <w:rPr>
          <w:rStyle w:val="None"/>
          <w:rFonts w:ascii="Cambria" w:hAnsi="Cambria"/>
          <w:b/>
          <w:bCs/>
          <w:sz w:val="20"/>
          <w:szCs w:val="20"/>
          <w:lang w:val="pt-PT"/>
        </w:rPr>
        <w:br/>
        <w:t>MC 480-21 - Pedro Salvador Vásquez, Nicaragua</w:t>
      </w:r>
    </w:p>
    <w:p w14:paraId="66D1BA6C" w14:textId="77777777" w:rsidR="00842401" w:rsidRPr="007A5442" w:rsidRDefault="00842401" w:rsidP="00842401">
      <w:pPr>
        <w:pStyle w:val="Body"/>
        <w:jc w:val="both"/>
        <w:rPr>
          <w:rStyle w:val="None"/>
          <w:rFonts w:ascii="Cambria" w:hAnsi="Cambria"/>
          <w:b/>
          <w:bCs/>
          <w:sz w:val="20"/>
          <w:szCs w:val="20"/>
          <w:lang w:val="pt-PT"/>
        </w:rPr>
      </w:pPr>
    </w:p>
    <w:p w14:paraId="16E99DD9" w14:textId="77777777" w:rsidR="00842401" w:rsidRPr="00524435" w:rsidRDefault="00842401" w:rsidP="009242CD">
      <w:pPr>
        <w:pStyle w:val="ListParagraph"/>
        <w:rPr>
          <w:rStyle w:val="None"/>
          <w:rFonts w:eastAsia="Cambria" w:cs="Cambria"/>
        </w:rPr>
      </w:pPr>
      <w:r w:rsidRPr="00524435">
        <w:rPr>
          <w:rStyle w:val="None"/>
        </w:rPr>
        <w:t>On August 3, 2021, the IACHR decided to extend the precautionary measures granted on behalf of Pedro Salvador Vásquez in Nicaragua after finding that his right to life and personal integrity were at serious and urgent risk of irreparable harm. The Commission therefore requested the State of Nicaragua to: a) adopt the measures necessary to protect the right to life and personal integrity of Pedro Salvador Vásquez. In particular, the State should ensure that its agents respected the rights of the beneficiary in accordance with the standards established in international human rights law and in connection with acts attributable to third parties that put him at risk; b) officially report on his place of detention and adopt the measures necessary to ensure that the beneficiary’s conditions of detention complied with the applicable international standards; c) reach an agreement with the beneficiary and his representatives on the measures to adopt; and  d) report on the action taken to investigate the events that had led to the granting of this precautionary measure and thus, avoid their repetition.</w:t>
      </w:r>
    </w:p>
    <w:p w14:paraId="1B5954CB" w14:textId="77777777" w:rsidR="00842401" w:rsidRPr="00E42B49" w:rsidRDefault="00842401" w:rsidP="00842401">
      <w:pPr>
        <w:pStyle w:val="Body"/>
        <w:rPr>
          <w:rStyle w:val="None"/>
          <w:rFonts w:ascii="Cambria" w:eastAsia="Cambria" w:hAnsi="Cambria" w:cs="Cambria"/>
          <w:b/>
          <w:bCs/>
          <w:sz w:val="20"/>
          <w:szCs w:val="20"/>
          <w:lang w:val="es-US"/>
        </w:rPr>
      </w:pPr>
      <w:proofErr w:type="spellStart"/>
      <w:r w:rsidRPr="00E42B49">
        <w:rPr>
          <w:rStyle w:val="None"/>
          <w:rFonts w:ascii="Cambria" w:hAnsi="Cambria"/>
          <w:b/>
          <w:bCs/>
          <w:sz w:val="20"/>
          <w:szCs w:val="20"/>
          <w:lang w:val="es-US"/>
        </w:rPr>
        <w:t>Resolution</w:t>
      </w:r>
      <w:proofErr w:type="spellEnd"/>
      <w:r w:rsidRPr="00E42B49">
        <w:rPr>
          <w:rStyle w:val="None"/>
          <w:rFonts w:ascii="Cambria" w:hAnsi="Cambria"/>
          <w:b/>
          <w:bCs/>
          <w:sz w:val="20"/>
          <w:szCs w:val="20"/>
          <w:lang w:val="es-US"/>
        </w:rPr>
        <w:t xml:space="preserve"> No. 59/21</w:t>
      </w:r>
      <w:r w:rsidRPr="00E42B49">
        <w:rPr>
          <w:rStyle w:val="None"/>
          <w:rFonts w:ascii="Cambria" w:hAnsi="Cambria"/>
          <w:b/>
          <w:bCs/>
          <w:sz w:val="20"/>
          <w:szCs w:val="20"/>
          <w:lang w:val="es-US"/>
        </w:rPr>
        <w:br/>
        <w:t>MC 511-21 - Flor de María Ramírez, Nicaragua</w:t>
      </w:r>
    </w:p>
    <w:p w14:paraId="4D16A3BF" w14:textId="77777777" w:rsidR="00842401" w:rsidRPr="00E42B49" w:rsidRDefault="00842401" w:rsidP="00842401">
      <w:pPr>
        <w:pStyle w:val="Body"/>
        <w:jc w:val="both"/>
        <w:rPr>
          <w:rStyle w:val="None"/>
          <w:rFonts w:ascii="Cambria" w:hAnsi="Cambria"/>
          <w:sz w:val="20"/>
          <w:szCs w:val="20"/>
          <w:lang w:val="es-US"/>
        </w:rPr>
      </w:pPr>
    </w:p>
    <w:p w14:paraId="7894B278" w14:textId="77777777" w:rsidR="00842401" w:rsidRPr="00524435" w:rsidRDefault="00842401" w:rsidP="009242CD">
      <w:pPr>
        <w:pStyle w:val="ListParagraph"/>
        <w:rPr>
          <w:rStyle w:val="None"/>
          <w:rFonts w:eastAsia="Cambria" w:cs="Cambria"/>
        </w:rPr>
      </w:pPr>
      <w:r w:rsidRPr="00524435">
        <w:rPr>
          <w:rStyle w:val="None"/>
        </w:rPr>
        <w:t>On August 3, 2021, the IACHR decided to grant precautionary measures on behalf of Flor de María Ramírez. According to the request, due to her work in political opposition to the current government in Nicaragua, the beneficiary was at risk, being the victim of threats, harassment, detentions, and acts of violence by State authorities and parastate agents. After reviewing the allegations of fact and law submitted by the parties, the Commission found that the information provided showed prima facie that the situation of Flor de María Ramírez was both serious and urgent, since her right to life and personal integrity were at risk of irreparable harm. It therefore requested Nicaragua to: a) adopt the measures necessary to protect the right to life and personal integrity of Flor de María Ramírez. To this end, the State should ensure that its agents respected the life and personal integrity of the beneficiary and protected her rights in connection with acts attributable to third parties that put her at risk, in accordance with the standards established in international human rights law; b) reach an agreement with the beneficiary and her representatives on the measures to adopt; and c) report on the action taken to investigate the alleged events that had led to the granting of this precautionary measure and thus, avoid their repetition.</w:t>
      </w:r>
    </w:p>
    <w:p w14:paraId="7CFBEF53" w14:textId="77777777" w:rsidR="00005144" w:rsidRPr="00524435" w:rsidRDefault="00005144">
      <w:pPr>
        <w:rPr>
          <w:rStyle w:val="None"/>
          <w:rFonts w:ascii="Cambria" w:eastAsia="Calibri" w:hAnsi="Cambria" w:cs="Calibri"/>
          <w:b/>
          <w:bCs/>
          <w:color w:val="000000"/>
          <w:sz w:val="20"/>
          <w:szCs w:val="20"/>
          <w:u w:color="000000"/>
          <w:bdr w:val="nil"/>
        </w:rPr>
      </w:pPr>
      <w:r w:rsidRPr="00524435">
        <w:rPr>
          <w:rStyle w:val="None"/>
          <w:rFonts w:ascii="Cambria" w:hAnsi="Cambria"/>
          <w:b/>
          <w:bCs/>
          <w:sz w:val="20"/>
          <w:szCs w:val="20"/>
        </w:rPr>
        <w:br w:type="page"/>
      </w:r>
    </w:p>
    <w:p w14:paraId="7B8FAEDC" w14:textId="5F19D48C" w:rsidR="00842401" w:rsidRPr="00524435" w:rsidRDefault="00842401" w:rsidP="00842401">
      <w:pPr>
        <w:pStyle w:val="Body"/>
        <w:rPr>
          <w:rStyle w:val="None"/>
          <w:rFonts w:ascii="Cambria" w:eastAsia="Cambria" w:hAnsi="Cambria" w:cs="Cambria"/>
          <w:b/>
          <w:bCs/>
          <w:sz w:val="20"/>
          <w:szCs w:val="20"/>
        </w:rPr>
      </w:pPr>
      <w:r w:rsidRPr="00524435">
        <w:rPr>
          <w:rStyle w:val="None"/>
          <w:rFonts w:ascii="Cambria" w:hAnsi="Cambria"/>
          <w:b/>
          <w:bCs/>
          <w:sz w:val="20"/>
          <w:szCs w:val="20"/>
        </w:rPr>
        <w:lastRenderedPageBreak/>
        <w:t>Resolution No. 60/21(EXTENSION)</w:t>
      </w:r>
      <w:r w:rsidRPr="00524435">
        <w:rPr>
          <w:rStyle w:val="None"/>
          <w:rFonts w:ascii="Cambria" w:hAnsi="Cambria"/>
          <w:b/>
          <w:bCs/>
          <w:sz w:val="20"/>
          <w:szCs w:val="20"/>
        </w:rPr>
        <w:br/>
        <w:t>MC 1191-19 - Francis Valdivia Machado and her immediate family, Nicaragua</w:t>
      </w:r>
    </w:p>
    <w:p w14:paraId="52342522" w14:textId="77777777" w:rsidR="00842401" w:rsidRPr="00524435" w:rsidRDefault="00842401" w:rsidP="00842401">
      <w:pPr>
        <w:pStyle w:val="Body"/>
        <w:jc w:val="both"/>
        <w:rPr>
          <w:rStyle w:val="None"/>
          <w:rFonts w:ascii="Cambria" w:hAnsi="Cambria"/>
          <w:b/>
          <w:bCs/>
          <w:sz w:val="20"/>
          <w:szCs w:val="20"/>
        </w:rPr>
      </w:pPr>
    </w:p>
    <w:p w14:paraId="358162E4" w14:textId="77777777" w:rsidR="00842401" w:rsidRPr="00524435" w:rsidRDefault="00842401" w:rsidP="009242CD">
      <w:pPr>
        <w:pStyle w:val="ListParagraph"/>
        <w:rPr>
          <w:rStyle w:val="None"/>
          <w:rFonts w:eastAsia="Cambria" w:cs="Cambria"/>
        </w:rPr>
      </w:pPr>
      <w:r w:rsidRPr="00524435">
        <w:rPr>
          <w:rStyle w:val="None"/>
        </w:rPr>
        <w:t xml:space="preserve">On August 7, 2021, the IACHR decided to extend the precautionary measures granted on behalf of Francis Valdivia Machado and her immediate family in Nicaragua. According to the request, Francis Valdivia Machado, President of the </w:t>
      </w:r>
      <w:proofErr w:type="gramStart"/>
      <w:r w:rsidRPr="00524435">
        <w:rPr>
          <w:rStyle w:val="None"/>
        </w:rPr>
        <w:t>Mothers</w:t>
      </w:r>
      <w:proofErr w:type="gramEnd"/>
      <w:r w:rsidRPr="00524435">
        <w:rPr>
          <w:rStyle w:val="None"/>
        </w:rPr>
        <w:t xml:space="preserve"> of April Association (</w:t>
      </w:r>
      <w:proofErr w:type="spellStart"/>
      <w:r w:rsidRPr="00524435">
        <w:rPr>
          <w:rStyle w:val="None"/>
        </w:rPr>
        <w:t>Asociación</w:t>
      </w:r>
      <w:proofErr w:type="spellEnd"/>
      <w:r w:rsidRPr="00524435">
        <w:rPr>
          <w:rStyle w:val="None"/>
        </w:rPr>
        <w:t xml:space="preserve"> Madres de Abril) (AMA) and her family were being followed, intimidated, and assaulted by police officers and their associates in the country’s current circumstances. Therefore, pursuant to Article 25 of the Rules of Procedure, the Commission requested the State of Nicaragua to: a) adopt the measures necessary to guarantee the right to life and personal integrity of Francis Valdivia Machado and her immediate family. In particular, the State should ensure that the rights of the beneficiaries would be respected by its agents, in accordance with the standards established in international human rights law and in connection with acts attributable to third parties that put them at risk; and c) report on the action taken to investigate the alleged events that had led to the granting of this precautionary measure and thus, avoid their repetition.</w:t>
      </w:r>
    </w:p>
    <w:p w14:paraId="3FBBA0FE" w14:textId="77777777" w:rsidR="00842401" w:rsidRPr="00E42B49" w:rsidRDefault="00842401" w:rsidP="00842401">
      <w:pPr>
        <w:pStyle w:val="Body"/>
        <w:rPr>
          <w:rStyle w:val="None"/>
          <w:rFonts w:ascii="Cambria" w:eastAsia="Cambria" w:hAnsi="Cambria" w:cs="Cambria"/>
          <w:b/>
          <w:bCs/>
          <w:sz w:val="20"/>
          <w:szCs w:val="20"/>
          <w:lang w:val="es-US"/>
        </w:rPr>
      </w:pPr>
      <w:proofErr w:type="spellStart"/>
      <w:r w:rsidRPr="00E42B49">
        <w:rPr>
          <w:rStyle w:val="None"/>
          <w:rFonts w:ascii="Cambria" w:hAnsi="Cambria"/>
          <w:b/>
          <w:bCs/>
          <w:sz w:val="20"/>
          <w:szCs w:val="20"/>
          <w:lang w:val="es-US"/>
        </w:rPr>
        <w:t>Resolution</w:t>
      </w:r>
      <w:proofErr w:type="spellEnd"/>
      <w:r w:rsidRPr="00E42B49">
        <w:rPr>
          <w:rStyle w:val="None"/>
          <w:rFonts w:ascii="Cambria" w:hAnsi="Cambria"/>
          <w:b/>
          <w:bCs/>
          <w:sz w:val="20"/>
          <w:szCs w:val="20"/>
          <w:lang w:val="es-US"/>
        </w:rPr>
        <w:t xml:space="preserve"> No. 61/21(EXTENSION)</w:t>
      </w:r>
      <w:r w:rsidRPr="00E42B49">
        <w:rPr>
          <w:rStyle w:val="None"/>
          <w:rFonts w:ascii="Cambria" w:hAnsi="Cambria"/>
          <w:b/>
          <w:bCs/>
          <w:sz w:val="20"/>
          <w:szCs w:val="20"/>
          <w:lang w:val="es-US"/>
        </w:rPr>
        <w:br/>
        <w:t>MC 873-18 - Miguel de los Ángeles Mora Barberena, Nicaragua</w:t>
      </w:r>
    </w:p>
    <w:p w14:paraId="1C1BF3C9" w14:textId="77777777" w:rsidR="00842401" w:rsidRPr="00E42B49" w:rsidRDefault="00842401" w:rsidP="00842401">
      <w:pPr>
        <w:pStyle w:val="Body"/>
        <w:jc w:val="both"/>
        <w:rPr>
          <w:rStyle w:val="None"/>
          <w:rFonts w:ascii="Cambria" w:hAnsi="Cambria"/>
          <w:sz w:val="20"/>
          <w:szCs w:val="20"/>
          <w:lang w:val="es-US"/>
        </w:rPr>
      </w:pPr>
    </w:p>
    <w:p w14:paraId="776432BE" w14:textId="77777777" w:rsidR="00842401" w:rsidRPr="00524435" w:rsidRDefault="00842401" w:rsidP="009242CD">
      <w:pPr>
        <w:pStyle w:val="ListParagraph"/>
        <w:rPr>
          <w:rStyle w:val="None"/>
          <w:rFonts w:eastAsia="Cambria" w:cs="Cambria"/>
        </w:rPr>
      </w:pPr>
      <w:r w:rsidRPr="00524435">
        <w:rPr>
          <w:rStyle w:val="None"/>
        </w:rPr>
        <w:t xml:space="preserve">On August 11, 2021, the IACHR decided to extend the precautionary measures granted on behalf of Miguel de los </w:t>
      </w:r>
      <w:proofErr w:type="spellStart"/>
      <w:r w:rsidRPr="00524435">
        <w:rPr>
          <w:rStyle w:val="None"/>
        </w:rPr>
        <w:t>Ángeles</w:t>
      </w:r>
      <w:proofErr w:type="spellEnd"/>
      <w:r w:rsidRPr="00524435">
        <w:rPr>
          <w:rStyle w:val="None"/>
        </w:rPr>
        <w:t xml:space="preserve"> Mora </w:t>
      </w:r>
      <w:proofErr w:type="spellStart"/>
      <w:r w:rsidRPr="00524435">
        <w:rPr>
          <w:rStyle w:val="None"/>
        </w:rPr>
        <w:t>Barberena</w:t>
      </w:r>
      <w:proofErr w:type="spellEnd"/>
      <w:r w:rsidRPr="00524435">
        <w:rPr>
          <w:rStyle w:val="None"/>
        </w:rPr>
        <w:t xml:space="preserve"> and his son M.A.M.C. in Nicaragua. According to the request, the proposed beneficiary was still at risk, given his profile as a journalist and his intention to run for president in the upcoming elections. In the regard, the request indicated that he had been assaulted and was being detained and kept incommunicado, [unable to speak with] his family or attorney. Therefore, pursuant to Article 25 of the Rules of Procedure, the Commission requested the State of Nicaragua to: a) adopt the measures necessary to guarantee the right to life and personal integrity of the persons identified. In particular, the State should ensure that the rights of the beneficiaries would be respected, in accordance with the standards established in international human rights law, both by its agents and in connection with acts attributable to third parties that put them at risk; b) report on the official whereabouts of Mr. Mora </w:t>
      </w:r>
      <w:proofErr w:type="spellStart"/>
      <w:r w:rsidRPr="00524435">
        <w:rPr>
          <w:rStyle w:val="None"/>
        </w:rPr>
        <w:t>Barberena</w:t>
      </w:r>
      <w:proofErr w:type="spellEnd"/>
      <w:r w:rsidRPr="00524435">
        <w:rPr>
          <w:rStyle w:val="None"/>
        </w:rPr>
        <w:t xml:space="preserve">, as well as the conditions of his detention, ensuring that they met international standards, as necessary. Furthermore, </w:t>
      </w:r>
      <w:proofErr w:type="gramStart"/>
      <w:r w:rsidRPr="00524435">
        <w:rPr>
          <w:rStyle w:val="None"/>
        </w:rPr>
        <w:t>in order to</w:t>
      </w:r>
      <w:proofErr w:type="gramEnd"/>
      <w:r w:rsidRPr="00524435">
        <w:rPr>
          <w:rStyle w:val="None"/>
        </w:rPr>
        <w:t xml:space="preserve"> verify his situation, give Mr. Mora’s legal representatives access to him and permit family visitation in accordance with the applicable international standards; c) reach an agreement with the beneficiary and his representatives on the measures to adopt; and d) report on the action taken to investigate the alleged events that had led to the granting of this precautionary measure and thus, avoid their repetition.</w:t>
      </w:r>
    </w:p>
    <w:p w14:paraId="59FBA339" w14:textId="77777777" w:rsidR="00842401" w:rsidRPr="00E42B49" w:rsidRDefault="00842401" w:rsidP="00842401">
      <w:pPr>
        <w:pStyle w:val="Body"/>
        <w:rPr>
          <w:rStyle w:val="None"/>
          <w:rFonts w:ascii="Cambria" w:eastAsia="Cambria" w:hAnsi="Cambria" w:cs="Cambria"/>
          <w:b/>
          <w:bCs/>
          <w:sz w:val="20"/>
          <w:szCs w:val="20"/>
          <w:lang w:val="es-US"/>
        </w:rPr>
      </w:pPr>
      <w:proofErr w:type="spellStart"/>
      <w:r w:rsidRPr="00E42B49">
        <w:rPr>
          <w:rStyle w:val="None"/>
          <w:rFonts w:ascii="Cambria" w:hAnsi="Cambria"/>
          <w:b/>
          <w:bCs/>
          <w:sz w:val="20"/>
          <w:szCs w:val="20"/>
          <w:lang w:val="es-US"/>
        </w:rPr>
        <w:t>Resolution</w:t>
      </w:r>
      <w:proofErr w:type="spellEnd"/>
      <w:r w:rsidRPr="00E42B49">
        <w:rPr>
          <w:rStyle w:val="None"/>
          <w:rFonts w:ascii="Cambria" w:hAnsi="Cambria"/>
          <w:b/>
          <w:bCs/>
          <w:sz w:val="20"/>
          <w:szCs w:val="20"/>
          <w:lang w:val="es-US"/>
        </w:rPr>
        <w:t xml:space="preserve"> No. 65/21</w:t>
      </w:r>
      <w:r w:rsidRPr="00E42B49">
        <w:rPr>
          <w:rStyle w:val="None"/>
          <w:rFonts w:ascii="Cambria" w:hAnsi="Cambria"/>
          <w:b/>
          <w:bCs/>
          <w:sz w:val="20"/>
          <w:szCs w:val="20"/>
          <w:lang w:val="es-US"/>
        </w:rPr>
        <w:br/>
        <w:t xml:space="preserve">MC 444-21 - Douglas Antonio Villanueva Sandoval, Cindy Mariana Mejía Tercero, and </w:t>
      </w:r>
      <w:proofErr w:type="spellStart"/>
      <w:r w:rsidRPr="00E42B49">
        <w:rPr>
          <w:rStyle w:val="None"/>
          <w:rFonts w:ascii="Cambria" w:hAnsi="Cambria"/>
          <w:b/>
          <w:bCs/>
          <w:sz w:val="20"/>
          <w:szCs w:val="20"/>
          <w:lang w:val="es-US"/>
        </w:rPr>
        <w:t>their</w:t>
      </w:r>
      <w:proofErr w:type="spellEnd"/>
      <w:r w:rsidRPr="00E42B49">
        <w:rPr>
          <w:rStyle w:val="None"/>
          <w:rFonts w:ascii="Cambria" w:hAnsi="Cambria"/>
          <w:b/>
          <w:bCs/>
          <w:sz w:val="20"/>
          <w:szCs w:val="20"/>
          <w:lang w:val="es-US"/>
        </w:rPr>
        <w:t xml:space="preserve"> son, Nicaragua</w:t>
      </w:r>
    </w:p>
    <w:p w14:paraId="25B1B9D2" w14:textId="77777777" w:rsidR="00842401" w:rsidRPr="00E42B49" w:rsidRDefault="00842401" w:rsidP="00842401">
      <w:pPr>
        <w:pStyle w:val="Body"/>
        <w:jc w:val="both"/>
        <w:rPr>
          <w:rStyle w:val="None"/>
          <w:rFonts w:ascii="Cambria" w:hAnsi="Cambria"/>
          <w:sz w:val="20"/>
          <w:szCs w:val="20"/>
          <w:lang w:val="es-US"/>
        </w:rPr>
      </w:pPr>
    </w:p>
    <w:p w14:paraId="2E326749" w14:textId="77777777" w:rsidR="00842401" w:rsidRPr="00524435" w:rsidRDefault="00842401" w:rsidP="009242CD">
      <w:pPr>
        <w:pStyle w:val="ListParagraph"/>
        <w:rPr>
          <w:rStyle w:val="None"/>
          <w:rFonts w:eastAsia="Cambria" w:cs="Cambria"/>
        </w:rPr>
      </w:pPr>
      <w:r w:rsidRPr="00524435">
        <w:rPr>
          <w:rStyle w:val="None"/>
        </w:rPr>
        <w:t xml:space="preserve">On August 23, </w:t>
      </w:r>
      <w:proofErr w:type="gramStart"/>
      <w:r w:rsidRPr="00524435">
        <w:rPr>
          <w:rStyle w:val="None"/>
        </w:rPr>
        <w:t>2021</w:t>
      </w:r>
      <w:proofErr w:type="gramEnd"/>
      <w:r w:rsidRPr="00524435">
        <w:rPr>
          <w:rStyle w:val="None"/>
        </w:rPr>
        <w:t xml:space="preserve"> the IACHR decided to grant precautionary measures on behalf of Douglas Antonio Villanueva Sandoval, Cindy Mariana Mejía </w:t>
      </w:r>
      <w:proofErr w:type="spellStart"/>
      <w:r w:rsidRPr="00524435">
        <w:rPr>
          <w:rStyle w:val="None"/>
        </w:rPr>
        <w:t>Tercero</w:t>
      </w:r>
      <w:proofErr w:type="spellEnd"/>
      <w:r w:rsidRPr="00524435">
        <w:rPr>
          <w:rStyle w:val="None"/>
        </w:rPr>
        <w:t xml:space="preserve">, and their son. According to the request, proposed beneficiary Villanueva Sandoval was the object of threats, harassment, and acts of violence by State authorities and parastate agents. In this context, his companion, Mrs. Mejía </w:t>
      </w:r>
      <w:proofErr w:type="spellStart"/>
      <w:r w:rsidRPr="00524435">
        <w:rPr>
          <w:rStyle w:val="None"/>
        </w:rPr>
        <w:t>Tercero</w:t>
      </w:r>
      <w:proofErr w:type="spellEnd"/>
      <w:r w:rsidRPr="00524435">
        <w:rPr>
          <w:rStyle w:val="None"/>
        </w:rPr>
        <w:t xml:space="preserve"> was also the target of harassment and threats. Therefore, pursuant to Article 25 of the Rules of Procedure, the Commission requested Nicaragua to: a) adopt the measures necessary to protect the right to life and personal integrity of Douglas Antonio Villanueva Sandoval, Cindy Mariana Mejía </w:t>
      </w:r>
      <w:proofErr w:type="spellStart"/>
      <w:r w:rsidRPr="00524435">
        <w:rPr>
          <w:rStyle w:val="None"/>
        </w:rPr>
        <w:t>Tercero</w:t>
      </w:r>
      <w:proofErr w:type="spellEnd"/>
      <w:r w:rsidRPr="00524435">
        <w:rPr>
          <w:rStyle w:val="None"/>
        </w:rPr>
        <w:t>, and their son. In particular, the State should ensure that its agents respected the rights of the beneficiaries, in accordance with the standards established in international human rights law and in connection with the acts attributable to third parties that put them at risk; b) reach an agreement with the beneficiaries and their representatives on the measures to adopt; and c) report on the action taken to investigate the events that had led to the granting of this precautionary measure and thus, avoid their repetition.</w:t>
      </w:r>
    </w:p>
    <w:p w14:paraId="6BF9303E" w14:textId="77777777" w:rsidR="00005144" w:rsidRPr="00524435" w:rsidRDefault="00005144">
      <w:pPr>
        <w:rPr>
          <w:rStyle w:val="None"/>
          <w:rFonts w:ascii="Cambria" w:eastAsia="Calibri" w:hAnsi="Cambria" w:cs="Calibri"/>
          <w:b/>
          <w:bCs/>
          <w:color w:val="000000"/>
          <w:sz w:val="20"/>
          <w:szCs w:val="20"/>
          <w:u w:color="000000"/>
          <w:bdr w:val="nil"/>
        </w:rPr>
      </w:pPr>
      <w:r w:rsidRPr="00524435">
        <w:rPr>
          <w:rStyle w:val="None"/>
          <w:rFonts w:ascii="Cambria" w:hAnsi="Cambria"/>
          <w:b/>
          <w:bCs/>
          <w:sz w:val="20"/>
          <w:szCs w:val="20"/>
        </w:rPr>
        <w:br w:type="page"/>
      </w:r>
    </w:p>
    <w:p w14:paraId="5EB1259F" w14:textId="2AF3F48B" w:rsidR="00842401" w:rsidRPr="007A5442" w:rsidRDefault="00842401" w:rsidP="00842401">
      <w:pPr>
        <w:pStyle w:val="Body"/>
        <w:rPr>
          <w:rStyle w:val="None"/>
          <w:rFonts w:ascii="Cambria" w:eastAsia="Cambria" w:hAnsi="Cambria" w:cs="Cambria"/>
          <w:b/>
          <w:bCs/>
          <w:sz w:val="20"/>
          <w:szCs w:val="20"/>
          <w:lang w:val="pt-PT"/>
        </w:rPr>
      </w:pPr>
      <w:r w:rsidRPr="007A5442">
        <w:rPr>
          <w:rStyle w:val="None"/>
          <w:rFonts w:ascii="Cambria" w:hAnsi="Cambria"/>
          <w:b/>
          <w:bCs/>
          <w:sz w:val="20"/>
          <w:szCs w:val="20"/>
          <w:lang w:val="pt-PT"/>
        </w:rPr>
        <w:lastRenderedPageBreak/>
        <w:t>Resolution No. 67/21</w:t>
      </w:r>
      <w:r w:rsidRPr="007A5442">
        <w:rPr>
          <w:rStyle w:val="None"/>
          <w:rFonts w:ascii="Cambria" w:hAnsi="Cambria"/>
          <w:b/>
          <w:bCs/>
          <w:sz w:val="20"/>
          <w:szCs w:val="20"/>
          <w:lang w:val="pt-PT"/>
        </w:rPr>
        <w:br/>
        <w:t>MC 584-21 - José Bernard Pallais Arana, Nicaragua</w:t>
      </w:r>
    </w:p>
    <w:p w14:paraId="4CFD3740" w14:textId="77777777" w:rsidR="00842401" w:rsidRPr="007A5442" w:rsidRDefault="00842401" w:rsidP="00842401">
      <w:pPr>
        <w:pStyle w:val="Body"/>
        <w:jc w:val="both"/>
        <w:rPr>
          <w:rStyle w:val="None"/>
          <w:rFonts w:ascii="Cambria" w:hAnsi="Cambria"/>
          <w:b/>
          <w:bCs/>
          <w:sz w:val="20"/>
          <w:szCs w:val="20"/>
          <w:lang w:val="pt-PT"/>
        </w:rPr>
      </w:pPr>
    </w:p>
    <w:p w14:paraId="293D8112" w14:textId="77777777" w:rsidR="00842401" w:rsidRPr="00524435" w:rsidRDefault="00842401" w:rsidP="009242CD">
      <w:pPr>
        <w:pStyle w:val="ListParagraph"/>
        <w:rPr>
          <w:rStyle w:val="None"/>
          <w:rFonts w:eastAsia="Cambria" w:cs="Cambria"/>
        </w:rPr>
      </w:pPr>
      <w:r w:rsidRPr="00524435">
        <w:rPr>
          <w:rStyle w:val="None"/>
        </w:rPr>
        <w:t xml:space="preserve">On August 24, 2021, the IACHR decided to grant precautionary measures on behalf of José Bernard </w:t>
      </w:r>
      <w:proofErr w:type="spellStart"/>
      <w:r w:rsidRPr="00524435">
        <w:rPr>
          <w:rStyle w:val="None"/>
        </w:rPr>
        <w:t>Pallais</w:t>
      </w:r>
      <w:proofErr w:type="spellEnd"/>
      <w:r w:rsidRPr="00524435">
        <w:rPr>
          <w:rStyle w:val="None"/>
        </w:rPr>
        <w:t xml:space="preserve"> Arana. According to the petition, the beneficiary was at risk, as he suffered from serious chronic illnesses and had been deprived of liberty since June 9, 2021, and his whereabouts and conditions of detention were unknown. After reviewing the allegations of fact and law submitted by the parties in the context in which this took place, the Commission found that the information provided showed prima facie that Mr. </w:t>
      </w:r>
      <w:proofErr w:type="spellStart"/>
      <w:r w:rsidRPr="00524435">
        <w:rPr>
          <w:rStyle w:val="None"/>
        </w:rPr>
        <w:t>Pallais</w:t>
      </w:r>
      <w:proofErr w:type="spellEnd"/>
      <w:r w:rsidRPr="00524435">
        <w:rPr>
          <w:rStyle w:val="None"/>
        </w:rPr>
        <w:t xml:space="preserve"> Arana’s situation was serious and urgent, since his right to life and personal integrity were at risk of irreparable harm. It therefore requested  Nicaragua to: a) adopt the measures necessary to protect the right to life, personal integrity, and health of José Bernard </w:t>
      </w:r>
      <w:proofErr w:type="spellStart"/>
      <w:r w:rsidRPr="00524435">
        <w:rPr>
          <w:rStyle w:val="None"/>
        </w:rPr>
        <w:t>Pallais</w:t>
      </w:r>
      <w:proofErr w:type="spellEnd"/>
      <w:r w:rsidRPr="00524435">
        <w:rPr>
          <w:rStyle w:val="None"/>
        </w:rPr>
        <w:t xml:space="preserve"> Arana; b) ensure that his conditions of detention were compatible with the applicable international standards in this regard; c) considering the risk to his life, personal integrity and health due to the circumstances surrounding his current deprivation of liberty, immediately explore the possibility of granting alternatives to the deprivation of liberty under domestic law and in accordance with the applicable international standards; and d) report on the action taken to investigate the alleged events that had led to the adoption of this Resolution and thus, avoid their repetition.</w:t>
      </w:r>
    </w:p>
    <w:p w14:paraId="378D5BD1" w14:textId="77777777" w:rsidR="00842401" w:rsidRPr="00524435" w:rsidRDefault="00842401" w:rsidP="00842401">
      <w:pPr>
        <w:pStyle w:val="Body"/>
        <w:rPr>
          <w:rStyle w:val="None"/>
          <w:rFonts w:ascii="Cambria" w:eastAsia="Cambria" w:hAnsi="Cambria" w:cs="Cambria"/>
          <w:b/>
          <w:bCs/>
          <w:sz w:val="20"/>
          <w:szCs w:val="20"/>
        </w:rPr>
      </w:pPr>
      <w:r w:rsidRPr="00524435">
        <w:rPr>
          <w:rStyle w:val="None"/>
          <w:rFonts w:ascii="Cambria" w:hAnsi="Cambria"/>
          <w:b/>
          <w:bCs/>
          <w:sz w:val="20"/>
          <w:szCs w:val="20"/>
        </w:rPr>
        <w:t>Resolution No. 70/21</w:t>
      </w:r>
      <w:r w:rsidRPr="00524435">
        <w:rPr>
          <w:rStyle w:val="None"/>
          <w:rFonts w:ascii="Cambria" w:hAnsi="Cambria"/>
          <w:b/>
          <w:bCs/>
          <w:sz w:val="20"/>
          <w:szCs w:val="20"/>
        </w:rPr>
        <w:br/>
        <w:t>MC 1061-20 - Georgina Roxana Vargas Clarens, Nicaragua</w:t>
      </w:r>
    </w:p>
    <w:p w14:paraId="45083751" w14:textId="77777777" w:rsidR="00842401" w:rsidRPr="00524435" w:rsidRDefault="00842401" w:rsidP="00842401">
      <w:pPr>
        <w:pStyle w:val="Body"/>
        <w:jc w:val="both"/>
        <w:rPr>
          <w:rStyle w:val="None"/>
          <w:rFonts w:ascii="Cambria" w:hAnsi="Cambria"/>
          <w:b/>
          <w:bCs/>
          <w:sz w:val="20"/>
          <w:szCs w:val="20"/>
        </w:rPr>
      </w:pPr>
    </w:p>
    <w:p w14:paraId="673F08D2" w14:textId="77777777" w:rsidR="00842401" w:rsidRPr="00524435" w:rsidRDefault="00842401" w:rsidP="009242CD">
      <w:pPr>
        <w:pStyle w:val="ListParagraph"/>
        <w:rPr>
          <w:rStyle w:val="None"/>
          <w:rFonts w:eastAsia="Cambria" w:cs="Cambria"/>
        </w:rPr>
      </w:pPr>
      <w:r w:rsidRPr="00524435">
        <w:rPr>
          <w:rStyle w:val="None"/>
        </w:rPr>
        <w:t>On August 28, 2021, the IACHR decided to grant precautionary measures on behalf of Georgina Roxana Vargas Clarens. According to the request, the beneficiary, a correspondent for television’s Channel 10 in Nicaragua’s Autonomous Region of the North Caribbean Coast, was at risk, as she was being subjected to harassment, threats, and repression by State authorities and private parties due to her work as a journalist. After reviewing the allegations of fact and law submitted by the parties, the Commission found that the information provided showed prima facie that Mrs. Vargas Clarens was in a serious and urgent situation, since her right to life and personal integrity were at risk of irreparable harm. It therefore requested Nicaragua to: a) adopt the measures necessary to protect the right to life and personal integrity of Georgina Roxana Vargas Clarens. To this end, the State should ensure that its agents respected the life and personal integrity of the beneficiary and protected her rights in connection with acts attributable to third parties that put her at risk, in accordance with the standards established in international human rights law; b) adopt the measures necessary for Georgina Roxana Vargas Clarens to pursue her activities as an independent journalist without being subjected to acts of violence, threats, harassment, or intimidation in the course of her work. This included the adoption of measures to allow her to duly exercise her right to freedom of expression; c) reach an agreement with the beneficiary and her representatives on the measures to adopt; and d) report on the action taken to investigate the alleged events that had led to the granting of this precautionary measure and thus, avoid their repetition.</w:t>
      </w:r>
    </w:p>
    <w:p w14:paraId="78425DCA" w14:textId="77777777" w:rsidR="00842401" w:rsidRPr="00E42B49" w:rsidRDefault="00842401" w:rsidP="005D7B8A">
      <w:pPr>
        <w:spacing w:after="0" w:line="240" w:lineRule="auto"/>
        <w:rPr>
          <w:rFonts w:ascii="Cambria" w:hAnsi="Cambria"/>
          <w:b/>
          <w:bCs/>
          <w:color w:val="000000" w:themeColor="text1"/>
          <w:sz w:val="20"/>
          <w:szCs w:val="20"/>
          <w:lang w:val="es-US"/>
        </w:rPr>
      </w:pPr>
      <w:proofErr w:type="spellStart"/>
      <w:r w:rsidRPr="00E42B49">
        <w:rPr>
          <w:rFonts w:ascii="Cambria" w:eastAsia="Cambria" w:hAnsi="Cambria" w:cs="Cambria"/>
          <w:b/>
          <w:bCs/>
          <w:color w:val="000000" w:themeColor="text1"/>
          <w:sz w:val="20"/>
          <w:szCs w:val="20"/>
          <w:lang w:val="es-US"/>
        </w:rPr>
        <w:t>Resolution</w:t>
      </w:r>
      <w:proofErr w:type="spellEnd"/>
      <w:r w:rsidRPr="00E42B49">
        <w:rPr>
          <w:rFonts w:ascii="Cambria" w:eastAsia="Cambria" w:hAnsi="Cambria" w:cs="Cambria"/>
          <w:b/>
          <w:bCs/>
          <w:color w:val="000000" w:themeColor="text1"/>
          <w:sz w:val="20"/>
          <w:szCs w:val="20"/>
          <w:lang w:val="es-US"/>
        </w:rPr>
        <w:t xml:space="preserve"> No. 71/21</w:t>
      </w:r>
      <w:r w:rsidRPr="00E42B49">
        <w:rPr>
          <w:rFonts w:ascii="Cambria" w:eastAsia="Cambria" w:hAnsi="Cambria" w:cs="Cambria"/>
          <w:b/>
          <w:bCs/>
          <w:color w:val="000000" w:themeColor="text1"/>
          <w:sz w:val="20"/>
          <w:szCs w:val="20"/>
          <w:lang w:val="es-US"/>
        </w:rPr>
        <w:br/>
        <w:t>MC 593-21, 665-21, 680-21 - Ana Margarita Vijil Gurdián et al., Nicaragua</w:t>
      </w:r>
    </w:p>
    <w:p w14:paraId="2515181A" w14:textId="77777777" w:rsidR="00842401" w:rsidRPr="00E42B49" w:rsidRDefault="00842401" w:rsidP="00842401">
      <w:pPr>
        <w:pStyle w:val="Body"/>
        <w:jc w:val="both"/>
        <w:rPr>
          <w:rStyle w:val="None"/>
          <w:rFonts w:ascii="Cambria" w:hAnsi="Cambria"/>
          <w:sz w:val="20"/>
          <w:szCs w:val="20"/>
          <w:lang w:val="es-US"/>
        </w:rPr>
      </w:pPr>
    </w:p>
    <w:p w14:paraId="354A71E4" w14:textId="77777777" w:rsidR="00842401" w:rsidRPr="00524435" w:rsidRDefault="00842401" w:rsidP="009242CD">
      <w:pPr>
        <w:pStyle w:val="ListParagraph"/>
        <w:rPr>
          <w:rStyle w:val="None"/>
          <w:rFonts w:eastAsia="Cambria" w:cs="Cambria"/>
        </w:rPr>
      </w:pPr>
      <w:proofErr w:type="spellStart"/>
      <w:r w:rsidRPr="00292505">
        <w:rPr>
          <w:rStyle w:val="None"/>
          <w:lang w:val="es-US"/>
        </w:rPr>
        <w:t>On</w:t>
      </w:r>
      <w:proofErr w:type="spellEnd"/>
      <w:r w:rsidRPr="00292505">
        <w:rPr>
          <w:rStyle w:val="None"/>
          <w:lang w:val="es-US"/>
        </w:rPr>
        <w:t xml:space="preserve"> August 30, 2021 </w:t>
      </w:r>
      <w:proofErr w:type="spellStart"/>
      <w:r w:rsidRPr="00292505">
        <w:rPr>
          <w:rStyle w:val="None"/>
          <w:lang w:val="es-US"/>
        </w:rPr>
        <w:t>the</w:t>
      </w:r>
      <w:proofErr w:type="spellEnd"/>
      <w:r w:rsidRPr="00292505">
        <w:rPr>
          <w:rStyle w:val="None"/>
          <w:lang w:val="es-US"/>
        </w:rPr>
        <w:t xml:space="preserve"> IACHR </w:t>
      </w:r>
      <w:proofErr w:type="spellStart"/>
      <w:r w:rsidRPr="00292505">
        <w:rPr>
          <w:rStyle w:val="None"/>
          <w:lang w:val="es-US"/>
        </w:rPr>
        <w:t>decided</w:t>
      </w:r>
      <w:proofErr w:type="spellEnd"/>
      <w:r w:rsidRPr="00292505">
        <w:rPr>
          <w:rStyle w:val="None"/>
          <w:lang w:val="es-US"/>
        </w:rPr>
        <w:t xml:space="preserve"> </w:t>
      </w:r>
      <w:proofErr w:type="spellStart"/>
      <w:r w:rsidRPr="00292505">
        <w:rPr>
          <w:rStyle w:val="None"/>
          <w:lang w:val="es-US"/>
        </w:rPr>
        <w:t>to</w:t>
      </w:r>
      <w:proofErr w:type="spellEnd"/>
      <w:r w:rsidRPr="00292505">
        <w:rPr>
          <w:rStyle w:val="None"/>
          <w:lang w:val="es-US"/>
        </w:rPr>
        <w:t xml:space="preserve"> </w:t>
      </w:r>
      <w:proofErr w:type="spellStart"/>
      <w:r w:rsidRPr="00292505">
        <w:rPr>
          <w:rStyle w:val="None"/>
          <w:lang w:val="es-US"/>
        </w:rPr>
        <w:t>grant</w:t>
      </w:r>
      <w:proofErr w:type="spellEnd"/>
      <w:r w:rsidRPr="00292505">
        <w:rPr>
          <w:rStyle w:val="None"/>
          <w:lang w:val="es-US"/>
        </w:rPr>
        <w:t xml:space="preserve"> </w:t>
      </w:r>
      <w:proofErr w:type="spellStart"/>
      <w:r w:rsidRPr="00292505">
        <w:rPr>
          <w:rStyle w:val="None"/>
          <w:lang w:val="es-US"/>
        </w:rPr>
        <w:t>precautionary</w:t>
      </w:r>
      <w:proofErr w:type="spellEnd"/>
      <w:r w:rsidRPr="00292505">
        <w:rPr>
          <w:rStyle w:val="None"/>
          <w:lang w:val="es-US"/>
        </w:rPr>
        <w:t xml:space="preserve"> </w:t>
      </w:r>
      <w:proofErr w:type="spellStart"/>
      <w:r w:rsidRPr="00292505">
        <w:rPr>
          <w:rStyle w:val="None"/>
          <w:lang w:val="es-US"/>
        </w:rPr>
        <w:t>measures</w:t>
      </w:r>
      <w:proofErr w:type="spellEnd"/>
      <w:r w:rsidRPr="00292505">
        <w:rPr>
          <w:rStyle w:val="None"/>
          <w:lang w:val="es-US"/>
        </w:rPr>
        <w:t xml:space="preserve"> </w:t>
      </w:r>
      <w:proofErr w:type="spellStart"/>
      <w:r w:rsidRPr="00292505">
        <w:rPr>
          <w:rStyle w:val="None"/>
          <w:lang w:val="es-US"/>
        </w:rPr>
        <w:t>on</w:t>
      </w:r>
      <w:proofErr w:type="spellEnd"/>
      <w:r w:rsidRPr="00292505">
        <w:rPr>
          <w:rStyle w:val="None"/>
          <w:lang w:val="es-US"/>
        </w:rPr>
        <w:t xml:space="preserve"> </w:t>
      </w:r>
      <w:proofErr w:type="spellStart"/>
      <w:r w:rsidRPr="00292505">
        <w:rPr>
          <w:rStyle w:val="None"/>
          <w:lang w:val="es-US"/>
        </w:rPr>
        <w:t>behalf</w:t>
      </w:r>
      <w:proofErr w:type="spellEnd"/>
      <w:r w:rsidRPr="00292505">
        <w:rPr>
          <w:rStyle w:val="None"/>
          <w:lang w:val="es-US"/>
        </w:rPr>
        <w:t xml:space="preserve"> of Ana Margarita Vijil Gurdián, Dora María Téllez Arguello, </w:t>
      </w:r>
      <w:proofErr w:type="spellStart"/>
      <w:r w:rsidRPr="00292505">
        <w:rPr>
          <w:rStyle w:val="None"/>
          <w:lang w:val="es-US"/>
        </w:rPr>
        <w:t>Suyen</w:t>
      </w:r>
      <w:proofErr w:type="spellEnd"/>
      <w:r w:rsidRPr="00292505">
        <w:rPr>
          <w:rStyle w:val="None"/>
          <w:lang w:val="es-US"/>
        </w:rPr>
        <w:t xml:space="preserve"> Barahona Cuán, Jorge Hugo Torres Jiménez, Víctor Hugo Tinoco Fonseca, Arturo José Cruz Sequeira, and Luis Alberto Rivas </w:t>
      </w:r>
      <w:proofErr w:type="spellStart"/>
      <w:r w:rsidRPr="00292505">
        <w:rPr>
          <w:rStyle w:val="None"/>
          <w:lang w:val="es-US"/>
        </w:rPr>
        <w:t>Anduray</w:t>
      </w:r>
      <w:proofErr w:type="spellEnd"/>
      <w:r w:rsidRPr="00292505">
        <w:rPr>
          <w:rStyle w:val="None"/>
          <w:lang w:val="es-US"/>
        </w:rPr>
        <w:t xml:space="preserve">. </w:t>
      </w:r>
      <w:r w:rsidRPr="00524435">
        <w:rPr>
          <w:rStyle w:val="None"/>
        </w:rPr>
        <w:t xml:space="preserve">According to the request, the proposed beneficiaries were at risk, as they were deprived of liberty and their conditions of detention unknown, in addition to the fact that some of them suffered from serious chronic diseases and the whereabouts of others were unknown. Therefore, pursuant to Article 25 of the Rules of Procedure, the Commission requested Nicaragua to: a) adopt the measures necessary to protect the life, personal integrity, and health of Ana Margarita </w:t>
      </w:r>
      <w:proofErr w:type="spellStart"/>
      <w:r w:rsidRPr="00524435">
        <w:rPr>
          <w:rStyle w:val="None"/>
        </w:rPr>
        <w:t>Vijil</w:t>
      </w:r>
      <w:proofErr w:type="spellEnd"/>
      <w:r w:rsidRPr="00524435">
        <w:rPr>
          <w:rStyle w:val="None"/>
        </w:rPr>
        <w:t xml:space="preserve"> </w:t>
      </w:r>
      <w:proofErr w:type="spellStart"/>
      <w:r w:rsidRPr="00524435">
        <w:rPr>
          <w:rStyle w:val="None"/>
        </w:rPr>
        <w:t>Gurdián</w:t>
      </w:r>
      <w:proofErr w:type="spellEnd"/>
      <w:r w:rsidRPr="00524435">
        <w:rPr>
          <w:rStyle w:val="None"/>
        </w:rPr>
        <w:t xml:space="preserve">, Dora María </w:t>
      </w:r>
      <w:proofErr w:type="spellStart"/>
      <w:r w:rsidRPr="00524435">
        <w:rPr>
          <w:rStyle w:val="None"/>
        </w:rPr>
        <w:t>Téllez</w:t>
      </w:r>
      <w:proofErr w:type="spellEnd"/>
      <w:r w:rsidRPr="00524435">
        <w:rPr>
          <w:rStyle w:val="None"/>
        </w:rPr>
        <w:t xml:space="preserve"> Arguello, </w:t>
      </w:r>
      <w:proofErr w:type="spellStart"/>
      <w:r w:rsidRPr="00524435">
        <w:rPr>
          <w:rStyle w:val="None"/>
        </w:rPr>
        <w:t>Suyen</w:t>
      </w:r>
      <w:proofErr w:type="spellEnd"/>
      <w:r w:rsidRPr="00524435">
        <w:rPr>
          <w:rStyle w:val="None"/>
        </w:rPr>
        <w:t xml:space="preserve"> Barahona </w:t>
      </w:r>
      <w:proofErr w:type="spellStart"/>
      <w:r w:rsidRPr="00524435">
        <w:rPr>
          <w:rStyle w:val="None"/>
        </w:rPr>
        <w:t>Cuán</w:t>
      </w:r>
      <w:proofErr w:type="spellEnd"/>
      <w:r w:rsidRPr="00524435">
        <w:rPr>
          <w:rStyle w:val="None"/>
        </w:rPr>
        <w:t xml:space="preserve">, Jorge Hugo Torres Jiménez, Víctor Hugo Tinoco Fonseca, Arturo José Cruz </w:t>
      </w:r>
      <w:proofErr w:type="spellStart"/>
      <w:r w:rsidRPr="00524435">
        <w:rPr>
          <w:rStyle w:val="None"/>
        </w:rPr>
        <w:t>Sequeira</w:t>
      </w:r>
      <w:proofErr w:type="spellEnd"/>
      <w:r w:rsidRPr="00524435">
        <w:rPr>
          <w:rStyle w:val="None"/>
        </w:rPr>
        <w:t xml:space="preserve">, and Luis Alberto Rivas </w:t>
      </w:r>
      <w:proofErr w:type="spellStart"/>
      <w:r w:rsidRPr="00524435">
        <w:rPr>
          <w:rStyle w:val="None"/>
        </w:rPr>
        <w:t>Anduray</w:t>
      </w:r>
      <w:proofErr w:type="spellEnd"/>
      <w:r w:rsidRPr="00524435">
        <w:rPr>
          <w:rStyle w:val="None"/>
        </w:rPr>
        <w:t xml:space="preserve">; b) ensure that their conditions of detention were compatible with the international standards applicable in this regard; c) considering the risk to life, personal integrity, and health due to the circumstances surrounding their current deprivation of liberty, immediately explore the possibility of granting alternatives to deprivation of liberty under domestic law, in accordance with the applicable international standards; and d) report on the action </w:t>
      </w:r>
      <w:r w:rsidRPr="00524435">
        <w:rPr>
          <w:rStyle w:val="None"/>
        </w:rPr>
        <w:lastRenderedPageBreak/>
        <w:t xml:space="preserve">taken to investigate the alleged events that had led to the adoption of this Resolution and thus, avoid their repetition. </w:t>
      </w:r>
    </w:p>
    <w:p w14:paraId="04000682" w14:textId="77777777" w:rsidR="00842401" w:rsidRPr="00524435" w:rsidRDefault="00842401" w:rsidP="005D7B8A">
      <w:pPr>
        <w:spacing w:after="0" w:line="240" w:lineRule="auto"/>
        <w:rPr>
          <w:rFonts w:ascii="Cambria" w:hAnsi="Cambria"/>
          <w:b/>
          <w:bCs/>
          <w:color w:val="000000" w:themeColor="text1"/>
          <w:sz w:val="20"/>
          <w:szCs w:val="20"/>
        </w:rPr>
      </w:pPr>
      <w:r w:rsidRPr="00524435">
        <w:rPr>
          <w:rFonts w:ascii="Cambria" w:eastAsia="Cambria" w:hAnsi="Cambria" w:cs="Cambria"/>
          <w:b/>
          <w:bCs/>
          <w:color w:val="000000" w:themeColor="text1"/>
          <w:sz w:val="20"/>
          <w:szCs w:val="20"/>
        </w:rPr>
        <w:t>Resolution No. 72/21</w:t>
      </w:r>
      <w:r w:rsidRPr="00524435">
        <w:rPr>
          <w:rFonts w:ascii="Cambria" w:eastAsia="Cambria" w:hAnsi="Cambria" w:cs="Cambria"/>
          <w:b/>
          <w:bCs/>
          <w:color w:val="000000" w:themeColor="text1"/>
          <w:sz w:val="20"/>
          <w:szCs w:val="20"/>
        </w:rPr>
        <w:br/>
        <w:t>MC 679-21 - Wilmer Alfredo Mendoza Espinoza and family, Nicaragua</w:t>
      </w:r>
    </w:p>
    <w:p w14:paraId="10065211" w14:textId="77777777" w:rsidR="00842401" w:rsidRPr="00524435" w:rsidRDefault="00842401" w:rsidP="00842401">
      <w:pPr>
        <w:pStyle w:val="Body"/>
        <w:jc w:val="both"/>
        <w:rPr>
          <w:rStyle w:val="None"/>
          <w:rFonts w:ascii="Cambria" w:hAnsi="Cambria"/>
          <w:sz w:val="20"/>
          <w:szCs w:val="20"/>
        </w:rPr>
      </w:pPr>
    </w:p>
    <w:p w14:paraId="5D87096D" w14:textId="77777777" w:rsidR="00842401" w:rsidRPr="00524435" w:rsidRDefault="00842401" w:rsidP="009242CD">
      <w:pPr>
        <w:pStyle w:val="ListParagraph"/>
        <w:rPr>
          <w:rStyle w:val="None"/>
          <w:rFonts w:eastAsia="Cambria" w:cs="Cambria"/>
        </w:rPr>
      </w:pPr>
      <w:r w:rsidRPr="00524435">
        <w:rPr>
          <w:rStyle w:val="None"/>
        </w:rPr>
        <w:t>On August 30, 2021, the IACHR decided to grant precautionary measures on behalf of Wilmer Alfredo Mendoza Espinoza and his family. According to the request, the beneficiary was at risk during his deprivation of liberty due to assaults suffered during his detention, as well as his current conditions and an alleged lack of medical care. After reviewing the allegations of fact and law submitted by the petitioner, the Commission found that the information provided showed prima facie that the situation of Wilmer Alfredo Mendoza Espinoza was serious and urgent, since his right to life, personal integrity, and health were at risk of irreparable harm. It therefore requested Nicaragua to: a) adopt the measures necessary to protect the right to life, personal integrity, and health of Wilmer Alfredo Mendoza Espinoza and his family. To this end, the State should ensure that its agents respected the life and personal integrity of the beneficiaries and protected their rights in connection with acts attributable to third parties that put them at risk, in accordance with the standards established in international human rights law; b) adopt the measures necessary to protect the right to life, personal integrity, and health of Wilmer Alfredo Mendoza Espinoza – in particular, by taking immediate steps to give him access to adequate medical care, including the necessary medicines prescribed by the respective health professionals, as well as diagnostic testing and examinations that would permit regular monitoring of his health status, in accordance with the applicable international standards; c) ensure that Wilmer Alfredo Mendoza Espinoza’s conditions of detention were compatible with the international standards applicable in this regard d) considering the risk to the life, personal integrity, and health of Wilmer Alfredo Mendoza Espinoza due to the circumstances surrounding his current deprivation of liberty, immediately explore the possibility of granting alternatives to the deprivation of liberty under domestic law and in accordance with the applicable inter-American standards; e) reach an agreement with the beneficiaries and their representatives on the measures to adopt; and f) report on the action taken to investigate the alleged events that had led to the granting of this precautionary measure and thus, avoid their repetition.</w:t>
      </w:r>
    </w:p>
    <w:p w14:paraId="20817DBB" w14:textId="77777777" w:rsidR="00842401" w:rsidRPr="007A5442" w:rsidRDefault="00842401" w:rsidP="005D7B8A">
      <w:pPr>
        <w:spacing w:after="0" w:line="240" w:lineRule="auto"/>
        <w:rPr>
          <w:rFonts w:ascii="Cambria" w:hAnsi="Cambria"/>
          <w:b/>
          <w:bCs/>
          <w:color w:val="000000" w:themeColor="text1"/>
          <w:sz w:val="20"/>
          <w:szCs w:val="20"/>
          <w:lang w:val="pt-PT"/>
        </w:rPr>
      </w:pPr>
      <w:r w:rsidRPr="007A5442">
        <w:rPr>
          <w:rFonts w:ascii="Cambria" w:eastAsia="Cambria" w:hAnsi="Cambria" w:cs="Cambria"/>
          <w:b/>
          <w:bCs/>
          <w:color w:val="000000" w:themeColor="text1"/>
          <w:sz w:val="20"/>
          <w:szCs w:val="20"/>
          <w:lang w:val="pt-PT"/>
        </w:rPr>
        <w:t>Resolution No. 79/21(EXTENSION)</w:t>
      </w:r>
      <w:r w:rsidRPr="007A5442">
        <w:rPr>
          <w:rFonts w:ascii="Cambria" w:eastAsia="Cambria" w:hAnsi="Cambria" w:cs="Cambria"/>
          <w:b/>
          <w:bCs/>
          <w:color w:val="000000" w:themeColor="text1"/>
          <w:sz w:val="20"/>
          <w:szCs w:val="20"/>
          <w:lang w:val="pt-PT"/>
        </w:rPr>
        <w:br/>
        <w:t>MC 1172-18 - Medardo Mairena Sequeira and Pedro Joaquín Mena Amador, Nicaragua</w:t>
      </w:r>
    </w:p>
    <w:p w14:paraId="22C12E53" w14:textId="77777777" w:rsidR="00842401" w:rsidRPr="007A5442" w:rsidRDefault="00842401" w:rsidP="00842401">
      <w:pPr>
        <w:pStyle w:val="Body"/>
        <w:jc w:val="both"/>
        <w:rPr>
          <w:rStyle w:val="None"/>
          <w:rFonts w:ascii="Cambria" w:hAnsi="Cambria"/>
          <w:sz w:val="20"/>
          <w:szCs w:val="20"/>
          <w:lang w:val="pt-PT"/>
        </w:rPr>
      </w:pPr>
    </w:p>
    <w:p w14:paraId="681AF340" w14:textId="77777777" w:rsidR="00842401" w:rsidRPr="00524435" w:rsidRDefault="00842401" w:rsidP="009242CD">
      <w:pPr>
        <w:pStyle w:val="ListParagraph"/>
        <w:rPr>
          <w:rStyle w:val="None"/>
          <w:rFonts w:eastAsia="Cambria" w:cs="Cambria"/>
        </w:rPr>
      </w:pPr>
      <w:r w:rsidRPr="00524435">
        <w:rPr>
          <w:rStyle w:val="None"/>
        </w:rPr>
        <w:t xml:space="preserve">On October 3, 2021, the IACHR decided to extend the precautionary measures granted on behalf of </w:t>
      </w:r>
      <w:proofErr w:type="spellStart"/>
      <w:r w:rsidRPr="00524435">
        <w:rPr>
          <w:rStyle w:val="None"/>
        </w:rPr>
        <w:t>Merdado</w:t>
      </w:r>
      <w:proofErr w:type="spellEnd"/>
      <w:r w:rsidRPr="00524435">
        <w:rPr>
          <w:rStyle w:val="None"/>
        </w:rPr>
        <w:t xml:space="preserve"> </w:t>
      </w:r>
      <w:proofErr w:type="spellStart"/>
      <w:r w:rsidRPr="00524435">
        <w:rPr>
          <w:rStyle w:val="None"/>
        </w:rPr>
        <w:t>Mairena</w:t>
      </w:r>
      <w:proofErr w:type="spellEnd"/>
      <w:r w:rsidRPr="00524435">
        <w:rPr>
          <w:rStyle w:val="None"/>
        </w:rPr>
        <w:t xml:space="preserve"> and Pedro Mena in Nicaragua. According to the request, the proposed beneficiaries were currently at risk, having been detained and kept incommunicado, [unable to speak with] their families and attorneys in the country’s current circumstances. Therefore, pursuant to Article 25 of the Rules of Procedure, the Commission requested Nicaragua to: a) adopt the measures necessary to protect the right to life, personal integrity, and health of </w:t>
      </w:r>
      <w:proofErr w:type="spellStart"/>
      <w:r w:rsidRPr="00524435">
        <w:rPr>
          <w:rStyle w:val="None"/>
        </w:rPr>
        <w:t>Medardo</w:t>
      </w:r>
      <w:proofErr w:type="spellEnd"/>
      <w:r w:rsidRPr="00524435">
        <w:rPr>
          <w:rStyle w:val="None"/>
        </w:rPr>
        <w:t xml:space="preserve"> </w:t>
      </w:r>
      <w:proofErr w:type="spellStart"/>
      <w:r w:rsidRPr="00524435">
        <w:rPr>
          <w:rStyle w:val="None"/>
        </w:rPr>
        <w:t>Mairena</w:t>
      </w:r>
      <w:proofErr w:type="spellEnd"/>
      <w:r w:rsidRPr="00524435">
        <w:rPr>
          <w:rStyle w:val="None"/>
        </w:rPr>
        <w:t xml:space="preserve"> </w:t>
      </w:r>
      <w:proofErr w:type="spellStart"/>
      <w:r w:rsidRPr="00524435">
        <w:rPr>
          <w:rStyle w:val="None"/>
        </w:rPr>
        <w:t>Sequeira</w:t>
      </w:r>
      <w:proofErr w:type="spellEnd"/>
      <w:r w:rsidRPr="00524435">
        <w:rPr>
          <w:rStyle w:val="None"/>
        </w:rPr>
        <w:t xml:space="preserve"> and Pedro Joaquín Mena Amador; b) ensure that the conditions of their detention were compatible with the applicable international standards in this regard; c) considering the risk to life and personal integrity stemming from the circumstances surrounding their current deprivation of liberty, immediately explore the possibility of granting alternatives to deprivation of liberty under domestic law and in accordance with the applicable inter-American standards; and d) report on the action taken to investigate the alleged events that had led to the adoption of this Resolution and thus, avoid their repetition.</w:t>
      </w:r>
    </w:p>
    <w:p w14:paraId="6CF2DAEE" w14:textId="77777777" w:rsidR="00842401" w:rsidRPr="00E42B49" w:rsidRDefault="00842401" w:rsidP="005D7B8A">
      <w:pPr>
        <w:spacing w:after="0" w:line="240" w:lineRule="auto"/>
        <w:rPr>
          <w:rFonts w:ascii="Cambria" w:eastAsia="Cambria" w:hAnsi="Cambria" w:cs="Cambria"/>
          <w:b/>
          <w:bCs/>
          <w:color w:val="000000" w:themeColor="text1"/>
          <w:sz w:val="20"/>
          <w:szCs w:val="20"/>
          <w:lang w:val="es-US"/>
        </w:rPr>
      </w:pPr>
      <w:proofErr w:type="spellStart"/>
      <w:r w:rsidRPr="00E42B49">
        <w:rPr>
          <w:rFonts w:ascii="Cambria" w:eastAsia="Cambria" w:hAnsi="Cambria" w:cs="Cambria"/>
          <w:b/>
          <w:bCs/>
          <w:color w:val="000000" w:themeColor="text1"/>
          <w:sz w:val="20"/>
          <w:szCs w:val="20"/>
          <w:lang w:val="es-US"/>
        </w:rPr>
        <w:t>Resolution</w:t>
      </w:r>
      <w:proofErr w:type="spellEnd"/>
      <w:r w:rsidRPr="00E42B49">
        <w:rPr>
          <w:rFonts w:ascii="Cambria" w:eastAsia="Cambria" w:hAnsi="Cambria" w:cs="Cambria"/>
          <w:b/>
          <w:bCs/>
          <w:color w:val="000000" w:themeColor="text1"/>
          <w:sz w:val="20"/>
          <w:szCs w:val="20"/>
          <w:lang w:val="es-US"/>
        </w:rPr>
        <w:t xml:space="preserve"> No. 82/21</w:t>
      </w:r>
    </w:p>
    <w:p w14:paraId="3BC5BFE4" w14:textId="77777777" w:rsidR="00842401" w:rsidRPr="00E42B49" w:rsidRDefault="00842401" w:rsidP="005D7B8A">
      <w:pPr>
        <w:spacing w:after="0" w:line="240" w:lineRule="auto"/>
        <w:rPr>
          <w:rFonts w:ascii="Cambria" w:eastAsia="Cambria" w:hAnsi="Cambria" w:cs="Cambria"/>
          <w:b/>
          <w:bCs/>
          <w:color w:val="000000" w:themeColor="text1"/>
          <w:sz w:val="20"/>
          <w:szCs w:val="20"/>
          <w:lang w:val="es-US"/>
        </w:rPr>
      </w:pPr>
      <w:r w:rsidRPr="00E42B49">
        <w:rPr>
          <w:rFonts w:ascii="Cambria" w:eastAsia="Cambria" w:hAnsi="Cambria" w:cs="Cambria"/>
          <w:b/>
          <w:bCs/>
          <w:color w:val="000000" w:themeColor="text1"/>
          <w:sz w:val="20"/>
          <w:szCs w:val="20"/>
          <w:lang w:val="es-US"/>
        </w:rPr>
        <w:t>PM 206-20 - Jaime José Arellano Arana, Nicaragua</w:t>
      </w:r>
    </w:p>
    <w:p w14:paraId="2C5F692B" w14:textId="77777777" w:rsidR="00842401" w:rsidRPr="00E42B49" w:rsidRDefault="00842401" w:rsidP="002645C5">
      <w:pPr>
        <w:spacing w:after="0" w:line="240" w:lineRule="auto"/>
        <w:jc w:val="both"/>
        <w:rPr>
          <w:rFonts w:ascii="Cambria" w:eastAsia="Cambria" w:hAnsi="Cambria" w:cs="Cambria"/>
          <w:color w:val="000000" w:themeColor="text1"/>
          <w:sz w:val="20"/>
          <w:szCs w:val="20"/>
          <w:lang w:val="es-US"/>
        </w:rPr>
      </w:pPr>
    </w:p>
    <w:p w14:paraId="63525A34" w14:textId="77777777" w:rsidR="00842401" w:rsidRPr="00524435" w:rsidRDefault="00842401" w:rsidP="009242CD">
      <w:pPr>
        <w:pStyle w:val="ListParagraph"/>
      </w:pPr>
      <w:r w:rsidRPr="00524435">
        <w:t xml:space="preserve">On October 12, 2021, the Inter-American Commission on Human Rights granted precautionary measures in favor of Jaime José Arellano Arana, after considering that he is in a serious and urgent situation of risk of irreparable harm to his rights in Nicaragua. Consequently, the Commission requested that the State adopt the necessary measures to protect the beneficiary's rights to life and personal integrity. Such measures should include allowing timely contact with his family and lawyers; adopt the necessary measures so that the proposed beneficiary can carry out his work as a journalist without being subjected to </w:t>
      </w:r>
      <w:r w:rsidRPr="00524435">
        <w:lastRenderedPageBreak/>
        <w:t xml:space="preserve">acts of intimidation, </w:t>
      </w:r>
      <w:proofErr w:type="gramStart"/>
      <w:r w:rsidRPr="00524435">
        <w:t>threats</w:t>
      </w:r>
      <w:proofErr w:type="gramEnd"/>
      <w:r w:rsidRPr="00524435">
        <w:t xml:space="preserve"> or other acts of violence in the exercise of his duties. This includes the adoption of measures to protect the right to freedom of expression, for example, by not impeding the proposed beneficiary access to the elements necessary for his journalistic work; to reach agreement with the beneficiary and his representatives on the measures to be adopted; and to report on the actions taken to investigate the facts that gave rise to the adoption of this precautionary measure </w:t>
      </w:r>
      <w:proofErr w:type="gramStart"/>
      <w:r w:rsidRPr="00524435">
        <w:t>in order to</w:t>
      </w:r>
      <w:proofErr w:type="gramEnd"/>
      <w:r w:rsidRPr="00524435">
        <w:t xml:space="preserve"> avoid their repetition.</w:t>
      </w:r>
    </w:p>
    <w:p w14:paraId="695B76F2" w14:textId="77777777" w:rsidR="00842401" w:rsidRPr="00E42B49" w:rsidRDefault="00842401" w:rsidP="005D7B8A">
      <w:pPr>
        <w:spacing w:after="0" w:line="240" w:lineRule="auto"/>
        <w:rPr>
          <w:rFonts w:ascii="Cambria" w:eastAsia="Cambria" w:hAnsi="Cambria" w:cs="Cambria"/>
          <w:b/>
          <w:bCs/>
          <w:color w:val="000000" w:themeColor="text1"/>
          <w:sz w:val="20"/>
          <w:szCs w:val="20"/>
          <w:lang w:val="es-US"/>
        </w:rPr>
      </w:pPr>
      <w:proofErr w:type="spellStart"/>
      <w:r w:rsidRPr="00E42B49">
        <w:rPr>
          <w:rFonts w:ascii="Cambria" w:eastAsia="Cambria" w:hAnsi="Cambria" w:cs="Cambria"/>
          <w:b/>
          <w:bCs/>
          <w:color w:val="000000" w:themeColor="text1"/>
          <w:sz w:val="20"/>
          <w:szCs w:val="20"/>
          <w:lang w:val="es-US"/>
        </w:rPr>
        <w:t>Resolution</w:t>
      </w:r>
      <w:proofErr w:type="spellEnd"/>
      <w:r w:rsidRPr="00E42B49">
        <w:rPr>
          <w:rFonts w:ascii="Cambria" w:eastAsia="Cambria" w:hAnsi="Cambria" w:cs="Cambria"/>
          <w:b/>
          <w:bCs/>
          <w:color w:val="000000" w:themeColor="text1"/>
          <w:sz w:val="20"/>
          <w:szCs w:val="20"/>
          <w:lang w:val="es-US"/>
        </w:rPr>
        <w:t xml:space="preserve"> No. 83/21</w:t>
      </w:r>
    </w:p>
    <w:p w14:paraId="74EF1DFE" w14:textId="77777777" w:rsidR="00842401" w:rsidRPr="00E42B49" w:rsidRDefault="00842401" w:rsidP="005D7B8A">
      <w:pPr>
        <w:spacing w:after="0" w:line="240" w:lineRule="auto"/>
        <w:rPr>
          <w:rFonts w:ascii="Cambria" w:eastAsia="Cambria" w:hAnsi="Cambria" w:cs="Cambria"/>
          <w:b/>
          <w:bCs/>
          <w:color w:val="000000" w:themeColor="text1"/>
          <w:sz w:val="20"/>
          <w:szCs w:val="20"/>
          <w:lang w:val="es-US"/>
        </w:rPr>
      </w:pPr>
      <w:r w:rsidRPr="00E42B49">
        <w:rPr>
          <w:rFonts w:ascii="Cambria" w:eastAsia="Cambria" w:hAnsi="Cambria" w:cs="Cambria"/>
          <w:b/>
          <w:bCs/>
          <w:color w:val="000000" w:themeColor="text1"/>
          <w:sz w:val="20"/>
          <w:szCs w:val="20"/>
          <w:lang w:val="es-US"/>
        </w:rPr>
        <w:t>PM 761-21 y 856-21 - Mauricio José Díaz Dávila and, Max Isaac Jerez Meza, Nicaragua</w:t>
      </w:r>
    </w:p>
    <w:p w14:paraId="145E91B0" w14:textId="77777777" w:rsidR="00842401" w:rsidRPr="00E42B49" w:rsidRDefault="00842401" w:rsidP="002645C5">
      <w:pPr>
        <w:spacing w:after="0" w:line="240" w:lineRule="auto"/>
        <w:jc w:val="both"/>
        <w:rPr>
          <w:rFonts w:ascii="Cambria" w:eastAsia="Cambria" w:hAnsi="Cambria" w:cs="Cambria"/>
          <w:color w:val="000000" w:themeColor="text1"/>
          <w:sz w:val="20"/>
          <w:szCs w:val="20"/>
          <w:lang w:val="es-US"/>
        </w:rPr>
      </w:pPr>
    </w:p>
    <w:p w14:paraId="0B07BC85" w14:textId="77777777" w:rsidR="00842401" w:rsidRPr="00524435" w:rsidRDefault="00842401" w:rsidP="009242CD">
      <w:pPr>
        <w:pStyle w:val="ListParagraph"/>
      </w:pPr>
      <w:r w:rsidRPr="00524435">
        <w:t xml:space="preserve">On October 12, 2021, the Inter-American Commission on Human Rights granted precautionary measures in favor of Mauricio José Díaz </w:t>
      </w:r>
      <w:proofErr w:type="spellStart"/>
      <w:r w:rsidRPr="00524435">
        <w:t>Dávila</w:t>
      </w:r>
      <w:proofErr w:type="spellEnd"/>
      <w:r w:rsidRPr="00524435">
        <w:t xml:space="preserve"> and Max Isaac Jerez Meza, after considering that they are in a serious and urgent situation of risk of irreparable harm to their rights in Nicaragua. Consequently, the Commission requested that the State adopt the necessary measures to protect the rights to life, personal integrity and health of Mauricio José Díaz </w:t>
      </w:r>
      <w:proofErr w:type="spellStart"/>
      <w:r w:rsidRPr="00524435">
        <w:t>Dávila</w:t>
      </w:r>
      <w:proofErr w:type="spellEnd"/>
      <w:r w:rsidRPr="00524435">
        <w:t xml:space="preserve"> and Max Isaac Jerez Meza; to ensure that their conditions of detention are compatible with applicable international standards on the matter; taking into account the situation of risk to life, personal integrity and health as a result of the circumstances surrounding their current deprivation of liberty, the State is called upon to immediately evaluate the possibility of granting alternative measures to deprivation of liberty, in accordance with its domestic legislation and in light of the applicable inter-American standards; and report on the actions taken to investigate the alleged facts that gave rise to the adoption of this resolution and thus avoid their repetition.</w:t>
      </w:r>
    </w:p>
    <w:p w14:paraId="42D7FAE8" w14:textId="77777777" w:rsidR="00842401" w:rsidRPr="00524435" w:rsidRDefault="00842401" w:rsidP="005D7B8A">
      <w:pPr>
        <w:spacing w:after="0" w:line="240" w:lineRule="auto"/>
        <w:rPr>
          <w:rFonts w:ascii="Cambria" w:eastAsia="Cambria" w:hAnsi="Cambria" w:cs="Cambria"/>
          <w:b/>
          <w:bCs/>
          <w:color w:val="000000" w:themeColor="text1"/>
          <w:sz w:val="20"/>
          <w:szCs w:val="20"/>
        </w:rPr>
      </w:pPr>
      <w:r w:rsidRPr="00524435">
        <w:rPr>
          <w:rFonts w:ascii="Cambria" w:eastAsia="Cambria" w:hAnsi="Cambria" w:cs="Cambria"/>
          <w:b/>
          <w:bCs/>
          <w:color w:val="000000" w:themeColor="text1"/>
          <w:sz w:val="20"/>
          <w:szCs w:val="20"/>
        </w:rPr>
        <w:t>Resolution No. 85/21</w:t>
      </w:r>
    </w:p>
    <w:p w14:paraId="72C15FC8" w14:textId="77777777" w:rsidR="00842401" w:rsidRPr="00524435" w:rsidRDefault="00842401" w:rsidP="005D7B8A">
      <w:pPr>
        <w:spacing w:after="0" w:line="240" w:lineRule="auto"/>
        <w:rPr>
          <w:rFonts w:ascii="Cambria" w:eastAsia="Cambria" w:hAnsi="Cambria" w:cs="Cambria"/>
          <w:b/>
          <w:bCs/>
          <w:color w:val="000000" w:themeColor="text1"/>
          <w:sz w:val="20"/>
          <w:szCs w:val="20"/>
        </w:rPr>
      </w:pPr>
      <w:r w:rsidRPr="00524435">
        <w:rPr>
          <w:rFonts w:ascii="Cambria" w:eastAsia="Cambria" w:hAnsi="Cambria" w:cs="Cambria"/>
          <w:b/>
          <w:bCs/>
          <w:color w:val="000000" w:themeColor="text1"/>
          <w:sz w:val="20"/>
          <w:szCs w:val="20"/>
        </w:rPr>
        <w:t xml:space="preserve">PM 733-21 - Miguel </w:t>
      </w:r>
      <w:proofErr w:type="spellStart"/>
      <w:r w:rsidRPr="00524435">
        <w:rPr>
          <w:rFonts w:ascii="Cambria" w:eastAsia="Cambria" w:hAnsi="Cambria" w:cs="Cambria"/>
          <w:b/>
          <w:bCs/>
          <w:color w:val="000000" w:themeColor="text1"/>
          <w:sz w:val="20"/>
          <w:szCs w:val="20"/>
        </w:rPr>
        <w:t>Ángel</w:t>
      </w:r>
      <w:proofErr w:type="spellEnd"/>
      <w:r w:rsidRPr="00524435">
        <w:rPr>
          <w:rFonts w:ascii="Cambria" w:eastAsia="Cambria" w:hAnsi="Cambria" w:cs="Cambria"/>
          <w:b/>
          <w:bCs/>
          <w:color w:val="000000" w:themeColor="text1"/>
          <w:sz w:val="20"/>
          <w:szCs w:val="20"/>
        </w:rPr>
        <w:t xml:space="preserve"> Mendoza Urbina and his family, Nicaragua</w:t>
      </w:r>
    </w:p>
    <w:p w14:paraId="7F84831F" w14:textId="77777777" w:rsidR="00842401" w:rsidRPr="00524435" w:rsidRDefault="00842401" w:rsidP="002645C5">
      <w:pPr>
        <w:spacing w:after="0" w:line="240" w:lineRule="auto"/>
        <w:jc w:val="both"/>
        <w:rPr>
          <w:rFonts w:ascii="Cambria" w:eastAsia="Cambria" w:hAnsi="Cambria" w:cs="Cambria"/>
          <w:color w:val="000000" w:themeColor="text1"/>
          <w:sz w:val="20"/>
          <w:szCs w:val="20"/>
        </w:rPr>
      </w:pPr>
    </w:p>
    <w:p w14:paraId="19A74C0D" w14:textId="77777777" w:rsidR="00842401" w:rsidRPr="00524435" w:rsidRDefault="00842401" w:rsidP="009242CD">
      <w:pPr>
        <w:pStyle w:val="ListParagraph"/>
      </w:pPr>
      <w:r w:rsidRPr="00524435">
        <w:t xml:space="preserve">On October 15, 2021, the IACHR granted precautionary measures in favor of Miguel </w:t>
      </w:r>
      <w:proofErr w:type="spellStart"/>
      <w:r w:rsidRPr="00524435">
        <w:t>Ángel</w:t>
      </w:r>
      <w:proofErr w:type="spellEnd"/>
      <w:r w:rsidRPr="00524435">
        <w:t xml:space="preserve"> Mendoza Urbina and his family, after considering that they are in a serious and urgent situation of risk of irreparable harm to their rights in Nicaragua. Therefore, the IACHR requested that the State adopt the necessary measures to protect the rights to life, personal integrity and health of Miguel </w:t>
      </w:r>
      <w:proofErr w:type="spellStart"/>
      <w:r w:rsidRPr="00524435">
        <w:t>Ángel</w:t>
      </w:r>
      <w:proofErr w:type="spellEnd"/>
      <w:r w:rsidRPr="00524435">
        <w:t xml:space="preserve"> Mendoza Urbina and his family; ensure that his detention conditions are compatible with applicable international standards on the matter, allowing him, among others, to have contact with his family and defense attorneys; taking into account the situation of risk to his life, personal integrity and health as a result of the circumstances surrounding his current deprivation of liberty, the State is called on to immediately evaluate the possibility of granting alternative measures to deprivation of liberty, in accordance with its domestic legislation and in light of the applicable inter-American standards; and to report on the actions taken to investigate the alleged facts that gave rise to the adoption of the present resolution and thus avoid their repetition.</w:t>
      </w:r>
    </w:p>
    <w:p w14:paraId="421D5814" w14:textId="77777777" w:rsidR="00842401" w:rsidRPr="00E42B49" w:rsidRDefault="00842401" w:rsidP="005D7B8A">
      <w:pPr>
        <w:spacing w:after="0" w:line="240" w:lineRule="auto"/>
        <w:rPr>
          <w:rFonts w:ascii="Cambria" w:eastAsia="Cambria" w:hAnsi="Cambria" w:cs="Cambria"/>
          <w:b/>
          <w:bCs/>
          <w:color w:val="000000" w:themeColor="text1"/>
          <w:sz w:val="20"/>
          <w:szCs w:val="20"/>
          <w:lang w:val="es-US"/>
        </w:rPr>
      </w:pPr>
      <w:proofErr w:type="spellStart"/>
      <w:r w:rsidRPr="00E42B49">
        <w:rPr>
          <w:rFonts w:ascii="Cambria" w:eastAsia="Cambria" w:hAnsi="Cambria" w:cs="Cambria"/>
          <w:b/>
          <w:bCs/>
          <w:color w:val="000000" w:themeColor="text1"/>
          <w:sz w:val="20"/>
          <w:szCs w:val="20"/>
          <w:lang w:val="es-US"/>
        </w:rPr>
        <w:t>Resolution</w:t>
      </w:r>
      <w:proofErr w:type="spellEnd"/>
      <w:r w:rsidRPr="00E42B49">
        <w:rPr>
          <w:rFonts w:ascii="Cambria" w:eastAsia="Cambria" w:hAnsi="Cambria" w:cs="Cambria"/>
          <w:b/>
          <w:bCs/>
          <w:color w:val="000000" w:themeColor="text1"/>
          <w:sz w:val="20"/>
          <w:szCs w:val="20"/>
          <w:lang w:val="es-US"/>
        </w:rPr>
        <w:t xml:space="preserve"> No. 87/21</w:t>
      </w:r>
    </w:p>
    <w:p w14:paraId="7AC8CA6F" w14:textId="77777777" w:rsidR="00842401" w:rsidRPr="00E42B49" w:rsidRDefault="00842401" w:rsidP="005D7B8A">
      <w:pPr>
        <w:spacing w:after="0" w:line="240" w:lineRule="auto"/>
        <w:rPr>
          <w:rFonts w:ascii="Cambria" w:eastAsia="Cambria" w:hAnsi="Cambria" w:cs="Cambria"/>
          <w:b/>
          <w:bCs/>
          <w:color w:val="000000" w:themeColor="text1"/>
          <w:sz w:val="20"/>
          <w:szCs w:val="20"/>
          <w:lang w:val="es-US"/>
        </w:rPr>
      </w:pPr>
      <w:r w:rsidRPr="00E42B49">
        <w:rPr>
          <w:rFonts w:ascii="Cambria" w:eastAsia="Cambria" w:hAnsi="Cambria" w:cs="Cambria"/>
          <w:b/>
          <w:bCs/>
          <w:color w:val="000000" w:themeColor="text1"/>
          <w:sz w:val="20"/>
          <w:szCs w:val="20"/>
          <w:lang w:val="es-US"/>
        </w:rPr>
        <w:t xml:space="preserve">PM 568-20, 569-20, 639-20, 232-21, 557-21, 550-21, 570-21 y 662-21 - </w:t>
      </w:r>
      <w:proofErr w:type="spellStart"/>
      <w:r w:rsidRPr="00E42B49">
        <w:rPr>
          <w:rFonts w:ascii="Cambria" w:eastAsia="Cambria" w:hAnsi="Cambria" w:cs="Cambria"/>
          <w:b/>
          <w:bCs/>
          <w:color w:val="000000" w:themeColor="text1"/>
          <w:sz w:val="20"/>
          <w:szCs w:val="20"/>
          <w:lang w:val="es-US"/>
        </w:rPr>
        <w:t>Danelia</w:t>
      </w:r>
      <w:proofErr w:type="spellEnd"/>
      <w:r w:rsidRPr="00E42B49">
        <w:rPr>
          <w:rFonts w:ascii="Cambria" w:eastAsia="Cambria" w:hAnsi="Cambria" w:cs="Cambria"/>
          <w:b/>
          <w:bCs/>
          <w:color w:val="000000" w:themeColor="text1"/>
          <w:sz w:val="20"/>
          <w:szCs w:val="20"/>
          <w:lang w:val="es-US"/>
        </w:rPr>
        <w:t xml:space="preserve"> Valenzuela Castro et al., Nicaragua</w:t>
      </w:r>
    </w:p>
    <w:p w14:paraId="040AF5FF" w14:textId="77777777" w:rsidR="00842401" w:rsidRPr="00E42B49" w:rsidRDefault="00842401" w:rsidP="002645C5">
      <w:pPr>
        <w:spacing w:after="0" w:line="240" w:lineRule="auto"/>
        <w:jc w:val="both"/>
        <w:rPr>
          <w:rFonts w:ascii="Cambria" w:eastAsia="Cambria" w:hAnsi="Cambria" w:cs="Cambria"/>
          <w:color w:val="000000" w:themeColor="text1"/>
          <w:sz w:val="20"/>
          <w:szCs w:val="20"/>
          <w:lang w:val="es-US"/>
        </w:rPr>
      </w:pPr>
    </w:p>
    <w:p w14:paraId="338BD9E1" w14:textId="77777777" w:rsidR="00842401" w:rsidRPr="00524435" w:rsidRDefault="00842401" w:rsidP="009242CD">
      <w:pPr>
        <w:pStyle w:val="ListParagraph"/>
      </w:pPr>
      <w:proofErr w:type="spellStart"/>
      <w:r w:rsidRPr="00E54173">
        <w:rPr>
          <w:lang w:val="es-US"/>
        </w:rPr>
        <w:t>On</w:t>
      </w:r>
      <w:proofErr w:type="spellEnd"/>
      <w:r w:rsidRPr="00E54173">
        <w:rPr>
          <w:lang w:val="es-US"/>
        </w:rPr>
        <w:t xml:space="preserve"> </w:t>
      </w:r>
      <w:proofErr w:type="spellStart"/>
      <w:r w:rsidRPr="00E54173">
        <w:rPr>
          <w:lang w:val="es-US"/>
        </w:rPr>
        <w:t>November</w:t>
      </w:r>
      <w:proofErr w:type="spellEnd"/>
      <w:r w:rsidRPr="00E54173">
        <w:rPr>
          <w:lang w:val="es-US"/>
        </w:rPr>
        <w:t xml:space="preserve"> 5, 2021, </w:t>
      </w:r>
      <w:proofErr w:type="spellStart"/>
      <w:r w:rsidRPr="00E54173">
        <w:rPr>
          <w:lang w:val="es-US"/>
        </w:rPr>
        <w:t>the</w:t>
      </w:r>
      <w:proofErr w:type="spellEnd"/>
      <w:r w:rsidRPr="00E54173">
        <w:rPr>
          <w:lang w:val="es-US"/>
        </w:rPr>
        <w:t xml:space="preserve"> IACHR </w:t>
      </w:r>
      <w:proofErr w:type="spellStart"/>
      <w:r w:rsidRPr="00E54173">
        <w:rPr>
          <w:lang w:val="es-US"/>
        </w:rPr>
        <w:t>decided</w:t>
      </w:r>
      <w:proofErr w:type="spellEnd"/>
      <w:r w:rsidRPr="00E54173">
        <w:rPr>
          <w:lang w:val="es-US"/>
        </w:rPr>
        <w:t xml:space="preserve"> </w:t>
      </w:r>
      <w:proofErr w:type="spellStart"/>
      <w:r w:rsidRPr="00E54173">
        <w:rPr>
          <w:lang w:val="es-US"/>
        </w:rPr>
        <w:t>to</w:t>
      </w:r>
      <w:proofErr w:type="spellEnd"/>
      <w:r w:rsidRPr="00E54173">
        <w:rPr>
          <w:lang w:val="es-US"/>
        </w:rPr>
        <w:t xml:space="preserve"> </w:t>
      </w:r>
      <w:proofErr w:type="spellStart"/>
      <w:r w:rsidRPr="00E54173">
        <w:rPr>
          <w:lang w:val="es-US"/>
        </w:rPr>
        <w:t>grant</w:t>
      </w:r>
      <w:proofErr w:type="spellEnd"/>
      <w:r w:rsidRPr="00E54173">
        <w:rPr>
          <w:lang w:val="es-US"/>
        </w:rPr>
        <w:t xml:space="preserve"> </w:t>
      </w:r>
      <w:proofErr w:type="spellStart"/>
      <w:r w:rsidRPr="00E54173">
        <w:rPr>
          <w:lang w:val="es-US"/>
        </w:rPr>
        <w:t>precautionary</w:t>
      </w:r>
      <w:proofErr w:type="spellEnd"/>
      <w:r w:rsidRPr="00E54173">
        <w:rPr>
          <w:lang w:val="es-US"/>
        </w:rPr>
        <w:t xml:space="preserve"> </w:t>
      </w:r>
      <w:proofErr w:type="spellStart"/>
      <w:r w:rsidRPr="00E54173">
        <w:rPr>
          <w:lang w:val="es-US"/>
        </w:rPr>
        <w:t>measures</w:t>
      </w:r>
      <w:proofErr w:type="spellEnd"/>
      <w:r w:rsidRPr="00E54173">
        <w:rPr>
          <w:lang w:val="es-US"/>
        </w:rPr>
        <w:t xml:space="preserve"> in favor of </w:t>
      </w:r>
      <w:proofErr w:type="spellStart"/>
      <w:r w:rsidRPr="00E54173">
        <w:rPr>
          <w:lang w:val="es-US"/>
        </w:rPr>
        <w:t>Danelia</w:t>
      </w:r>
      <w:proofErr w:type="spellEnd"/>
      <w:r w:rsidRPr="00E54173">
        <w:rPr>
          <w:lang w:val="es-US"/>
        </w:rPr>
        <w:t xml:space="preserve"> Valenzuela Castro, </w:t>
      </w:r>
      <w:proofErr w:type="spellStart"/>
      <w:r w:rsidRPr="00E54173">
        <w:rPr>
          <w:lang w:val="es-US"/>
        </w:rPr>
        <w:t>Nolvia</w:t>
      </w:r>
      <w:proofErr w:type="spellEnd"/>
      <w:r w:rsidRPr="00E54173">
        <w:rPr>
          <w:lang w:val="es-US"/>
        </w:rPr>
        <w:t xml:space="preserve"> María Rodríguez Cerrato, Luis Manuel Marchena Bográn, Marcos Arturo Herrera Beltrán, Jaime Isabel Maradiaga </w:t>
      </w:r>
      <w:proofErr w:type="spellStart"/>
      <w:r w:rsidRPr="00E54173">
        <w:rPr>
          <w:lang w:val="es-US"/>
        </w:rPr>
        <w:t>Maradiaga</w:t>
      </w:r>
      <w:proofErr w:type="spellEnd"/>
      <w:r w:rsidRPr="00E54173">
        <w:rPr>
          <w:lang w:val="es-US"/>
        </w:rPr>
        <w:t xml:space="preserve">, </w:t>
      </w:r>
      <w:proofErr w:type="spellStart"/>
      <w:r w:rsidRPr="00E54173">
        <w:rPr>
          <w:lang w:val="es-US"/>
        </w:rPr>
        <w:t>Mayling</w:t>
      </w:r>
      <w:proofErr w:type="spellEnd"/>
      <w:r w:rsidRPr="00E54173">
        <w:rPr>
          <w:lang w:val="es-US"/>
        </w:rPr>
        <w:t xml:space="preserve"> Mariela </w:t>
      </w:r>
      <w:proofErr w:type="gramStart"/>
      <w:r w:rsidRPr="00E54173">
        <w:rPr>
          <w:lang w:val="es-US"/>
        </w:rPr>
        <w:t>Naira</w:t>
      </w:r>
      <w:proofErr w:type="gramEnd"/>
      <w:r w:rsidRPr="00E54173">
        <w:rPr>
          <w:lang w:val="es-US"/>
        </w:rPr>
        <w:t xml:space="preserve"> Moncada, </w:t>
      </w:r>
      <w:proofErr w:type="spellStart"/>
      <w:r w:rsidRPr="00E54173">
        <w:rPr>
          <w:lang w:val="es-US"/>
        </w:rPr>
        <w:t>Mathil</w:t>
      </w:r>
      <w:proofErr w:type="spellEnd"/>
      <w:r w:rsidRPr="00E54173">
        <w:rPr>
          <w:lang w:val="es-US"/>
        </w:rPr>
        <w:t xml:space="preserve"> </w:t>
      </w:r>
      <w:proofErr w:type="spellStart"/>
      <w:r w:rsidRPr="00E54173">
        <w:rPr>
          <w:lang w:val="es-US"/>
        </w:rPr>
        <w:t>Alezander</w:t>
      </w:r>
      <w:proofErr w:type="spellEnd"/>
      <w:r w:rsidRPr="00E54173">
        <w:rPr>
          <w:lang w:val="es-US"/>
        </w:rPr>
        <w:t xml:space="preserve"> Pérez Amador, Roger Alexander Espinoza Méndez, Joel Noé Blandón Villagra and </w:t>
      </w:r>
      <w:proofErr w:type="spellStart"/>
      <w:r w:rsidRPr="00E54173">
        <w:rPr>
          <w:lang w:val="es-US"/>
        </w:rPr>
        <w:t>their</w:t>
      </w:r>
      <w:proofErr w:type="spellEnd"/>
      <w:r w:rsidRPr="00E54173">
        <w:rPr>
          <w:lang w:val="es-US"/>
        </w:rPr>
        <w:t xml:space="preserve"> respective </w:t>
      </w:r>
      <w:proofErr w:type="spellStart"/>
      <w:r w:rsidRPr="00E54173">
        <w:rPr>
          <w:lang w:val="es-US"/>
        </w:rPr>
        <w:t>families</w:t>
      </w:r>
      <w:proofErr w:type="spellEnd"/>
      <w:r w:rsidRPr="00E54173">
        <w:rPr>
          <w:lang w:val="es-US"/>
        </w:rPr>
        <w:t xml:space="preserve">, Leónidas Cruz Cano and Juan Abelardo Mata Guevara. </w:t>
      </w:r>
      <w:r w:rsidRPr="00524435">
        <w:t xml:space="preserve">According to the request, the persons proposed as beneficiaries are at risk due to being identified or perceived as part of the opposition by certain sectors of the country. Upon analyzing the allegations of fact and law provided by the requesting parties, the Commission considers that the information presented demonstrates prima facie that the persons proposed as beneficiaries are in a serious and urgent situation, since their rights to life and personal integrity are at risk of irreparable harm. Consequently, in accordance with Article 25 of the Rules of Procedure, the Commission requests that Nicaragua: a. adopt the necessary measures to protect the rights to life and personal integrity of the persons identified. To this end, the State must both ensure that its agents respect the life and personal integrity of the beneficiaries, and protect their rights in relation to acts of risk that are attributable to third parties, in accordance with the standards established by international human rights law and with the incorporation of a gender perspective; </w:t>
      </w:r>
      <w:r w:rsidRPr="00524435">
        <w:lastRenderedPageBreak/>
        <w:t>b. agree on the measures to be adopted with the beneficiaries and their representatives; and, c. report on the actions taken to investigate the alleged facts that gave rise to the adoption of this precautionary measure and thus avoid their repetition.</w:t>
      </w:r>
    </w:p>
    <w:p w14:paraId="173266F4" w14:textId="77777777" w:rsidR="00842401" w:rsidRPr="00E42B49" w:rsidRDefault="00842401" w:rsidP="005D7B8A">
      <w:pPr>
        <w:spacing w:after="0" w:line="240" w:lineRule="auto"/>
        <w:rPr>
          <w:rFonts w:ascii="Cambria" w:eastAsia="Cambria" w:hAnsi="Cambria" w:cs="Cambria"/>
          <w:b/>
          <w:bCs/>
          <w:color w:val="000000" w:themeColor="text1"/>
          <w:sz w:val="20"/>
          <w:szCs w:val="20"/>
          <w:lang w:val="es-US"/>
        </w:rPr>
      </w:pPr>
      <w:proofErr w:type="spellStart"/>
      <w:r w:rsidRPr="00E42B49">
        <w:rPr>
          <w:rFonts w:ascii="Cambria" w:eastAsia="Cambria" w:hAnsi="Cambria" w:cs="Cambria"/>
          <w:b/>
          <w:bCs/>
          <w:color w:val="000000" w:themeColor="text1"/>
          <w:sz w:val="20"/>
          <w:szCs w:val="20"/>
          <w:lang w:val="es-US"/>
        </w:rPr>
        <w:t>Resolution</w:t>
      </w:r>
      <w:proofErr w:type="spellEnd"/>
      <w:r w:rsidRPr="00E42B49">
        <w:rPr>
          <w:rFonts w:ascii="Cambria" w:eastAsia="Cambria" w:hAnsi="Cambria" w:cs="Cambria"/>
          <w:b/>
          <w:bCs/>
          <w:color w:val="000000" w:themeColor="text1"/>
          <w:sz w:val="20"/>
          <w:szCs w:val="20"/>
          <w:lang w:val="es-US"/>
        </w:rPr>
        <w:t xml:space="preserve"> No. 95/21</w:t>
      </w:r>
    </w:p>
    <w:p w14:paraId="03A46CCB" w14:textId="77777777" w:rsidR="00842401" w:rsidRPr="00E42B49" w:rsidRDefault="00842401" w:rsidP="005D7B8A">
      <w:pPr>
        <w:spacing w:after="0" w:line="240" w:lineRule="auto"/>
        <w:rPr>
          <w:rFonts w:ascii="Cambria" w:eastAsia="Cambria" w:hAnsi="Cambria" w:cs="Cambria"/>
          <w:b/>
          <w:bCs/>
          <w:color w:val="000000" w:themeColor="text1"/>
          <w:sz w:val="20"/>
          <w:szCs w:val="20"/>
          <w:lang w:val="es-US"/>
        </w:rPr>
      </w:pPr>
      <w:r w:rsidRPr="00E42B49">
        <w:rPr>
          <w:rFonts w:ascii="Cambria" w:eastAsia="Cambria" w:hAnsi="Cambria" w:cs="Cambria"/>
          <w:b/>
          <w:bCs/>
          <w:color w:val="000000" w:themeColor="text1"/>
          <w:sz w:val="20"/>
          <w:szCs w:val="20"/>
          <w:lang w:val="es-US"/>
        </w:rPr>
        <w:t>PM 444-20 - Denis Antonio García Jirón y Carmen Jirón, Nicaragua</w:t>
      </w:r>
    </w:p>
    <w:p w14:paraId="55EE6C87" w14:textId="77777777" w:rsidR="00842401" w:rsidRPr="00E42B49" w:rsidRDefault="00842401" w:rsidP="002645C5">
      <w:pPr>
        <w:spacing w:after="0" w:line="240" w:lineRule="auto"/>
        <w:jc w:val="both"/>
        <w:rPr>
          <w:rFonts w:ascii="Cambria" w:eastAsia="Cambria" w:hAnsi="Cambria" w:cs="Cambria"/>
          <w:color w:val="000000" w:themeColor="text1"/>
          <w:sz w:val="20"/>
          <w:szCs w:val="20"/>
          <w:lang w:val="es-US"/>
        </w:rPr>
      </w:pPr>
    </w:p>
    <w:p w14:paraId="36C66D81" w14:textId="77777777" w:rsidR="00842401" w:rsidRPr="00524435" w:rsidRDefault="00842401" w:rsidP="009242CD">
      <w:pPr>
        <w:pStyle w:val="ListParagraph"/>
      </w:pPr>
      <w:r w:rsidRPr="00524435">
        <w:t xml:space="preserve">On November 27, 2021, the IACHR granted precautionary measures in favor of Denis Antonio García </w:t>
      </w:r>
      <w:proofErr w:type="spellStart"/>
      <w:r w:rsidRPr="00524435">
        <w:t>Jirón</w:t>
      </w:r>
      <w:proofErr w:type="spellEnd"/>
      <w:r w:rsidRPr="00524435">
        <w:t xml:space="preserve"> and his mother after considering that they are in a serious and urgent situation of risk of irreparable harm to their rights in Nicaragua. The request for precautionary measures alleges that the beneficiary, currently deprived of his liberty, and his family members, have been subject to threats, </w:t>
      </w:r>
      <w:proofErr w:type="gramStart"/>
      <w:r w:rsidRPr="00524435">
        <w:t>harassment</w:t>
      </w:r>
      <w:proofErr w:type="gramEnd"/>
      <w:r w:rsidRPr="00524435">
        <w:t xml:space="preserve"> and aggressions by state agents in the current context due to his role as a political activist and participation in the protests against the government in Nicaragua. Consequently, in accordance with Article 25 of the Rules of Procedure, the IACHR requested the State of Nicaragua to adopt the necessary measures to protect the life and personal integrity of Mr. Denis Antonio García </w:t>
      </w:r>
      <w:proofErr w:type="spellStart"/>
      <w:r w:rsidRPr="00524435">
        <w:t>Jirón</w:t>
      </w:r>
      <w:proofErr w:type="spellEnd"/>
      <w:r w:rsidRPr="00524435">
        <w:t xml:space="preserve"> and his mother. In particular, the State must ensure that the rights of the beneficiary and his mother are respected in accordance with the standards established by international human rights law, both by its agents and in relation to acts of risk attributable to third parties; ensure that the conditions of his detention are compatible with applicable international standards on the matter; agree on the measures to be implemented with the beneficiaries and their representatives; and report on the actions taken to investigate the alleged facts that gave rise to the adoption of this precautionary measure so as to avoid their reoccurrence</w:t>
      </w:r>
    </w:p>
    <w:p w14:paraId="7563CE5E" w14:textId="77777777" w:rsidR="00842401" w:rsidRPr="00E42B49" w:rsidRDefault="00842401" w:rsidP="005D7B8A">
      <w:pPr>
        <w:spacing w:after="0" w:line="240" w:lineRule="auto"/>
        <w:jc w:val="both"/>
        <w:rPr>
          <w:rFonts w:ascii="Cambria" w:eastAsia="Cambria" w:hAnsi="Cambria" w:cs="Cambria"/>
          <w:b/>
          <w:bCs/>
          <w:color w:val="000000" w:themeColor="text1"/>
          <w:sz w:val="20"/>
          <w:szCs w:val="20"/>
          <w:lang w:val="es-US"/>
        </w:rPr>
      </w:pPr>
      <w:proofErr w:type="spellStart"/>
      <w:r w:rsidRPr="00E42B49">
        <w:rPr>
          <w:rFonts w:ascii="Cambria" w:eastAsia="Cambria" w:hAnsi="Cambria" w:cs="Cambria"/>
          <w:b/>
          <w:bCs/>
          <w:color w:val="000000" w:themeColor="text1"/>
          <w:sz w:val="20"/>
          <w:szCs w:val="20"/>
          <w:lang w:val="es-US"/>
        </w:rPr>
        <w:t>Resolution</w:t>
      </w:r>
      <w:proofErr w:type="spellEnd"/>
      <w:r w:rsidRPr="00E42B49">
        <w:rPr>
          <w:rFonts w:ascii="Cambria" w:eastAsia="Cambria" w:hAnsi="Cambria" w:cs="Cambria"/>
          <w:b/>
          <w:bCs/>
          <w:color w:val="000000" w:themeColor="text1"/>
          <w:sz w:val="20"/>
          <w:szCs w:val="20"/>
          <w:lang w:val="es-US"/>
        </w:rPr>
        <w:t xml:space="preserve"> No. 101/21</w:t>
      </w:r>
    </w:p>
    <w:p w14:paraId="10F0EA8E" w14:textId="77777777" w:rsidR="00842401" w:rsidRPr="00E42B49" w:rsidRDefault="00842401" w:rsidP="005D7B8A">
      <w:pPr>
        <w:spacing w:after="0" w:line="240" w:lineRule="auto"/>
        <w:jc w:val="both"/>
        <w:rPr>
          <w:rFonts w:ascii="Cambria" w:eastAsia="Cambria" w:hAnsi="Cambria" w:cs="Cambria"/>
          <w:b/>
          <w:bCs/>
          <w:color w:val="000000" w:themeColor="text1"/>
          <w:sz w:val="20"/>
          <w:szCs w:val="20"/>
          <w:lang w:val="es-US"/>
        </w:rPr>
      </w:pPr>
      <w:r w:rsidRPr="00E42B49">
        <w:rPr>
          <w:rFonts w:ascii="Cambria" w:eastAsia="Cambria" w:hAnsi="Cambria" w:cs="Cambria"/>
          <w:b/>
          <w:bCs/>
          <w:color w:val="000000" w:themeColor="text1"/>
          <w:sz w:val="20"/>
          <w:szCs w:val="20"/>
          <w:lang w:val="es-US"/>
        </w:rPr>
        <w:t>PM 505-21 - María Lilly Delgado Talavera, Nicaragua</w:t>
      </w:r>
    </w:p>
    <w:p w14:paraId="05630D8D" w14:textId="77777777" w:rsidR="00842401" w:rsidRPr="00E42B49" w:rsidRDefault="00842401" w:rsidP="002645C5">
      <w:pPr>
        <w:spacing w:after="0" w:line="240" w:lineRule="auto"/>
        <w:jc w:val="both"/>
        <w:rPr>
          <w:rFonts w:ascii="Cambria" w:eastAsia="Cambria" w:hAnsi="Cambria" w:cs="Cambria"/>
          <w:color w:val="000000" w:themeColor="text1"/>
          <w:sz w:val="20"/>
          <w:szCs w:val="20"/>
          <w:lang w:val="es-US"/>
        </w:rPr>
      </w:pPr>
    </w:p>
    <w:p w14:paraId="440B8408" w14:textId="77777777" w:rsidR="00842401" w:rsidRPr="00524435" w:rsidRDefault="00842401" w:rsidP="009242CD">
      <w:pPr>
        <w:pStyle w:val="ListParagraph"/>
      </w:pPr>
      <w:r w:rsidRPr="00524435">
        <w:t xml:space="preserve">On December 8, 2021, the IACHR granted precautionary measures to María Lilly Delgado Talavera. It was alleged that she has been subjected to harassment, intimidation and surveillance related to her work as a journalist. In accordance with Article 25 of the Rules of Procedure, the Commission requests that Nicaragua: a) adopt the necessary measures, with a gender perspective, to protect the rights to life and personal integrity of María Lilly Delgado Talavera. To this end, the State must both ensure that its agents respect the life and personal integrity of the beneficiary, and protect her rights in relation to acts of risk that are attributable to third parties, in accordance with the standards established by international human rights law; b) adopt the necessary measures so that María Lilly Delgado Talavera can carry out her activities as an independent journalist without being subjected to acts of violence, intimidation, threats, or harassment in the exercise of her work. This includes the adoption of measures so that she can duly exercise her right to freedom of expression; c) reach agreement with the beneficiary and her representatives on the measures to be adopted; </w:t>
      </w:r>
      <w:proofErr w:type="gramStart"/>
      <w:r w:rsidRPr="00524435">
        <w:t>and,</w:t>
      </w:r>
      <w:proofErr w:type="gramEnd"/>
      <w:r w:rsidRPr="00524435">
        <w:t xml:space="preserve"> d) report on the actions taken to investigate the alleged facts that gave rise to the adoption of this precautionary measure and thus avoid their repetition.</w:t>
      </w:r>
    </w:p>
    <w:p w14:paraId="08D50E63" w14:textId="77777777" w:rsidR="00842401" w:rsidRPr="00E42B49" w:rsidRDefault="00842401" w:rsidP="005D7B8A">
      <w:pPr>
        <w:spacing w:after="0" w:line="240" w:lineRule="auto"/>
        <w:jc w:val="both"/>
        <w:rPr>
          <w:rFonts w:ascii="Cambria" w:eastAsia="Cambria" w:hAnsi="Cambria" w:cs="Cambria"/>
          <w:b/>
          <w:bCs/>
          <w:color w:val="000000" w:themeColor="text1"/>
          <w:sz w:val="20"/>
          <w:szCs w:val="20"/>
          <w:lang w:val="es-US"/>
        </w:rPr>
      </w:pPr>
      <w:proofErr w:type="spellStart"/>
      <w:r w:rsidRPr="00E42B49">
        <w:rPr>
          <w:rFonts w:ascii="Cambria" w:eastAsia="Cambria" w:hAnsi="Cambria" w:cs="Cambria"/>
          <w:b/>
          <w:bCs/>
          <w:color w:val="000000" w:themeColor="text1"/>
          <w:sz w:val="20"/>
          <w:szCs w:val="20"/>
          <w:lang w:val="es-US"/>
        </w:rPr>
        <w:t>Resolution</w:t>
      </w:r>
      <w:proofErr w:type="spellEnd"/>
      <w:r w:rsidRPr="00E42B49">
        <w:rPr>
          <w:rFonts w:ascii="Cambria" w:eastAsia="Cambria" w:hAnsi="Cambria" w:cs="Cambria"/>
          <w:b/>
          <w:bCs/>
          <w:color w:val="000000" w:themeColor="text1"/>
          <w:sz w:val="20"/>
          <w:szCs w:val="20"/>
          <w:lang w:val="es-US"/>
        </w:rPr>
        <w:t xml:space="preserve"> No. 113/21</w:t>
      </w:r>
    </w:p>
    <w:p w14:paraId="70959985" w14:textId="77777777" w:rsidR="00842401" w:rsidRPr="00E42B49" w:rsidRDefault="00842401" w:rsidP="005D7B8A">
      <w:pPr>
        <w:spacing w:after="0" w:line="240" w:lineRule="auto"/>
        <w:jc w:val="both"/>
        <w:rPr>
          <w:rFonts w:ascii="Cambria" w:eastAsia="Cambria" w:hAnsi="Cambria" w:cs="Cambria"/>
          <w:b/>
          <w:bCs/>
          <w:color w:val="000000" w:themeColor="text1"/>
          <w:sz w:val="20"/>
          <w:szCs w:val="20"/>
          <w:lang w:val="es-US"/>
        </w:rPr>
      </w:pPr>
      <w:r w:rsidRPr="00E42B49">
        <w:rPr>
          <w:rFonts w:ascii="Cambria" w:eastAsia="Cambria" w:hAnsi="Cambria" w:cs="Cambria"/>
          <w:b/>
          <w:bCs/>
          <w:color w:val="000000" w:themeColor="text1"/>
          <w:sz w:val="20"/>
          <w:szCs w:val="20"/>
          <w:lang w:val="es-US"/>
        </w:rPr>
        <w:t>PM 610-21, 949-21 - José Manuel Urbina Lara and Benjamín Ernesto Gutiérrez Collado, Nicaragua</w:t>
      </w:r>
    </w:p>
    <w:p w14:paraId="362F6DF1" w14:textId="77777777" w:rsidR="00842401" w:rsidRPr="00E42B49" w:rsidRDefault="00842401" w:rsidP="002645C5">
      <w:pPr>
        <w:spacing w:after="0" w:line="240" w:lineRule="auto"/>
        <w:jc w:val="both"/>
        <w:rPr>
          <w:rFonts w:ascii="Cambria" w:eastAsia="Cambria" w:hAnsi="Cambria" w:cs="Cambria"/>
          <w:color w:val="000000" w:themeColor="text1"/>
          <w:sz w:val="20"/>
          <w:szCs w:val="20"/>
          <w:lang w:val="es-US"/>
        </w:rPr>
      </w:pPr>
    </w:p>
    <w:p w14:paraId="54997C4F" w14:textId="77777777" w:rsidR="00842401" w:rsidRPr="00524435" w:rsidRDefault="00842401" w:rsidP="009242CD">
      <w:pPr>
        <w:pStyle w:val="ListParagraph"/>
      </w:pPr>
      <w:r w:rsidRPr="00524435">
        <w:t xml:space="preserve">On December 31, 2021, the IACHR granted precautionary measures to José Manuel Urbina Lara and Benjamín Ernesto Gutiérrez </w:t>
      </w:r>
      <w:proofErr w:type="spellStart"/>
      <w:r w:rsidRPr="00524435">
        <w:t>Collado</w:t>
      </w:r>
      <w:proofErr w:type="spellEnd"/>
      <w:r w:rsidRPr="00524435">
        <w:t>, after considering that they are at serious and urgent risk of irreparable harm to their rights in Nicaragua. The request for precautionary measures alleges that the proposed beneficiaries, identified or perceived as political opponents in the current context of Nicaragua, have been deprived of liberty since January 2021 in severe conditions of detention and have not received health care. In accordance with Article 25 of the Rules of Procedure, the Commission requests that Nicaragua: adopt the necessary measures to protect the rights to life, personal integrity, and health of the persons proposed as beneficiaries; b) ensure that the conditions of detention of the proposed beneficiaries are compatible with applicable international standards and that they receive access to necessary and adequate medical care; c) consult and agree upon the measures to be adopted with the persons proposed as beneficiaries and their representatives; and d) report on the actions taken to investigate the alleged facts that gave rise to the adoption of this precautionary measure, so as to prevent them from reoccurring.</w:t>
      </w:r>
    </w:p>
    <w:p w14:paraId="1F42C0A9" w14:textId="77777777" w:rsidR="00842401" w:rsidRPr="00524435" w:rsidRDefault="00842401" w:rsidP="00842401">
      <w:pPr>
        <w:pStyle w:val="Body"/>
        <w:jc w:val="both"/>
        <w:rPr>
          <w:rStyle w:val="None"/>
          <w:rFonts w:ascii="Cambria" w:eastAsia="Cambria" w:hAnsi="Cambria" w:cs="Cambria"/>
          <w:b/>
          <w:sz w:val="20"/>
          <w:szCs w:val="20"/>
        </w:rPr>
      </w:pPr>
      <w:r w:rsidRPr="00524435">
        <w:rPr>
          <w:rStyle w:val="None"/>
          <w:rFonts w:ascii="Cambria" w:hAnsi="Cambria"/>
          <w:b/>
          <w:sz w:val="20"/>
          <w:szCs w:val="20"/>
        </w:rPr>
        <w:lastRenderedPageBreak/>
        <w:t>PERU</w:t>
      </w:r>
    </w:p>
    <w:p w14:paraId="5EE5E4B1" w14:textId="77777777" w:rsidR="00842401" w:rsidRPr="00524435" w:rsidRDefault="00842401" w:rsidP="00842401">
      <w:pPr>
        <w:pStyle w:val="Body"/>
        <w:jc w:val="both"/>
        <w:rPr>
          <w:rStyle w:val="None"/>
          <w:rFonts w:ascii="Cambria" w:eastAsia="Cambria" w:hAnsi="Cambria" w:cs="Cambria"/>
          <w:b/>
          <w:sz w:val="20"/>
          <w:szCs w:val="20"/>
        </w:rPr>
      </w:pPr>
    </w:p>
    <w:p w14:paraId="34833736" w14:textId="77777777" w:rsidR="00842401" w:rsidRPr="00524435" w:rsidRDefault="00842401" w:rsidP="00842401">
      <w:pPr>
        <w:pStyle w:val="Body"/>
        <w:rPr>
          <w:rStyle w:val="None"/>
          <w:rFonts w:ascii="Cambria" w:eastAsia="Cambria" w:hAnsi="Cambria" w:cs="Cambria"/>
          <w:b/>
          <w:sz w:val="20"/>
          <w:szCs w:val="20"/>
        </w:rPr>
      </w:pPr>
      <w:r w:rsidRPr="00524435">
        <w:rPr>
          <w:rStyle w:val="None"/>
          <w:rFonts w:ascii="Cambria" w:hAnsi="Cambria"/>
          <w:b/>
          <w:sz w:val="20"/>
          <w:szCs w:val="20"/>
        </w:rPr>
        <w:t>Resolution No. 55/21</w:t>
      </w:r>
      <w:r w:rsidRPr="00524435">
        <w:rPr>
          <w:rStyle w:val="None"/>
          <w:rFonts w:ascii="Cambria" w:hAnsi="Cambria"/>
          <w:b/>
          <w:sz w:val="20"/>
          <w:szCs w:val="20"/>
        </w:rPr>
        <w:br/>
        <w:t>MC 576-21 - José Domingo Pérez Gómez and his immediate family, Peru</w:t>
      </w:r>
    </w:p>
    <w:p w14:paraId="28E9F573" w14:textId="77777777" w:rsidR="00842401" w:rsidRPr="00524435" w:rsidRDefault="00842401" w:rsidP="00842401">
      <w:pPr>
        <w:pStyle w:val="Body"/>
        <w:jc w:val="both"/>
        <w:rPr>
          <w:rStyle w:val="None"/>
          <w:rFonts w:ascii="Cambria" w:hAnsi="Cambria"/>
          <w:sz w:val="20"/>
          <w:szCs w:val="20"/>
        </w:rPr>
      </w:pPr>
    </w:p>
    <w:p w14:paraId="327A06A8" w14:textId="77777777" w:rsidR="00842401" w:rsidRPr="00524435" w:rsidRDefault="00842401" w:rsidP="009242CD">
      <w:pPr>
        <w:pStyle w:val="ListParagraph"/>
        <w:rPr>
          <w:rStyle w:val="None"/>
          <w:rFonts w:eastAsia="Cambria" w:cs="Cambria"/>
        </w:rPr>
      </w:pPr>
      <w:r w:rsidRPr="00524435">
        <w:rPr>
          <w:rStyle w:val="None"/>
        </w:rPr>
        <w:t>On July 25, 2021, the IACHR decided to grant precautionary measures on behalf of José Domingo Pérez Gómez and his immediate family, in Peru. According to the request, Mr. Pérez was at risk due to his work as a prosecutor in the country’s current circumstances. Therefore, pursuant to Article 25 of its Rules of Procedure, the Committee requested the State of Peru to: a) adopt the measures necessary to guarantee the right to life and personal integrity of the persons identified as beneficiaries; b)adopt the necessary and culturally appropriate measures to guarantee that Mr. Pérez could continue his work as a prosecutor without being subjected to threats, harassment, or acts of violence in the course of his work; c) reach an agreement with the beneficiary and his representatives on the measures to implement; and d) report on the action taken to investigate the alleged events that had led to the adoption of this Resolution and thus, avoid their repetition.</w:t>
      </w:r>
    </w:p>
    <w:p w14:paraId="0E5E389F" w14:textId="77777777" w:rsidR="00842401" w:rsidRPr="00524435" w:rsidRDefault="00842401" w:rsidP="005D7B8A">
      <w:pPr>
        <w:spacing w:after="0" w:line="240" w:lineRule="auto"/>
        <w:rPr>
          <w:rFonts w:ascii="Cambria" w:hAnsi="Cambria"/>
          <w:b/>
          <w:bCs/>
          <w:color w:val="000000" w:themeColor="text1"/>
          <w:sz w:val="20"/>
          <w:szCs w:val="20"/>
        </w:rPr>
      </w:pPr>
      <w:r w:rsidRPr="00524435">
        <w:rPr>
          <w:rFonts w:ascii="Cambria" w:eastAsia="Cambria" w:hAnsi="Cambria" w:cs="Cambria"/>
          <w:b/>
          <w:bCs/>
          <w:color w:val="000000" w:themeColor="text1"/>
          <w:sz w:val="20"/>
          <w:szCs w:val="20"/>
        </w:rPr>
        <w:t>Resolution No. 56/21</w:t>
      </w:r>
      <w:r w:rsidRPr="00524435">
        <w:rPr>
          <w:rFonts w:ascii="Cambria" w:eastAsia="Cambria" w:hAnsi="Cambria" w:cs="Cambria"/>
          <w:b/>
          <w:bCs/>
          <w:color w:val="000000" w:themeColor="text1"/>
          <w:sz w:val="20"/>
          <w:szCs w:val="20"/>
        </w:rPr>
        <w:br/>
        <w:t>MC 607-21 - Jorge Luis Salas Arenas and his immediate family, Peru</w:t>
      </w:r>
    </w:p>
    <w:p w14:paraId="4FAEDA37" w14:textId="77777777" w:rsidR="00842401" w:rsidRPr="00524435" w:rsidRDefault="00842401" w:rsidP="00842401">
      <w:pPr>
        <w:pStyle w:val="Body"/>
        <w:jc w:val="both"/>
        <w:rPr>
          <w:rStyle w:val="None"/>
          <w:rFonts w:ascii="Cambria" w:hAnsi="Cambria"/>
          <w:sz w:val="20"/>
          <w:szCs w:val="20"/>
        </w:rPr>
      </w:pPr>
    </w:p>
    <w:p w14:paraId="01F66180" w14:textId="77777777" w:rsidR="00842401" w:rsidRPr="00524435" w:rsidRDefault="00842401" w:rsidP="009242CD">
      <w:pPr>
        <w:pStyle w:val="ListParagraph"/>
        <w:rPr>
          <w:rStyle w:val="None"/>
          <w:rFonts w:eastAsia="Cambria" w:cs="Cambria"/>
        </w:rPr>
      </w:pPr>
      <w:r w:rsidRPr="00524435">
        <w:rPr>
          <w:rStyle w:val="None"/>
        </w:rPr>
        <w:t xml:space="preserve">On July 25, 2021, the IACHR decided to grant precautionary measures on behalf of Jorge Luis Salas Arenas and his family, in Peru. According to the petitioners, Mr. Salas Arenas was at risk due to his current position as Chairman of the National Board of Elections (JNE) and the current circumstances in the country. Therefore, pursuant to Article 25 of its Rules of Procedure, the Committee requested the State of Peru to: a) adopt the measures necessary to guarantee the right to life and personal integrity of the persons identified as beneficiaries; b) adopt the necessary and culturally appropriate measures to guarantee that Mr. Jorge Luis Salas Arenas could continue his work as Chairman of the National Board of Elections (JNE) without being subjected to threats, harassment, or acts of violence in the course of his work; c) reach an agreement with the beneficiaries and their representatives on the measures to implement; and d) report on the action taken to investigate the alleged events that had led to the adoption of this Resolution and thus, avoid their repetition. </w:t>
      </w:r>
    </w:p>
    <w:p w14:paraId="64072618" w14:textId="77777777" w:rsidR="00842401" w:rsidRPr="00524435" w:rsidRDefault="00842401" w:rsidP="00842401">
      <w:pPr>
        <w:pStyle w:val="Body"/>
        <w:jc w:val="both"/>
        <w:rPr>
          <w:rStyle w:val="None"/>
          <w:rFonts w:ascii="Cambria" w:eastAsia="Cambria" w:hAnsi="Cambria" w:cs="Cambria"/>
          <w:b/>
          <w:sz w:val="20"/>
          <w:szCs w:val="20"/>
        </w:rPr>
      </w:pPr>
      <w:r w:rsidRPr="00524435">
        <w:rPr>
          <w:rStyle w:val="None"/>
          <w:rFonts w:ascii="Cambria" w:hAnsi="Cambria"/>
          <w:b/>
          <w:sz w:val="20"/>
          <w:szCs w:val="20"/>
        </w:rPr>
        <w:t>SURINAME</w:t>
      </w:r>
    </w:p>
    <w:p w14:paraId="014D4236" w14:textId="77777777" w:rsidR="00842401" w:rsidRPr="00524435" w:rsidRDefault="00842401" w:rsidP="00842401">
      <w:pPr>
        <w:pStyle w:val="Body"/>
        <w:jc w:val="both"/>
        <w:rPr>
          <w:rStyle w:val="None"/>
          <w:rFonts w:ascii="Cambria" w:eastAsia="Cambria" w:hAnsi="Cambria" w:cs="Cambria"/>
          <w:b/>
          <w:bCs/>
          <w:sz w:val="20"/>
          <w:szCs w:val="20"/>
        </w:rPr>
      </w:pPr>
    </w:p>
    <w:p w14:paraId="0BF1D3C8" w14:textId="77777777" w:rsidR="00842401" w:rsidRPr="00524435" w:rsidRDefault="00842401" w:rsidP="005D7B8A">
      <w:pPr>
        <w:spacing w:after="0" w:line="240" w:lineRule="auto"/>
        <w:rPr>
          <w:rFonts w:ascii="Cambria" w:hAnsi="Cambria"/>
          <w:b/>
          <w:bCs/>
          <w:color w:val="000000" w:themeColor="text1"/>
          <w:sz w:val="20"/>
          <w:szCs w:val="20"/>
        </w:rPr>
      </w:pPr>
      <w:r w:rsidRPr="00524435">
        <w:rPr>
          <w:rFonts w:ascii="Cambria" w:eastAsia="Cambria" w:hAnsi="Cambria" w:cs="Cambria"/>
          <w:b/>
          <w:bCs/>
          <w:color w:val="000000" w:themeColor="text1"/>
          <w:sz w:val="20"/>
          <w:szCs w:val="20"/>
        </w:rPr>
        <w:t>Resolution No. 22/21(LIFTING)</w:t>
      </w:r>
      <w:r w:rsidRPr="00524435">
        <w:rPr>
          <w:rFonts w:ascii="Cambria" w:eastAsia="Cambria" w:hAnsi="Cambria" w:cs="Cambria"/>
          <w:b/>
          <w:bCs/>
          <w:color w:val="000000" w:themeColor="text1"/>
          <w:sz w:val="20"/>
          <w:szCs w:val="20"/>
        </w:rPr>
        <w:br/>
        <w:t xml:space="preserve">MC 395-09 – Residents of the indigenous </w:t>
      </w:r>
      <w:proofErr w:type="spellStart"/>
      <w:r w:rsidRPr="00524435">
        <w:rPr>
          <w:rFonts w:ascii="Cambria" w:eastAsia="Cambria" w:hAnsi="Cambria" w:cs="Cambria"/>
          <w:b/>
          <w:bCs/>
          <w:color w:val="000000" w:themeColor="text1"/>
          <w:sz w:val="20"/>
          <w:szCs w:val="20"/>
        </w:rPr>
        <w:t>Maho</w:t>
      </w:r>
      <w:proofErr w:type="spellEnd"/>
      <w:r w:rsidRPr="00524435">
        <w:rPr>
          <w:rFonts w:ascii="Cambria" w:eastAsia="Cambria" w:hAnsi="Cambria" w:cs="Cambria"/>
          <w:b/>
          <w:bCs/>
          <w:color w:val="000000" w:themeColor="text1"/>
          <w:sz w:val="20"/>
          <w:szCs w:val="20"/>
        </w:rPr>
        <w:t xml:space="preserve"> community, Suriname</w:t>
      </w:r>
    </w:p>
    <w:p w14:paraId="5756620B" w14:textId="77777777" w:rsidR="00842401" w:rsidRPr="00524435" w:rsidRDefault="00842401" w:rsidP="00842401">
      <w:pPr>
        <w:pStyle w:val="Body"/>
        <w:jc w:val="both"/>
        <w:rPr>
          <w:rStyle w:val="None"/>
          <w:rFonts w:ascii="Cambria" w:hAnsi="Cambria"/>
          <w:sz w:val="20"/>
          <w:szCs w:val="20"/>
        </w:rPr>
      </w:pPr>
    </w:p>
    <w:p w14:paraId="27FC22CA" w14:textId="77777777" w:rsidR="00842401" w:rsidRPr="00524435" w:rsidRDefault="00842401" w:rsidP="009242CD">
      <w:pPr>
        <w:pStyle w:val="ListParagraph"/>
        <w:rPr>
          <w:rStyle w:val="None"/>
          <w:rFonts w:eastAsia="Cambria" w:cs="Cambria"/>
        </w:rPr>
      </w:pPr>
      <w:r w:rsidRPr="00524435">
        <w:rPr>
          <w:rStyle w:val="None"/>
        </w:rPr>
        <w:t xml:space="preserve">The Inter-American Commission on Human Rights (IACHR) decided to lift the current precautionary measures under Article 25.9 of its Rules of Procedure. </w:t>
      </w:r>
      <w:proofErr w:type="gramStart"/>
      <w:r w:rsidRPr="00524435">
        <w:rPr>
          <w:rStyle w:val="None"/>
        </w:rPr>
        <w:t>In particular, despite</w:t>
      </w:r>
      <w:proofErr w:type="gramEnd"/>
      <w:r w:rsidRPr="00524435">
        <w:rPr>
          <w:rStyle w:val="None"/>
        </w:rPr>
        <w:t xml:space="preserve"> numerous requests to the representatives for information, the IACHR had not obtained information that would enable it to review the appropriateness of the current precautionary measures. Notwithstanding, the IACHR would continue the respective review under Case 12,897, should the grounds for it exist.</w:t>
      </w:r>
    </w:p>
    <w:p w14:paraId="0ECF7900" w14:textId="77777777" w:rsidR="00842401" w:rsidRPr="00524435" w:rsidRDefault="00842401" w:rsidP="00842401">
      <w:pPr>
        <w:pStyle w:val="Body"/>
        <w:jc w:val="both"/>
        <w:rPr>
          <w:rStyle w:val="None"/>
          <w:rFonts w:ascii="Cambria" w:eastAsia="Cambria" w:hAnsi="Cambria" w:cs="Cambria"/>
          <w:b/>
          <w:sz w:val="20"/>
          <w:szCs w:val="20"/>
        </w:rPr>
      </w:pPr>
      <w:r w:rsidRPr="00524435">
        <w:rPr>
          <w:rStyle w:val="None"/>
          <w:rFonts w:ascii="Cambria" w:hAnsi="Cambria"/>
          <w:b/>
          <w:sz w:val="20"/>
          <w:szCs w:val="20"/>
        </w:rPr>
        <w:t>TRINIDAD AND TOBAGO</w:t>
      </w:r>
    </w:p>
    <w:p w14:paraId="4861B1C4" w14:textId="77777777" w:rsidR="00842401" w:rsidRPr="00524435" w:rsidRDefault="00842401" w:rsidP="00842401">
      <w:pPr>
        <w:pStyle w:val="Body"/>
        <w:jc w:val="both"/>
        <w:rPr>
          <w:rStyle w:val="None"/>
          <w:rFonts w:ascii="Cambria" w:eastAsia="Cambria" w:hAnsi="Cambria" w:cs="Cambria"/>
          <w:b/>
          <w:bCs/>
          <w:sz w:val="20"/>
          <w:szCs w:val="20"/>
        </w:rPr>
      </w:pPr>
    </w:p>
    <w:p w14:paraId="66ED91F4" w14:textId="77777777" w:rsidR="00842401" w:rsidRPr="00524435" w:rsidRDefault="00842401" w:rsidP="005D7B8A">
      <w:pPr>
        <w:spacing w:after="0" w:line="240" w:lineRule="auto"/>
        <w:rPr>
          <w:rFonts w:ascii="Cambria" w:hAnsi="Cambria"/>
          <w:b/>
          <w:bCs/>
          <w:color w:val="000000" w:themeColor="text1"/>
          <w:sz w:val="20"/>
          <w:szCs w:val="20"/>
        </w:rPr>
      </w:pPr>
      <w:r w:rsidRPr="00524435">
        <w:rPr>
          <w:rFonts w:ascii="Cambria" w:eastAsia="Cambria" w:hAnsi="Cambria" w:cs="Cambria"/>
          <w:b/>
          <w:bCs/>
          <w:color w:val="000000" w:themeColor="text1"/>
          <w:sz w:val="20"/>
          <w:szCs w:val="20"/>
        </w:rPr>
        <w:t>Resolution No. 15/21(LIFTING)</w:t>
      </w:r>
      <w:r w:rsidRPr="00524435">
        <w:rPr>
          <w:rFonts w:ascii="Cambria" w:eastAsia="Cambria" w:hAnsi="Cambria" w:cs="Cambria"/>
          <w:b/>
          <w:bCs/>
          <w:color w:val="000000" w:themeColor="text1"/>
          <w:sz w:val="20"/>
          <w:szCs w:val="20"/>
        </w:rPr>
        <w:br/>
        <w:t xml:space="preserve">MC 78-09 - Ronald </w:t>
      </w:r>
      <w:proofErr w:type="spellStart"/>
      <w:proofErr w:type="gramStart"/>
      <w:r w:rsidRPr="00524435">
        <w:rPr>
          <w:rFonts w:ascii="Cambria" w:eastAsia="Cambria" w:hAnsi="Cambria" w:cs="Cambria"/>
          <w:b/>
          <w:bCs/>
          <w:color w:val="000000" w:themeColor="text1"/>
          <w:sz w:val="20"/>
          <w:szCs w:val="20"/>
        </w:rPr>
        <w:t>Tiwarie</w:t>
      </w:r>
      <w:proofErr w:type="spellEnd"/>
      <w:r w:rsidRPr="00524435">
        <w:rPr>
          <w:rFonts w:ascii="Cambria" w:eastAsia="Cambria" w:hAnsi="Cambria" w:cs="Cambria"/>
          <w:b/>
          <w:bCs/>
          <w:color w:val="000000" w:themeColor="text1"/>
          <w:sz w:val="20"/>
          <w:szCs w:val="20"/>
        </w:rPr>
        <w:t xml:space="preserve"> ,</w:t>
      </w:r>
      <w:proofErr w:type="gramEnd"/>
      <w:r w:rsidRPr="00524435">
        <w:rPr>
          <w:rFonts w:ascii="Cambria" w:eastAsia="Cambria" w:hAnsi="Cambria" w:cs="Cambria"/>
          <w:b/>
          <w:bCs/>
          <w:color w:val="000000" w:themeColor="text1"/>
          <w:sz w:val="20"/>
          <w:szCs w:val="20"/>
        </w:rPr>
        <w:t xml:space="preserve"> Trinidad and Tobago</w:t>
      </w:r>
    </w:p>
    <w:p w14:paraId="4305311B" w14:textId="77777777" w:rsidR="00842401" w:rsidRPr="00524435" w:rsidRDefault="00842401" w:rsidP="00842401">
      <w:pPr>
        <w:pStyle w:val="Body"/>
        <w:jc w:val="both"/>
        <w:rPr>
          <w:rStyle w:val="None"/>
          <w:rFonts w:ascii="Cambria" w:hAnsi="Cambria"/>
          <w:sz w:val="20"/>
          <w:szCs w:val="20"/>
        </w:rPr>
      </w:pPr>
    </w:p>
    <w:p w14:paraId="3939AF20" w14:textId="77777777" w:rsidR="00842401" w:rsidRPr="00524435" w:rsidRDefault="00842401" w:rsidP="009242CD">
      <w:pPr>
        <w:pStyle w:val="ListParagraph"/>
        <w:rPr>
          <w:rStyle w:val="None"/>
          <w:rFonts w:eastAsia="Cambria" w:cs="Cambria"/>
        </w:rPr>
      </w:pPr>
      <w:r w:rsidRPr="00524435">
        <w:rPr>
          <w:rStyle w:val="None"/>
        </w:rPr>
        <w:t xml:space="preserve">The Inter-American Commission on Human Rights (IACHR) decided to lift the current precautionary measures. On rendering this decision, the IACHR observed that the death penalty imposed on Ronald </w:t>
      </w:r>
      <w:proofErr w:type="spellStart"/>
      <w:r w:rsidRPr="00524435">
        <w:rPr>
          <w:rStyle w:val="None"/>
        </w:rPr>
        <w:t>Tiwarie</w:t>
      </w:r>
      <w:proofErr w:type="spellEnd"/>
      <w:r w:rsidRPr="00524435">
        <w:rPr>
          <w:rStyle w:val="None"/>
        </w:rPr>
        <w:t xml:space="preserve"> had been commuted in 2010. Furthermore, it had not received any information from the parties for approximately 12 years, and the request related to this measure had been shelved in 2019.</w:t>
      </w:r>
    </w:p>
    <w:p w14:paraId="4B637C38" w14:textId="77777777" w:rsidR="00005144" w:rsidRPr="00524435" w:rsidRDefault="00005144">
      <w:pPr>
        <w:rPr>
          <w:rFonts w:ascii="Cambria" w:eastAsia="Cambria" w:hAnsi="Cambria" w:cs="Cambria"/>
          <w:b/>
          <w:bCs/>
          <w:color w:val="000000" w:themeColor="text1"/>
          <w:sz w:val="20"/>
          <w:szCs w:val="20"/>
        </w:rPr>
      </w:pPr>
      <w:r w:rsidRPr="00524435">
        <w:rPr>
          <w:rFonts w:ascii="Cambria" w:eastAsia="Cambria" w:hAnsi="Cambria" w:cs="Cambria"/>
          <w:b/>
          <w:bCs/>
          <w:color w:val="000000" w:themeColor="text1"/>
          <w:sz w:val="20"/>
          <w:szCs w:val="20"/>
        </w:rPr>
        <w:br w:type="page"/>
      </w:r>
    </w:p>
    <w:p w14:paraId="7500420D" w14:textId="51BC99C2" w:rsidR="00842401" w:rsidRPr="00524435" w:rsidRDefault="00842401" w:rsidP="005D7B8A">
      <w:pPr>
        <w:spacing w:after="0" w:line="240" w:lineRule="auto"/>
        <w:rPr>
          <w:rFonts w:ascii="Cambria" w:hAnsi="Cambria"/>
          <w:b/>
          <w:bCs/>
          <w:color w:val="000000" w:themeColor="text1"/>
          <w:sz w:val="20"/>
          <w:szCs w:val="20"/>
        </w:rPr>
      </w:pPr>
      <w:r w:rsidRPr="00524435">
        <w:rPr>
          <w:rFonts w:ascii="Cambria" w:eastAsia="Cambria" w:hAnsi="Cambria" w:cs="Cambria"/>
          <w:b/>
          <w:bCs/>
          <w:color w:val="000000" w:themeColor="text1"/>
          <w:sz w:val="20"/>
          <w:szCs w:val="20"/>
        </w:rPr>
        <w:lastRenderedPageBreak/>
        <w:t>Resolution No. 39/21(LIFTING)</w:t>
      </w:r>
      <w:r w:rsidRPr="00524435">
        <w:rPr>
          <w:rFonts w:ascii="Cambria" w:eastAsia="Cambria" w:hAnsi="Cambria" w:cs="Cambria"/>
          <w:b/>
          <w:bCs/>
          <w:color w:val="000000" w:themeColor="text1"/>
          <w:sz w:val="20"/>
          <w:szCs w:val="20"/>
        </w:rPr>
        <w:br/>
        <w:t xml:space="preserve">MC 172-01 - </w:t>
      </w:r>
      <w:proofErr w:type="spellStart"/>
      <w:r w:rsidRPr="00524435">
        <w:rPr>
          <w:rFonts w:ascii="Cambria" w:eastAsia="Cambria" w:hAnsi="Cambria" w:cs="Cambria"/>
          <w:b/>
          <w:bCs/>
          <w:color w:val="000000" w:themeColor="text1"/>
          <w:sz w:val="20"/>
          <w:szCs w:val="20"/>
        </w:rPr>
        <w:t>Alladin</w:t>
      </w:r>
      <w:proofErr w:type="spellEnd"/>
      <w:r w:rsidRPr="00524435">
        <w:rPr>
          <w:rFonts w:ascii="Cambria" w:eastAsia="Cambria" w:hAnsi="Cambria" w:cs="Cambria"/>
          <w:b/>
          <w:bCs/>
          <w:color w:val="000000" w:themeColor="text1"/>
          <w:sz w:val="20"/>
          <w:szCs w:val="20"/>
        </w:rPr>
        <w:t xml:space="preserve"> Mohammed, </w:t>
      </w:r>
      <w:proofErr w:type="gramStart"/>
      <w:r w:rsidRPr="00524435">
        <w:rPr>
          <w:rFonts w:ascii="Cambria" w:eastAsia="Cambria" w:hAnsi="Cambria" w:cs="Cambria"/>
          <w:b/>
          <w:bCs/>
          <w:color w:val="000000" w:themeColor="text1"/>
          <w:sz w:val="20"/>
          <w:szCs w:val="20"/>
        </w:rPr>
        <w:t>Trinidad</w:t>
      </w:r>
      <w:proofErr w:type="gramEnd"/>
      <w:r w:rsidRPr="00524435">
        <w:rPr>
          <w:rFonts w:ascii="Cambria" w:eastAsia="Cambria" w:hAnsi="Cambria" w:cs="Cambria"/>
          <w:b/>
          <w:bCs/>
          <w:color w:val="000000" w:themeColor="text1"/>
          <w:sz w:val="20"/>
          <w:szCs w:val="20"/>
        </w:rPr>
        <w:t xml:space="preserve"> and Tobago</w:t>
      </w:r>
    </w:p>
    <w:p w14:paraId="25F2EE5A" w14:textId="77777777" w:rsidR="00842401" w:rsidRPr="00524435" w:rsidRDefault="00842401" w:rsidP="00842401">
      <w:pPr>
        <w:pStyle w:val="Body"/>
        <w:jc w:val="both"/>
        <w:rPr>
          <w:rStyle w:val="None"/>
          <w:rFonts w:ascii="Cambria" w:hAnsi="Cambria"/>
          <w:sz w:val="20"/>
          <w:szCs w:val="20"/>
        </w:rPr>
      </w:pPr>
    </w:p>
    <w:p w14:paraId="73AEAF76" w14:textId="77777777" w:rsidR="00842401" w:rsidRPr="00524435" w:rsidRDefault="00842401" w:rsidP="009242CD">
      <w:pPr>
        <w:pStyle w:val="ListParagraph"/>
        <w:rPr>
          <w:rStyle w:val="None"/>
          <w:rFonts w:eastAsia="Cambria" w:cs="Cambria"/>
        </w:rPr>
      </w:pPr>
      <w:r w:rsidRPr="00524435">
        <w:rPr>
          <w:rStyle w:val="None"/>
        </w:rPr>
        <w:t xml:space="preserve">The Inter-American Commission on Human Rights (IACHR) decided to lift the current precautionary measures. On rendering this decision, the IACHR observed that the death penalty imposed on </w:t>
      </w:r>
      <w:proofErr w:type="spellStart"/>
      <w:r w:rsidRPr="00524435">
        <w:rPr>
          <w:rStyle w:val="None"/>
        </w:rPr>
        <w:t>Alladin</w:t>
      </w:r>
      <w:proofErr w:type="spellEnd"/>
      <w:r w:rsidRPr="00524435">
        <w:rPr>
          <w:rStyle w:val="None"/>
        </w:rPr>
        <w:t xml:space="preserve"> Mohammed had been commuted. Furthermore, it had not received any recent information from the parties. The request related to this measure had been shelved in 2020.</w:t>
      </w:r>
    </w:p>
    <w:p w14:paraId="0F8E27A0" w14:textId="77777777" w:rsidR="00842401" w:rsidRPr="00524435" w:rsidRDefault="00842401" w:rsidP="00842401">
      <w:pPr>
        <w:pStyle w:val="Body"/>
        <w:jc w:val="both"/>
        <w:rPr>
          <w:rStyle w:val="None"/>
          <w:rFonts w:ascii="Cambria" w:eastAsia="Cambria" w:hAnsi="Cambria" w:cs="Cambria"/>
          <w:b/>
          <w:sz w:val="20"/>
          <w:szCs w:val="20"/>
        </w:rPr>
      </w:pPr>
      <w:r w:rsidRPr="00524435">
        <w:rPr>
          <w:rStyle w:val="None"/>
          <w:rFonts w:ascii="Cambria" w:hAnsi="Cambria"/>
          <w:b/>
          <w:sz w:val="20"/>
          <w:szCs w:val="20"/>
        </w:rPr>
        <w:t>UNITED STATES</w:t>
      </w:r>
    </w:p>
    <w:p w14:paraId="5B92CC03" w14:textId="77777777" w:rsidR="00842401" w:rsidRPr="00524435" w:rsidRDefault="00842401" w:rsidP="00842401">
      <w:pPr>
        <w:pStyle w:val="Body"/>
        <w:jc w:val="both"/>
        <w:rPr>
          <w:rStyle w:val="None"/>
          <w:rFonts w:ascii="Cambria" w:eastAsia="Cambria" w:hAnsi="Cambria" w:cs="Cambria"/>
          <w:b/>
          <w:bCs/>
          <w:sz w:val="20"/>
          <w:szCs w:val="20"/>
        </w:rPr>
      </w:pPr>
    </w:p>
    <w:p w14:paraId="29A97358" w14:textId="77777777" w:rsidR="00842401" w:rsidRPr="00524435" w:rsidRDefault="00842401" w:rsidP="005D7B8A">
      <w:pPr>
        <w:spacing w:after="0" w:line="240" w:lineRule="auto"/>
        <w:rPr>
          <w:rFonts w:ascii="Cambria" w:hAnsi="Cambria"/>
          <w:b/>
          <w:bCs/>
          <w:color w:val="000000" w:themeColor="text1"/>
          <w:sz w:val="20"/>
          <w:szCs w:val="20"/>
        </w:rPr>
      </w:pPr>
      <w:r w:rsidRPr="00524435">
        <w:rPr>
          <w:rFonts w:ascii="Cambria" w:eastAsia="Cambria" w:hAnsi="Cambria" w:cs="Cambria"/>
          <w:b/>
          <w:bCs/>
          <w:color w:val="000000" w:themeColor="text1"/>
          <w:sz w:val="20"/>
          <w:szCs w:val="20"/>
        </w:rPr>
        <w:t>Resolution No. 57/21</w:t>
      </w:r>
      <w:r w:rsidRPr="00524435">
        <w:rPr>
          <w:rFonts w:ascii="Cambria" w:eastAsia="Cambria" w:hAnsi="Cambria" w:cs="Cambria"/>
          <w:b/>
          <w:bCs/>
          <w:color w:val="000000" w:themeColor="text1"/>
          <w:sz w:val="20"/>
          <w:szCs w:val="20"/>
        </w:rPr>
        <w:br/>
        <w:t>MC 551-21 - Erica Sheppard, United States</w:t>
      </w:r>
    </w:p>
    <w:p w14:paraId="64BAD228" w14:textId="77777777" w:rsidR="00842401" w:rsidRPr="00524435" w:rsidRDefault="00842401" w:rsidP="00842401">
      <w:pPr>
        <w:pStyle w:val="Body"/>
        <w:jc w:val="both"/>
        <w:rPr>
          <w:rStyle w:val="None"/>
          <w:rFonts w:ascii="Cambria" w:hAnsi="Cambria"/>
          <w:sz w:val="20"/>
          <w:szCs w:val="20"/>
        </w:rPr>
      </w:pPr>
    </w:p>
    <w:p w14:paraId="6E1D248A" w14:textId="77777777" w:rsidR="00842401" w:rsidRPr="00524435" w:rsidRDefault="00842401" w:rsidP="009242CD">
      <w:pPr>
        <w:pStyle w:val="ListParagraph"/>
        <w:rPr>
          <w:rStyle w:val="None"/>
          <w:rFonts w:eastAsia="Cambria" w:cs="Cambria"/>
        </w:rPr>
      </w:pPr>
      <w:r w:rsidRPr="00524435">
        <w:rPr>
          <w:rStyle w:val="None"/>
        </w:rPr>
        <w:t xml:space="preserve">On July 29, 2021, the IACHR decided to grant precautionary measures on behalf of Erica Sheppard. According to the request, the beneficiary was at risk, as she had been kept in isolation on death row in the state of Texas for 26 years and had not been given access to suitable adaptations for her physical disabilities. The petitioner also submitted a request alleging violations of the American Declaration of the Rights and Duties of Man in relation to the right of Mrs. Sheppard to life, liberty, and personal security; equality before law; special protection for children; justice; humane treatment while in custody; due process; and not to receive cruel, infamous, or unusual punishment. After reviewing the allegations of fact and law submitted by the parties, the Commission found that the information provided showed prima facie the existence of a serious and urgent risk of irreparable harm to the right to life and personal integrity of Mrs. Sheppard, pursuant to Article 25 of its Rules of Procedure. Furthermore, should Mrs. Sheppard be executed before the Commission had the opportunity to examine the merits of her request, any decision would be moot and result in irreparable harm, Thus, the Commission requested the United States of America to: a) adopt the measures necessary to protect the life and personal integrity of Erica Sheppard; b) refrain from executing the death penalty on Erica Sheppard until the IACHR had had the opportunity to render a decision on her request; c) guarantee that the conditions of Erica Sheppard’s confinement were compatible with international standards, with special consideration for her personal conditions; d) provide the appropriate adaptations and care for Erica Sheppard’s physical disabilities, in accordance with the applicable international human rights standards; and, e) reach an agreement with the beneficiary and her representatives on the measures to adopt.  </w:t>
      </w:r>
    </w:p>
    <w:p w14:paraId="6F0FC46E" w14:textId="77777777" w:rsidR="00842401" w:rsidRPr="00524435" w:rsidRDefault="00842401" w:rsidP="005D7B8A">
      <w:pPr>
        <w:spacing w:after="0" w:line="240" w:lineRule="auto"/>
        <w:jc w:val="both"/>
        <w:rPr>
          <w:rFonts w:ascii="Cambria" w:eastAsia="Cambria" w:hAnsi="Cambria" w:cs="Cambria"/>
          <w:b/>
          <w:bCs/>
          <w:color w:val="000000" w:themeColor="text1"/>
          <w:sz w:val="20"/>
          <w:szCs w:val="20"/>
        </w:rPr>
      </w:pPr>
      <w:r w:rsidRPr="00524435">
        <w:rPr>
          <w:rFonts w:ascii="Cambria" w:eastAsia="Cambria" w:hAnsi="Cambria" w:cs="Cambria"/>
          <w:b/>
          <w:bCs/>
          <w:color w:val="000000" w:themeColor="text1"/>
          <w:sz w:val="20"/>
          <w:szCs w:val="20"/>
        </w:rPr>
        <w:t>Resolution No. 90/21</w:t>
      </w:r>
    </w:p>
    <w:p w14:paraId="4AEFAB5E" w14:textId="77777777" w:rsidR="00842401" w:rsidRPr="00524435" w:rsidRDefault="00842401" w:rsidP="005D7B8A">
      <w:pPr>
        <w:spacing w:after="0" w:line="240" w:lineRule="auto"/>
        <w:jc w:val="both"/>
        <w:rPr>
          <w:rFonts w:ascii="Cambria" w:eastAsia="Cambria" w:hAnsi="Cambria" w:cs="Cambria"/>
          <w:b/>
          <w:bCs/>
          <w:color w:val="000000" w:themeColor="text1"/>
          <w:sz w:val="20"/>
          <w:szCs w:val="20"/>
        </w:rPr>
      </w:pPr>
      <w:r w:rsidRPr="00524435">
        <w:rPr>
          <w:rFonts w:ascii="Cambria" w:eastAsia="Cambria" w:hAnsi="Cambria" w:cs="Cambria"/>
          <w:b/>
          <w:bCs/>
          <w:color w:val="000000" w:themeColor="text1"/>
          <w:sz w:val="20"/>
          <w:szCs w:val="20"/>
        </w:rPr>
        <w:t>PM 1041-21 - Julius Jones, United States</w:t>
      </w:r>
    </w:p>
    <w:p w14:paraId="678E1548" w14:textId="77777777" w:rsidR="00842401" w:rsidRPr="00524435" w:rsidRDefault="00842401" w:rsidP="002645C5">
      <w:pPr>
        <w:spacing w:after="0" w:line="240" w:lineRule="auto"/>
        <w:jc w:val="both"/>
        <w:rPr>
          <w:rFonts w:ascii="Cambria" w:eastAsia="Cambria" w:hAnsi="Cambria" w:cs="Cambria"/>
          <w:color w:val="000000" w:themeColor="text1"/>
          <w:sz w:val="20"/>
          <w:szCs w:val="20"/>
        </w:rPr>
      </w:pPr>
    </w:p>
    <w:p w14:paraId="50D346B8" w14:textId="77777777" w:rsidR="00842401" w:rsidRPr="00524435" w:rsidRDefault="00842401" w:rsidP="00000BF8">
      <w:pPr>
        <w:pStyle w:val="ListParagraph"/>
      </w:pPr>
      <w:r w:rsidRPr="00524435">
        <w:t xml:space="preserve">On November 17, 2021, the IACHR decided to grant precautionary measures to Mr. Julius Jones, in the United States of America. The request indicates that the beneficiary is on death row in Oklahoma, United States. The applicants filed a petition, in which they allege violations of the American Declaration on the Rights and Duties of Man regarding Mr. Jones’ right to a fair trial, due process of law, equality before the law and no discrimination. The Commission examined the present </w:t>
      </w:r>
      <w:r w:rsidRPr="00524435">
        <w:rPr>
          <w:rStyle w:val="None"/>
        </w:rPr>
        <w:t>matter</w:t>
      </w:r>
      <w:r w:rsidRPr="00524435">
        <w:t xml:space="preserve"> under the precautionary and protective aspects of the precautionary </w:t>
      </w:r>
      <w:proofErr w:type="gramStart"/>
      <w:r w:rsidRPr="00524435">
        <w:t>measures</w:t>
      </w:r>
      <w:proofErr w:type="gramEnd"/>
      <w:r w:rsidRPr="00524435">
        <w:t xml:space="preserve"> mechanism. After analyzing the submissions of fact and law by the applicants, the IACHR considered that the present </w:t>
      </w:r>
      <w:r w:rsidRPr="00524435">
        <w:rPr>
          <w:rStyle w:val="None"/>
        </w:rPr>
        <w:t>matter</w:t>
      </w:r>
      <w:r w:rsidRPr="00524435">
        <w:t xml:space="preserve"> meets prima facie the requirements or seriousness, urgency and irreparable harm set forth in Article 25 of the Rules of Procedure. Moreover, if Mr. Jones is executed before the Commission has had an opportunity to examine the merits of the matter, any eventual decision would be rendered moot, thus resulting in a situation of irreparable harm. Consequently, in accordance with Article 25 of the IACHR Rules of Procedure, the IACHR requested the United States of America to adopt the necessary measures to protect the life and personal integrity of Mr. Julius Jones and to refrain from carrying out the death penalty on Mr. Jones until the IACHR has had the opportunity to reach a decision on her petition.</w:t>
      </w:r>
    </w:p>
    <w:p w14:paraId="4328C1E8" w14:textId="77777777" w:rsidR="00005144" w:rsidRPr="00524435" w:rsidRDefault="00005144">
      <w:pPr>
        <w:rPr>
          <w:rFonts w:ascii="Cambria" w:eastAsia="Cambria" w:hAnsi="Cambria" w:cs="Cambria"/>
          <w:b/>
          <w:bCs/>
          <w:color w:val="000000" w:themeColor="text1"/>
          <w:sz w:val="20"/>
          <w:szCs w:val="20"/>
        </w:rPr>
      </w:pPr>
      <w:r w:rsidRPr="00524435">
        <w:rPr>
          <w:rFonts w:ascii="Cambria" w:eastAsia="Cambria" w:hAnsi="Cambria" w:cs="Cambria"/>
          <w:b/>
          <w:bCs/>
          <w:color w:val="000000" w:themeColor="text1"/>
          <w:sz w:val="20"/>
          <w:szCs w:val="20"/>
        </w:rPr>
        <w:br w:type="page"/>
      </w:r>
    </w:p>
    <w:p w14:paraId="544CD955" w14:textId="42A15AE4" w:rsidR="00842401" w:rsidRPr="00524435" w:rsidRDefault="00842401" w:rsidP="005D7B8A">
      <w:pPr>
        <w:spacing w:after="0" w:line="240" w:lineRule="auto"/>
        <w:jc w:val="both"/>
        <w:rPr>
          <w:rFonts w:ascii="Cambria" w:eastAsia="Cambria" w:hAnsi="Cambria" w:cs="Cambria"/>
          <w:b/>
          <w:bCs/>
          <w:color w:val="000000" w:themeColor="text1"/>
          <w:sz w:val="20"/>
          <w:szCs w:val="20"/>
        </w:rPr>
      </w:pPr>
      <w:r w:rsidRPr="00524435">
        <w:rPr>
          <w:rFonts w:ascii="Cambria" w:eastAsia="Cambria" w:hAnsi="Cambria" w:cs="Cambria"/>
          <w:b/>
          <w:bCs/>
          <w:color w:val="000000" w:themeColor="text1"/>
          <w:sz w:val="20"/>
          <w:szCs w:val="20"/>
        </w:rPr>
        <w:lastRenderedPageBreak/>
        <w:t>Resolution No. 103/21(LIFT)</w:t>
      </w:r>
    </w:p>
    <w:p w14:paraId="233A7F93" w14:textId="77777777" w:rsidR="00842401" w:rsidRPr="00524435" w:rsidRDefault="00842401" w:rsidP="005D7B8A">
      <w:pPr>
        <w:spacing w:after="0" w:line="240" w:lineRule="auto"/>
        <w:jc w:val="both"/>
        <w:rPr>
          <w:rFonts w:ascii="Cambria" w:eastAsia="Cambria" w:hAnsi="Cambria" w:cs="Cambria"/>
          <w:b/>
          <w:bCs/>
          <w:color w:val="000000" w:themeColor="text1"/>
          <w:sz w:val="20"/>
          <w:szCs w:val="20"/>
        </w:rPr>
      </w:pPr>
      <w:r w:rsidRPr="00524435">
        <w:rPr>
          <w:rFonts w:ascii="Cambria" w:eastAsia="Cambria" w:hAnsi="Cambria" w:cs="Cambria"/>
          <w:b/>
          <w:bCs/>
          <w:color w:val="000000" w:themeColor="text1"/>
          <w:sz w:val="20"/>
          <w:szCs w:val="20"/>
        </w:rPr>
        <w:t>PM 1041-21 - Julius Jones, United States</w:t>
      </w:r>
    </w:p>
    <w:p w14:paraId="163D013F" w14:textId="77777777" w:rsidR="00842401" w:rsidRPr="00524435" w:rsidRDefault="00842401" w:rsidP="00842401">
      <w:pPr>
        <w:pStyle w:val="Body"/>
        <w:jc w:val="both"/>
        <w:rPr>
          <w:rFonts w:ascii="Cambria" w:eastAsia="Cambria" w:hAnsi="Cambria" w:cs="Cambria"/>
          <w:color w:val="000000" w:themeColor="text1"/>
          <w:sz w:val="20"/>
          <w:szCs w:val="20"/>
        </w:rPr>
      </w:pPr>
    </w:p>
    <w:p w14:paraId="3D65955E" w14:textId="77777777" w:rsidR="00842401" w:rsidRPr="00524435" w:rsidRDefault="00842401" w:rsidP="00000BF8">
      <w:pPr>
        <w:pStyle w:val="ListParagraph"/>
      </w:pPr>
      <w:r w:rsidRPr="00524435">
        <w:t xml:space="preserve">The Inter-American Commission on Human Rights (IACHR) decides to lift these precautionary measures granted to Mr. Julius Jones in the United States of America. At the time of making the </w:t>
      </w:r>
      <w:r w:rsidRPr="00524435">
        <w:rPr>
          <w:rStyle w:val="None"/>
        </w:rPr>
        <w:t>decision</w:t>
      </w:r>
      <w:r w:rsidRPr="00524435">
        <w:t>, the Commission observed that the death sentence imposed on Mr. Julius Jones and initially scheduled for November 18, 2021, was commuted. The IACHR will continue to review the situation under petition P-2029-21.</w:t>
      </w:r>
    </w:p>
    <w:p w14:paraId="7D201BEC" w14:textId="77777777" w:rsidR="00842401" w:rsidRPr="00524435" w:rsidRDefault="00842401" w:rsidP="00842401">
      <w:pPr>
        <w:pStyle w:val="Body"/>
        <w:jc w:val="both"/>
        <w:rPr>
          <w:rStyle w:val="None"/>
          <w:rFonts w:ascii="Cambria" w:eastAsia="Cambria" w:hAnsi="Cambria" w:cs="Cambria"/>
          <w:b/>
          <w:sz w:val="20"/>
          <w:szCs w:val="20"/>
        </w:rPr>
      </w:pPr>
      <w:r w:rsidRPr="00524435">
        <w:rPr>
          <w:rStyle w:val="None"/>
          <w:rFonts w:ascii="Cambria" w:hAnsi="Cambria"/>
          <w:b/>
          <w:sz w:val="20"/>
          <w:szCs w:val="20"/>
        </w:rPr>
        <w:t>VENEZUELA</w:t>
      </w:r>
    </w:p>
    <w:p w14:paraId="53DC38B3" w14:textId="77777777" w:rsidR="00842401" w:rsidRPr="00524435" w:rsidRDefault="00842401" w:rsidP="00842401">
      <w:pPr>
        <w:pStyle w:val="Body"/>
        <w:jc w:val="both"/>
        <w:rPr>
          <w:rStyle w:val="None"/>
          <w:rFonts w:ascii="Cambria" w:eastAsia="Cambria" w:hAnsi="Cambria" w:cs="Cambria"/>
          <w:b/>
          <w:sz w:val="20"/>
          <w:szCs w:val="20"/>
        </w:rPr>
      </w:pPr>
    </w:p>
    <w:p w14:paraId="4278108E" w14:textId="77777777" w:rsidR="00842401" w:rsidRPr="00524435" w:rsidRDefault="00842401" w:rsidP="00842401">
      <w:pPr>
        <w:pStyle w:val="Body"/>
        <w:rPr>
          <w:rStyle w:val="None"/>
          <w:rFonts w:ascii="Cambria" w:eastAsia="Cambria" w:hAnsi="Cambria" w:cs="Cambria"/>
          <w:b/>
          <w:sz w:val="20"/>
          <w:szCs w:val="20"/>
        </w:rPr>
      </w:pPr>
      <w:r w:rsidRPr="00524435">
        <w:rPr>
          <w:rStyle w:val="None"/>
          <w:rFonts w:ascii="Cambria" w:hAnsi="Cambria"/>
          <w:b/>
          <w:sz w:val="20"/>
          <w:szCs w:val="20"/>
        </w:rPr>
        <w:t>Resolution No. 4/21(EXTENSION)</w:t>
      </w:r>
      <w:r w:rsidRPr="00524435">
        <w:rPr>
          <w:rStyle w:val="None"/>
          <w:rFonts w:ascii="Cambria" w:hAnsi="Cambria"/>
          <w:b/>
          <w:sz w:val="20"/>
          <w:szCs w:val="20"/>
        </w:rPr>
        <w:br/>
        <w:t>MC 1286-18, MC-1434-18, MC-1433-18, MC-1438-18, MC-988-19, MC-990-19, MC-991-19, MC-993-19, MC-996-19, MC-1013-19, MC-1018-19, MC-663-20, MC-676-20, MC-677-20, MC-705-20, MC-706-20, MC-707-20, MC-708-20, MC-709-20, MC-1017-19, MC-1016-19 – Twenty persons diagnosed with multiple sclerosis, Venezuela</w:t>
      </w:r>
    </w:p>
    <w:p w14:paraId="131FF626" w14:textId="77777777" w:rsidR="00842401" w:rsidRPr="00524435" w:rsidRDefault="00842401" w:rsidP="00842401">
      <w:pPr>
        <w:pStyle w:val="Body"/>
        <w:jc w:val="both"/>
        <w:rPr>
          <w:rStyle w:val="None"/>
          <w:rFonts w:ascii="Cambria" w:hAnsi="Cambria"/>
          <w:sz w:val="20"/>
          <w:szCs w:val="20"/>
        </w:rPr>
      </w:pPr>
    </w:p>
    <w:p w14:paraId="4C32CC1F" w14:textId="77777777" w:rsidR="00842401" w:rsidRPr="00524435" w:rsidRDefault="00842401" w:rsidP="00000BF8">
      <w:pPr>
        <w:pStyle w:val="ListParagraph"/>
        <w:rPr>
          <w:rStyle w:val="None"/>
          <w:rFonts w:eastAsia="Cambria" w:cs="Cambria"/>
        </w:rPr>
      </w:pPr>
      <w:r w:rsidRPr="00524435">
        <w:rPr>
          <w:rStyle w:val="None"/>
        </w:rPr>
        <w:t xml:space="preserve">On January 7, 2021, the IACHR decided to extend the precautionary measures granted on behalf of 20 persons with multiple sclerosis in Venezuela. According to their representatives, the persons were at risk due to a lack of adequate medical care to manage their medical conditions. They alleged that the Venezuelan Social Security Institute (IVSS) was not providing the prescription medicines that they should be receiving for their medical condition, despite the action taken to obtain them. They described the impact on the health of these individuals due to the lack of their prescribed treatment. Therefore, pursuant to Article 25 of the IACHR Rules of Procedure, the Commission requested the State of Venezuela to: a) adopt the measures necessary to protect the lives, personal integrity, and health of the beneficiaries by taking immediate steps to give them access to adequate medical care, including the necessary medicines prescribed by their respective doctors, as well as diagnostic testing and examinations for regularly monitoring their health status, in accordance with the applicable international standards. </w:t>
      </w:r>
    </w:p>
    <w:p w14:paraId="53CDA391" w14:textId="77777777" w:rsidR="00842401" w:rsidRPr="00E42B49" w:rsidRDefault="00842401" w:rsidP="00842401">
      <w:pPr>
        <w:pStyle w:val="Body"/>
        <w:rPr>
          <w:rStyle w:val="None"/>
          <w:rFonts w:ascii="Cambria" w:eastAsia="Cambria" w:hAnsi="Cambria" w:cs="Cambria"/>
          <w:b/>
          <w:bCs/>
          <w:sz w:val="20"/>
          <w:szCs w:val="20"/>
          <w:lang w:val="es-US"/>
        </w:rPr>
      </w:pPr>
      <w:proofErr w:type="spellStart"/>
      <w:r w:rsidRPr="00E42B49">
        <w:rPr>
          <w:rStyle w:val="None"/>
          <w:rFonts w:ascii="Cambria" w:hAnsi="Cambria"/>
          <w:b/>
          <w:bCs/>
          <w:sz w:val="20"/>
          <w:szCs w:val="20"/>
          <w:lang w:val="es-US"/>
        </w:rPr>
        <w:t>Resolution</w:t>
      </w:r>
      <w:proofErr w:type="spellEnd"/>
      <w:r w:rsidRPr="00E42B49">
        <w:rPr>
          <w:rStyle w:val="None"/>
          <w:rFonts w:ascii="Cambria" w:hAnsi="Cambria"/>
          <w:b/>
          <w:bCs/>
          <w:sz w:val="20"/>
          <w:szCs w:val="20"/>
          <w:lang w:val="es-US"/>
        </w:rPr>
        <w:t xml:space="preserve"> No. 8/21</w:t>
      </w:r>
      <w:r w:rsidRPr="00E42B49">
        <w:rPr>
          <w:rStyle w:val="None"/>
          <w:rFonts w:ascii="Cambria" w:hAnsi="Cambria"/>
          <w:b/>
          <w:bCs/>
          <w:sz w:val="20"/>
          <w:szCs w:val="20"/>
          <w:lang w:val="es-US"/>
        </w:rPr>
        <w:br/>
        <w:t>MC 998-20 - José Humberto Hernández Rodríguez, Venezuela</w:t>
      </w:r>
    </w:p>
    <w:p w14:paraId="1308D782" w14:textId="77777777" w:rsidR="00842401" w:rsidRPr="00E42B49" w:rsidRDefault="00842401" w:rsidP="00842401">
      <w:pPr>
        <w:pStyle w:val="Body"/>
        <w:jc w:val="both"/>
        <w:rPr>
          <w:rStyle w:val="None"/>
          <w:rFonts w:ascii="Cambria" w:hAnsi="Cambria"/>
          <w:sz w:val="20"/>
          <w:szCs w:val="20"/>
          <w:lang w:val="es-US"/>
        </w:rPr>
      </w:pPr>
    </w:p>
    <w:p w14:paraId="554043EF" w14:textId="77777777" w:rsidR="00842401" w:rsidRPr="00524435" w:rsidRDefault="00842401" w:rsidP="00000BF8">
      <w:pPr>
        <w:pStyle w:val="ListParagraph"/>
        <w:rPr>
          <w:rStyle w:val="None"/>
          <w:rFonts w:eastAsia="Cambria" w:cs="Cambria"/>
        </w:rPr>
      </w:pPr>
      <w:r w:rsidRPr="00524435">
        <w:rPr>
          <w:rStyle w:val="None"/>
        </w:rPr>
        <w:t xml:space="preserve">On January 28, 2021, the IACHR granted precautionary measures on behalf of José Humberto Hernández Rodríguez, in Venezuela. Despite several requests to the competent authorities, Mr. Hernández, who was deprived of liberty, was not receiving the medicines prescribed for his health condition. This lack of medical care was having a significant impact on his rights. The Commission therefore requested Venezuela to: a) adopt the measures necessary to protect the right to life, personal integrity, and health of José Humberto Hernández Rodríguez – in particular, ensuring that he had access to the medical care prescribed by the competent authorities; b) reach an agreement with the beneficiary and his representatives on the measures to adopt; and c) take action to investigate the events leading to the granting of this precautionary measure and thus, avoid their repetition. </w:t>
      </w:r>
    </w:p>
    <w:p w14:paraId="1D7AFA06" w14:textId="77777777" w:rsidR="00842401" w:rsidRPr="00E42B49" w:rsidRDefault="00842401" w:rsidP="00842401">
      <w:pPr>
        <w:pStyle w:val="Body"/>
        <w:rPr>
          <w:rStyle w:val="None"/>
          <w:rFonts w:ascii="Cambria" w:eastAsia="Cambria" w:hAnsi="Cambria" w:cs="Cambria"/>
          <w:b/>
          <w:bCs/>
          <w:sz w:val="20"/>
          <w:szCs w:val="20"/>
          <w:lang w:val="es-US"/>
        </w:rPr>
      </w:pPr>
      <w:proofErr w:type="spellStart"/>
      <w:r w:rsidRPr="00E42B49">
        <w:rPr>
          <w:rStyle w:val="None"/>
          <w:rFonts w:ascii="Cambria" w:hAnsi="Cambria"/>
          <w:b/>
          <w:bCs/>
          <w:sz w:val="20"/>
          <w:szCs w:val="20"/>
          <w:lang w:val="es-US"/>
        </w:rPr>
        <w:t>Resolution</w:t>
      </w:r>
      <w:proofErr w:type="spellEnd"/>
      <w:r w:rsidRPr="00E42B49">
        <w:rPr>
          <w:rStyle w:val="None"/>
          <w:rFonts w:ascii="Cambria" w:hAnsi="Cambria"/>
          <w:b/>
          <w:bCs/>
          <w:sz w:val="20"/>
          <w:szCs w:val="20"/>
          <w:lang w:val="es-US"/>
        </w:rPr>
        <w:t xml:space="preserve"> No. 10/21 (</w:t>
      </w:r>
      <w:proofErr w:type="gramStart"/>
      <w:r w:rsidRPr="00E42B49">
        <w:rPr>
          <w:rStyle w:val="None"/>
          <w:rFonts w:ascii="Cambria" w:hAnsi="Cambria"/>
          <w:b/>
          <w:bCs/>
          <w:sz w:val="20"/>
          <w:szCs w:val="20"/>
          <w:lang w:val="es-US"/>
        </w:rPr>
        <w:t>LIFTING</w:t>
      </w:r>
      <w:proofErr w:type="gramEnd"/>
      <w:r w:rsidRPr="00E42B49">
        <w:rPr>
          <w:rStyle w:val="None"/>
          <w:rFonts w:ascii="Cambria" w:hAnsi="Cambria"/>
          <w:b/>
          <w:bCs/>
          <w:sz w:val="20"/>
          <w:szCs w:val="20"/>
          <w:lang w:val="es-US"/>
        </w:rPr>
        <w:t>)</w:t>
      </w:r>
      <w:r w:rsidRPr="00E42B49">
        <w:rPr>
          <w:rStyle w:val="None"/>
          <w:rFonts w:ascii="Cambria" w:hAnsi="Cambria"/>
          <w:b/>
          <w:bCs/>
          <w:sz w:val="20"/>
          <w:szCs w:val="20"/>
          <w:lang w:val="es-US"/>
        </w:rPr>
        <w:br/>
        <w:t>MC 516-20 - Maury Carolina Carrero Mendoza, Venezuela</w:t>
      </w:r>
    </w:p>
    <w:p w14:paraId="11D675A0" w14:textId="77777777" w:rsidR="00842401" w:rsidRPr="00E42B49" w:rsidRDefault="00842401" w:rsidP="00842401">
      <w:pPr>
        <w:pStyle w:val="Body"/>
        <w:jc w:val="both"/>
        <w:rPr>
          <w:rStyle w:val="None"/>
          <w:rFonts w:ascii="Cambria" w:hAnsi="Cambria"/>
          <w:sz w:val="20"/>
          <w:szCs w:val="20"/>
          <w:lang w:val="es-US"/>
        </w:rPr>
      </w:pPr>
    </w:p>
    <w:p w14:paraId="6B6B2C80" w14:textId="77777777" w:rsidR="00842401" w:rsidRPr="00524435" w:rsidRDefault="00842401" w:rsidP="00000BF8">
      <w:pPr>
        <w:pStyle w:val="ListParagraph"/>
        <w:rPr>
          <w:rStyle w:val="None"/>
          <w:rFonts w:eastAsia="Cambria" w:cs="Cambria"/>
        </w:rPr>
      </w:pPr>
      <w:r w:rsidRPr="00524435">
        <w:rPr>
          <w:rStyle w:val="None"/>
        </w:rPr>
        <w:t>On January 31, 2021, the IACHR decided to lift the current precautionary measures, having ascertained the whereabouts of the beneficiary and because his representative had indicated that a situation covered by the terms of Article 25 of the Rules of Procedure did not exist.</w:t>
      </w:r>
    </w:p>
    <w:p w14:paraId="09971F3E" w14:textId="77777777" w:rsidR="00842401" w:rsidRPr="00524435" w:rsidRDefault="00842401" w:rsidP="00842401">
      <w:pPr>
        <w:pStyle w:val="Body"/>
        <w:rPr>
          <w:rStyle w:val="None"/>
          <w:rFonts w:ascii="Cambria" w:eastAsia="Cambria" w:hAnsi="Cambria" w:cs="Cambria"/>
          <w:b/>
          <w:bCs/>
          <w:sz w:val="20"/>
          <w:szCs w:val="20"/>
        </w:rPr>
      </w:pPr>
      <w:r w:rsidRPr="00524435">
        <w:rPr>
          <w:rStyle w:val="None"/>
          <w:rFonts w:ascii="Cambria" w:hAnsi="Cambria"/>
          <w:b/>
          <w:bCs/>
          <w:sz w:val="20"/>
          <w:szCs w:val="20"/>
        </w:rPr>
        <w:t>Resolution No. 21/21 (LIFTING)</w:t>
      </w:r>
      <w:r w:rsidRPr="00524435">
        <w:rPr>
          <w:rStyle w:val="None"/>
          <w:rFonts w:ascii="Cambria" w:hAnsi="Cambria"/>
          <w:b/>
          <w:bCs/>
          <w:sz w:val="20"/>
          <w:szCs w:val="20"/>
        </w:rPr>
        <w:br/>
        <w:t>MC 413-16 - Lester Toledo and immediate family, Venezuela</w:t>
      </w:r>
    </w:p>
    <w:p w14:paraId="05964101" w14:textId="77777777" w:rsidR="00842401" w:rsidRPr="00524435" w:rsidRDefault="00842401" w:rsidP="00842401">
      <w:pPr>
        <w:pStyle w:val="Body"/>
        <w:jc w:val="both"/>
        <w:rPr>
          <w:rStyle w:val="None"/>
          <w:rFonts w:ascii="Cambria" w:hAnsi="Cambria"/>
          <w:sz w:val="20"/>
          <w:szCs w:val="20"/>
        </w:rPr>
      </w:pPr>
    </w:p>
    <w:p w14:paraId="70486EAB" w14:textId="77777777" w:rsidR="00842401" w:rsidRPr="00524435" w:rsidRDefault="00842401" w:rsidP="00000BF8">
      <w:pPr>
        <w:pStyle w:val="ListParagraph"/>
        <w:rPr>
          <w:rStyle w:val="None"/>
          <w:rFonts w:eastAsia="Cambria" w:cs="Cambria"/>
        </w:rPr>
      </w:pPr>
      <w:r w:rsidRPr="00524435">
        <w:rPr>
          <w:rStyle w:val="None"/>
        </w:rPr>
        <w:t xml:space="preserve">The Inter-American Commission on Human Rights (IACHR) decided to lift the current precautionary measures under the terms of Article 25 Section 9 of the Rules of Procedure, having received no </w:t>
      </w:r>
      <w:r w:rsidRPr="00524435">
        <w:rPr>
          <w:rStyle w:val="None"/>
        </w:rPr>
        <w:lastRenderedPageBreak/>
        <w:t>observations from his representative despite its requests for information – five years having passed with no response containing current concrete information. The Commission observed, moreover, that Mr. Toledo was outside the country. Given these circumstances, it found no grounds to consider that the regulatory requirements to support continuation of the current precautionary measures had been met.</w:t>
      </w:r>
    </w:p>
    <w:p w14:paraId="25CA95E0" w14:textId="77777777" w:rsidR="00842401" w:rsidRPr="00E42B49" w:rsidRDefault="00842401" w:rsidP="00842401">
      <w:pPr>
        <w:pStyle w:val="Body"/>
        <w:rPr>
          <w:rStyle w:val="None"/>
          <w:rFonts w:ascii="Cambria" w:eastAsia="Cambria" w:hAnsi="Cambria" w:cs="Cambria"/>
          <w:b/>
          <w:bCs/>
          <w:sz w:val="20"/>
          <w:szCs w:val="20"/>
          <w:lang w:val="es-US"/>
        </w:rPr>
      </w:pPr>
      <w:proofErr w:type="spellStart"/>
      <w:r w:rsidRPr="00E42B49">
        <w:rPr>
          <w:rStyle w:val="None"/>
          <w:rFonts w:ascii="Cambria" w:hAnsi="Cambria"/>
          <w:b/>
          <w:bCs/>
          <w:sz w:val="20"/>
          <w:szCs w:val="20"/>
          <w:lang w:val="es-US"/>
        </w:rPr>
        <w:t>Resolution</w:t>
      </w:r>
      <w:proofErr w:type="spellEnd"/>
      <w:r w:rsidRPr="00E42B49">
        <w:rPr>
          <w:rStyle w:val="None"/>
          <w:rFonts w:ascii="Cambria" w:hAnsi="Cambria"/>
          <w:b/>
          <w:bCs/>
          <w:sz w:val="20"/>
          <w:szCs w:val="20"/>
          <w:lang w:val="es-US"/>
        </w:rPr>
        <w:t xml:space="preserve"> No. 38/21</w:t>
      </w:r>
      <w:r w:rsidRPr="00E42B49">
        <w:rPr>
          <w:rStyle w:val="None"/>
          <w:rFonts w:ascii="Cambria" w:hAnsi="Cambria"/>
          <w:b/>
          <w:bCs/>
          <w:sz w:val="20"/>
          <w:szCs w:val="20"/>
          <w:lang w:val="es-US"/>
        </w:rPr>
        <w:br/>
        <w:t>MC 978-20 - Noris Alberto Perozo, Venezuela</w:t>
      </w:r>
    </w:p>
    <w:p w14:paraId="67E480AC" w14:textId="77777777" w:rsidR="00842401" w:rsidRPr="00E42B49" w:rsidRDefault="00842401" w:rsidP="00842401">
      <w:pPr>
        <w:pStyle w:val="Body"/>
        <w:jc w:val="both"/>
        <w:rPr>
          <w:rStyle w:val="None"/>
          <w:rFonts w:ascii="Cambria" w:hAnsi="Cambria"/>
          <w:sz w:val="20"/>
          <w:szCs w:val="20"/>
          <w:lang w:val="es-US"/>
        </w:rPr>
      </w:pPr>
    </w:p>
    <w:p w14:paraId="44293F92" w14:textId="77777777" w:rsidR="00842401" w:rsidRPr="00524435" w:rsidRDefault="00842401" w:rsidP="00000BF8">
      <w:pPr>
        <w:pStyle w:val="ListParagraph"/>
        <w:rPr>
          <w:rStyle w:val="None"/>
          <w:rFonts w:eastAsia="Cambria" w:cs="Cambria"/>
        </w:rPr>
      </w:pPr>
      <w:r w:rsidRPr="00524435">
        <w:rPr>
          <w:rStyle w:val="None"/>
        </w:rPr>
        <w:t xml:space="preserve">On April 30, 2021, the IACHR decided to grant precautionary measures on behalf of </w:t>
      </w:r>
      <w:proofErr w:type="spellStart"/>
      <w:r w:rsidRPr="00524435">
        <w:rPr>
          <w:rStyle w:val="None"/>
        </w:rPr>
        <w:t>Noris</w:t>
      </w:r>
      <w:proofErr w:type="spellEnd"/>
      <w:r w:rsidRPr="00524435">
        <w:rPr>
          <w:rStyle w:val="None"/>
        </w:rPr>
        <w:t xml:space="preserve"> Alberto </w:t>
      </w:r>
      <w:proofErr w:type="spellStart"/>
      <w:r w:rsidRPr="00524435">
        <w:rPr>
          <w:rStyle w:val="None"/>
        </w:rPr>
        <w:t>Perozo</w:t>
      </w:r>
      <w:proofErr w:type="spellEnd"/>
      <w:r w:rsidRPr="00524435">
        <w:rPr>
          <w:rStyle w:val="None"/>
        </w:rPr>
        <w:t xml:space="preserve">. According to the request, the beneficiary was at risk, having been placed in preventive detention, and suffering, moreover, from several serious illnesses for which he was not receiving the necessary medical care. After reviewing the allegations of fact and law submitted by the requesting organization, the Commission found that the information provided showed prima facie that </w:t>
      </w:r>
      <w:proofErr w:type="spellStart"/>
      <w:r w:rsidRPr="00524435">
        <w:rPr>
          <w:rStyle w:val="None"/>
        </w:rPr>
        <w:t>Noris</w:t>
      </w:r>
      <w:proofErr w:type="spellEnd"/>
      <w:r w:rsidRPr="00524435">
        <w:rPr>
          <w:rStyle w:val="None"/>
        </w:rPr>
        <w:t xml:space="preserve"> Alberto </w:t>
      </w:r>
      <w:proofErr w:type="spellStart"/>
      <w:r w:rsidRPr="00524435">
        <w:rPr>
          <w:rStyle w:val="None"/>
        </w:rPr>
        <w:t>Perozo’s</w:t>
      </w:r>
      <w:proofErr w:type="spellEnd"/>
      <w:r w:rsidRPr="00524435">
        <w:rPr>
          <w:rStyle w:val="None"/>
        </w:rPr>
        <w:t xml:space="preserve"> situation was both serious and urgent, and that his right to life, personal integrity, and health were at risk of irreparable harm. Therefore, pursuant to Article 25 of the IACHR Rules of Procedure, the Commission requested Venezuela to: a) adopt the measures necessary to protect the right to life, personal integrity, and health of </w:t>
      </w:r>
      <w:proofErr w:type="spellStart"/>
      <w:r w:rsidRPr="00524435">
        <w:rPr>
          <w:rStyle w:val="None"/>
        </w:rPr>
        <w:t>Noris</w:t>
      </w:r>
      <w:proofErr w:type="spellEnd"/>
      <w:r w:rsidRPr="00524435">
        <w:rPr>
          <w:rStyle w:val="None"/>
        </w:rPr>
        <w:t xml:space="preserve"> Alberto </w:t>
      </w:r>
      <w:proofErr w:type="spellStart"/>
      <w:r w:rsidRPr="00524435">
        <w:rPr>
          <w:rStyle w:val="None"/>
        </w:rPr>
        <w:t>Perozo</w:t>
      </w:r>
      <w:proofErr w:type="spellEnd"/>
      <w:r w:rsidRPr="00524435">
        <w:rPr>
          <w:rStyle w:val="None"/>
        </w:rPr>
        <w:t xml:space="preserve"> Villanueva – in particular, by taking immediate steps to give provide him with adequate medical care, including the necessary medicines prescribed by the respective health professionals, as well as the diagnostic testing and examinations for regularly monitoring his health status, in accordance with the applicable international standards; b) reach an agreement with the beneficiary and his representatives on the measures to adopt; and c) take action to investigate the events that had led to the granting of this precautionary measure and thus, avoid their repetition. </w:t>
      </w:r>
    </w:p>
    <w:p w14:paraId="7D788BE4" w14:textId="77777777" w:rsidR="00842401" w:rsidRPr="00E42B49" w:rsidRDefault="00842401" w:rsidP="00842401">
      <w:pPr>
        <w:pStyle w:val="Body"/>
        <w:rPr>
          <w:rStyle w:val="None"/>
          <w:rFonts w:ascii="Cambria" w:eastAsia="Cambria" w:hAnsi="Cambria" w:cs="Cambria"/>
          <w:b/>
          <w:bCs/>
          <w:sz w:val="20"/>
          <w:szCs w:val="20"/>
          <w:lang w:val="es-US"/>
        </w:rPr>
      </w:pPr>
      <w:proofErr w:type="spellStart"/>
      <w:r w:rsidRPr="00E42B49">
        <w:rPr>
          <w:rStyle w:val="None"/>
          <w:rFonts w:ascii="Cambria" w:hAnsi="Cambria"/>
          <w:b/>
          <w:bCs/>
          <w:sz w:val="20"/>
          <w:szCs w:val="20"/>
          <w:lang w:val="es-US"/>
        </w:rPr>
        <w:t>Resolution</w:t>
      </w:r>
      <w:proofErr w:type="spellEnd"/>
      <w:r w:rsidRPr="00E42B49">
        <w:rPr>
          <w:rStyle w:val="None"/>
          <w:rFonts w:ascii="Cambria" w:hAnsi="Cambria"/>
          <w:b/>
          <w:bCs/>
          <w:sz w:val="20"/>
          <w:szCs w:val="20"/>
          <w:lang w:val="es-US"/>
        </w:rPr>
        <w:t xml:space="preserve"> No. 41/21</w:t>
      </w:r>
      <w:r w:rsidRPr="00E42B49">
        <w:rPr>
          <w:rStyle w:val="None"/>
          <w:rFonts w:ascii="Cambria" w:hAnsi="Cambria"/>
          <w:b/>
          <w:bCs/>
          <w:sz w:val="20"/>
          <w:szCs w:val="20"/>
          <w:lang w:val="es-US"/>
        </w:rPr>
        <w:br/>
        <w:t xml:space="preserve">MC 382-21 - Ovidio Jesús </w:t>
      </w:r>
      <w:proofErr w:type="spellStart"/>
      <w:r w:rsidRPr="00E42B49">
        <w:rPr>
          <w:rStyle w:val="None"/>
          <w:rFonts w:ascii="Cambria" w:hAnsi="Cambria"/>
          <w:b/>
          <w:bCs/>
          <w:sz w:val="20"/>
          <w:szCs w:val="20"/>
          <w:lang w:val="es-US"/>
        </w:rPr>
        <w:t>Poggioli</w:t>
      </w:r>
      <w:proofErr w:type="spellEnd"/>
      <w:r w:rsidRPr="00E42B49">
        <w:rPr>
          <w:rStyle w:val="None"/>
          <w:rFonts w:ascii="Cambria" w:hAnsi="Cambria"/>
          <w:b/>
          <w:bCs/>
          <w:sz w:val="20"/>
          <w:szCs w:val="20"/>
          <w:lang w:val="es-US"/>
        </w:rPr>
        <w:t xml:space="preserve"> Pérez, Venezuela</w:t>
      </w:r>
    </w:p>
    <w:p w14:paraId="149BB174" w14:textId="77777777" w:rsidR="00842401" w:rsidRPr="00E42B49" w:rsidRDefault="00842401" w:rsidP="00842401">
      <w:pPr>
        <w:pStyle w:val="Body"/>
        <w:jc w:val="both"/>
        <w:rPr>
          <w:rStyle w:val="None"/>
          <w:rFonts w:ascii="Cambria" w:hAnsi="Cambria"/>
          <w:sz w:val="20"/>
          <w:szCs w:val="20"/>
          <w:lang w:val="es-US"/>
        </w:rPr>
      </w:pPr>
    </w:p>
    <w:p w14:paraId="33F359ED" w14:textId="77777777" w:rsidR="00842401" w:rsidRPr="00524435" w:rsidRDefault="00842401" w:rsidP="00000BF8">
      <w:pPr>
        <w:pStyle w:val="ListParagraph"/>
        <w:rPr>
          <w:rStyle w:val="None"/>
          <w:rFonts w:eastAsia="Cambria" w:cs="Cambria"/>
        </w:rPr>
      </w:pPr>
      <w:r w:rsidRPr="00524435">
        <w:rPr>
          <w:rStyle w:val="None"/>
        </w:rPr>
        <w:t xml:space="preserve">On May 13, 2021, the IACHR decided to grant precautionary measures on behalf of </w:t>
      </w:r>
      <w:proofErr w:type="spellStart"/>
      <w:r w:rsidRPr="00524435">
        <w:rPr>
          <w:rStyle w:val="None"/>
        </w:rPr>
        <w:t>Ovidio</w:t>
      </w:r>
      <w:proofErr w:type="spellEnd"/>
      <w:r w:rsidRPr="00524435">
        <w:rPr>
          <w:rStyle w:val="None"/>
        </w:rPr>
        <w:t xml:space="preserve"> Jesús </w:t>
      </w:r>
      <w:proofErr w:type="spellStart"/>
      <w:r w:rsidRPr="00524435">
        <w:rPr>
          <w:rStyle w:val="None"/>
        </w:rPr>
        <w:t>Poggioli</w:t>
      </w:r>
      <w:proofErr w:type="spellEnd"/>
      <w:r w:rsidRPr="00524435">
        <w:rPr>
          <w:rStyle w:val="None"/>
        </w:rPr>
        <w:t xml:space="preserve"> Pérez, in the Bolivarian Republic of Venezuela. The request for precautionary measures alleged that the beneficiary had been deprived of liberty on April 26, 2021, by agents of the State, and his location or whereabouts were currently unknown. After reviewing the allegations of fact and law submitted by the petitioner, the Commission deemed that, under the applicable prima facie standard, Mr. </w:t>
      </w:r>
      <w:proofErr w:type="spellStart"/>
      <w:r w:rsidRPr="00524435">
        <w:rPr>
          <w:rStyle w:val="None"/>
        </w:rPr>
        <w:t>Ovidio</w:t>
      </w:r>
      <w:proofErr w:type="spellEnd"/>
      <w:r w:rsidRPr="00524435">
        <w:rPr>
          <w:rStyle w:val="None"/>
        </w:rPr>
        <w:t xml:space="preserve"> Jesús </w:t>
      </w:r>
      <w:proofErr w:type="spellStart"/>
      <w:r w:rsidRPr="00524435">
        <w:rPr>
          <w:rStyle w:val="None"/>
        </w:rPr>
        <w:t>Poggioli</w:t>
      </w:r>
      <w:proofErr w:type="spellEnd"/>
      <w:r w:rsidRPr="00524435">
        <w:rPr>
          <w:rStyle w:val="None"/>
        </w:rPr>
        <w:t xml:space="preserve"> Pérez’ situation was both serious and urgent, with his right to life and personal integrity at risk of irreparable harm. Therefore, pursuant to Article 25 of its Rules of Procedure, the Commission requested the Bolivarian Republic of Venezuela to adopt the measures necessary to protect his right to life and [personal] integrity – in particular, to indicate whether the beneficiary was in the custody of the State and, if so, the circumstances of his deprivation of liberty, and if not, to adopt the necessary measures to ascertain his whereabouts or fate and take action to investigate the events that had led to the granting of this precautionary measure and thus, avoid their repetition. </w:t>
      </w:r>
    </w:p>
    <w:p w14:paraId="19CDA813" w14:textId="77777777" w:rsidR="00842401" w:rsidRPr="00E42B49" w:rsidRDefault="00842401" w:rsidP="00842401">
      <w:pPr>
        <w:pStyle w:val="Body"/>
        <w:rPr>
          <w:rStyle w:val="None"/>
          <w:rFonts w:ascii="Cambria" w:eastAsia="Cambria" w:hAnsi="Cambria" w:cs="Cambria"/>
          <w:b/>
          <w:bCs/>
          <w:sz w:val="20"/>
          <w:szCs w:val="20"/>
          <w:lang w:val="es-US"/>
        </w:rPr>
      </w:pPr>
      <w:proofErr w:type="spellStart"/>
      <w:r w:rsidRPr="00E42B49">
        <w:rPr>
          <w:rStyle w:val="None"/>
          <w:rFonts w:ascii="Cambria" w:hAnsi="Cambria"/>
          <w:b/>
          <w:bCs/>
          <w:sz w:val="20"/>
          <w:szCs w:val="20"/>
          <w:lang w:val="es-US"/>
        </w:rPr>
        <w:t>Resolution</w:t>
      </w:r>
      <w:proofErr w:type="spellEnd"/>
      <w:r w:rsidRPr="00E42B49">
        <w:rPr>
          <w:rStyle w:val="None"/>
          <w:rFonts w:ascii="Cambria" w:hAnsi="Cambria"/>
          <w:b/>
          <w:bCs/>
          <w:sz w:val="20"/>
          <w:szCs w:val="20"/>
          <w:lang w:val="es-US"/>
        </w:rPr>
        <w:t xml:space="preserve"> No. 43/21 (</w:t>
      </w:r>
      <w:proofErr w:type="gramStart"/>
      <w:r w:rsidRPr="00E42B49">
        <w:rPr>
          <w:rStyle w:val="None"/>
          <w:rFonts w:ascii="Cambria" w:hAnsi="Cambria"/>
          <w:b/>
          <w:bCs/>
          <w:sz w:val="20"/>
          <w:szCs w:val="20"/>
          <w:lang w:val="es-US"/>
        </w:rPr>
        <w:t>LIFTING</w:t>
      </w:r>
      <w:proofErr w:type="gramEnd"/>
      <w:r w:rsidRPr="00E42B49">
        <w:rPr>
          <w:rStyle w:val="None"/>
          <w:rFonts w:ascii="Cambria" w:hAnsi="Cambria"/>
          <w:b/>
          <w:bCs/>
          <w:sz w:val="20"/>
          <w:szCs w:val="20"/>
          <w:lang w:val="es-US"/>
        </w:rPr>
        <w:t>)</w:t>
      </w:r>
      <w:r w:rsidRPr="00E42B49">
        <w:rPr>
          <w:rStyle w:val="None"/>
          <w:rFonts w:ascii="Cambria" w:hAnsi="Cambria"/>
          <w:b/>
          <w:bCs/>
          <w:sz w:val="20"/>
          <w:szCs w:val="20"/>
          <w:lang w:val="es-US"/>
        </w:rPr>
        <w:br/>
        <w:t xml:space="preserve">MC 750-16 - Braulio </w:t>
      </w:r>
      <w:proofErr w:type="spellStart"/>
      <w:r w:rsidRPr="00E42B49">
        <w:rPr>
          <w:rStyle w:val="None"/>
          <w:rFonts w:ascii="Cambria" w:hAnsi="Cambria"/>
          <w:b/>
          <w:bCs/>
          <w:sz w:val="20"/>
          <w:szCs w:val="20"/>
          <w:lang w:val="es-US"/>
        </w:rPr>
        <w:t>Jatar</w:t>
      </w:r>
      <w:proofErr w:type="spellEnd"/>
      <w:r w:rsidRPr="00E42B49">
        <w:rPr>
          <w:rStyle w:val="None"/>
          <w:rFonts w:ascii="Cambria" w:hAnsi="Cambria"/>
          <w:b/>
          <w:bCs/>
          <w:sz w:val="20"/>
          <w:szCs w:val="20"/>
          <w:lang w:val="es-US"/>
        </w:rPr>
        <w:t>, Venezuela</w:t>
      </w:r>
    </w:p>
    <w:p w14:paraId="01B5A59E" w14:textId="77777777" w:rsidR="00842401" w:rsidRPr="00E42B49" w:rsidRDefault="00842401" w:rsidP="00842401">
      <w:pPr>
        <w:pStyle w:val="Body"/>
        <w:jc w:val="both"/>
        <w:rPr>
          <w:rStyle w:val="None"/>
          <w:rFonts w:ascii="Cambria" w:hAnsi="Cambria"/>
          <w:sz w:val="20"/>
          <w:szCs w:val="20"/>
          <w:lang w:val="es-US"/>
        </w:rPr>
      </w:pPr>
    </w:p>
    <w:p w14:paraId="309F412B" w14:textId="77777777" w:rsidR="00842401" w:rsidRPr="00524435" w:rsidRDefault="00842401" w:rsidP="00000BF8">
      <w:pPr>
        <w:pStyle w:val="ListParagraph"/>
        <w:rPr>
          <w:rStyle w:val="None"/>
          <w:rFonts w:eastAsia="Cambria" w:cs="Cambria"/>
        </w:rPr>
      </w:pPr>
      <w:r w:rsidRPr="00524435">
        <w:rPr>
          <w:rStyle w:val="None"/>
        </w:rPr>
        <w:t xml:space="preserve">The Inter-American Commission on Human Rights (IACHR) decided to lift the precautionary measures granted on behalf of Braulio </w:t>
      </w:r>
      <w:proofErr w:type="spellStart"/>
      <w:r w:rsidRPr="00524435">
        <w:rPr>
          <w:rStyle w:val="None"/>
        </w:rPr>
        <w:t>Jatar</w:t>
      </w:r>
      <w:proofErr w:type="spellEnd"/>
      <w:r w:rsidRPr="00524435">
        <w:rPr>
          <w:rStyle w:val="None"/>
        </w:rPr>
        <w:t xml:space="preserve"> in Venezuela. According to the available information, </w:t>
      </w:r>
      <w:proofErr w:type="spellStart"/>
      <w:r w:rsidRPr="00524435">
        <w:rPr>
          <w:rStyle w:val="None"/>
        </w:rPr>
        <w:t>Jatar’s</w:t>
      </w:r>
      <w:proofErr w:type="spellEnd"/>
      <w:r w:rsidRPr="00524435">
        <w:rPr>
          <w:rStyle w:val="None"/>
        </w:rPr>
        <w:t xml:space="preserve"> situation had substantially changed, as he was no longer deprived of his liberty. Following the State’s request to lift [the measures], the Commission had not received any information or comments from his representative. The Commission therefore considered it appropriate to lift the current precautionary measures.</w:t>
      </w:r>
    </w:p>
    <w:p w14:paraId="6893CCE3" w14:textId="77777777" w:rsidR="00842401" w:rsidRPr="00E42B49" w:rsidRDefault="00842401" w:rsidP="005938DF">
      <w:pPr>
        <w:spacing w:after="0" w:line="240" w:lineRule="auto"/>
        <w:jc w:val="both"/>
        <w:rPr>
          <w:rFonts w:ascii="Cambria" w:eastAsia="Cambria" w:hAnsi="Cambria" w:cs="Cambria"/>
          <w:b/>
          <w:bCs/>
          <w:color w:val="000000" w:themeColor="text1"/>
          <w:sz w:val="20"/>
          <w:szCs w:val="20"/>
          <w:lang w:val="es-US"/>
        </w:rPr>
      </w:pPr>
      <w:proofErr w:type="spellStart"/>
      <w:r w:rsidRPr="00E42B49">
        <w:rPr>
          <w:rFonts w:ascii="Cambria" w:eastAsia="Cambria" w:hAnsi="Cambria" w:cs="Cambria"/>
          <w:b/>
          <w:bCs/>
          <w:color w:val="000000" w:themeColor="text1"/>
          <w:sz w:val="20"/>
          <w:szCs w:val="20"/>
          <w:lang w:val="es-US"/>
        </w:rPr>
        <w:t>Resolution</w:t>
      </w:r>
      <w:proofErr w:type="spellEnd"/>
      <w:r w:rsidRPr="00E42B49">
        <w:rPr>
          <w:rFonts w:ascii="Cambria" w:eastAsia="Cambria" w:hAnsi="Cambria" w:cs="Cambria"/>
          <w:b/>
          <w:bCs/>
          <w:color w:val="000000" w:themeColor="text1"/>
          <w:sz w:val="20"/>
          <w:szCs w:val="20"/>
          <w:lang w:val="es-US"/>
        </w:rPr>
        <w:t xml:space="preserve"> No. 94/21(EXTENSION)</w:t>
      </w:r>
    </w:p>
    <w:p w14:paraId="09280F23" w14:textId="77777777" w:rsidR="00842401" w:rsidRPr="00E42B49" w:rsidRDefault="00842401" w:rsidP="005938DF">
      <w:pPr>
        <w:spacing w:after="240" w:line="240" w:lineRule="auto"/>
        <w:jc w:val="both"/>
        <w:rPr>
          <w:rFonts w:ascii="Cambria" w:eastAsia="Cambria" w:hAnsi="Cambria" w:cs="Cambria"/>
          <w:b/>
          <w:bCs/>
          <w:color w:val="000000" w:themeColor="text1"/>
          <w:sz w:val="20"/>
          <w:szCs w:val="20"/>
          <w:lang w:val="es-US"/>
        </w:rPr>
      </w:pPr>
      <w:r w:rsidRPr="00E42B49">
        <w:rPr>
          <w:rFonts w:ascii="Cambria" w:eastAsia="Cambria" w:hAnsi="Cambria" w:cs="Cambria"/>
          <w:b/>
          <w:bCs/>
          <w:color w:val="000000" w:themeColor="text1"/>
          <w:sz w:val="20"/>
          <w:szCs w:val="20"/>
          <w:lang w:val="es-US"/>
        </w:rPr>
        <w:t xml:space="preserve">PM 600-15 - Ángel Omar Vivas Perdomo and </w:t>
      </w:r>
      <w:proofErr w:type="spellStart"/>
      <w:r w:rsidRPr="00E42B49">
        <w:rPr>
          <w:rFonts w:ascii="Cambria" w:eastAsia="Cambria" w:hAnsi="Cambria" w:cs="Cambria"/>
          <w:b/>
          <w:bCs/>
          <w:color w:val="000000" w:themeColor="text1"/>
          <w:sz w:val="20"/>
          <w:szCs w:val="20"/>
          <w:lang w:val="es-US"/>
        </w:rPr>
        <w:t>family</w:t>
      </w:r>
      <w:proofErr w:type="spellEnd"/>
      <w:r w:rsidRPr="00E42B49">
        <w:rPr>
          <w:rFonts w:ascii="Cambria" w:eastAsia="Cambria" w:hAnsi="Cambria" w:cs="Cambria"/>
          <w:b/>
          <w:bCs/>
          <w:color w:val="000000" w:themeColor="text1"/>
          <w:sz w:val="20"/>
          <w:szCs w:val="20"/>
          <w:lang w:val="es-US"/>
        </w:rPr>
        <w:t>, Venezuela</w:t>
      </w:r>
    </w:p>
    <w:p w14:paraId="10ACA7B9" w14:textId="77777777" w:rsidR="00842401" w:rsidRPr="00524435" w:rsidRDefault="00842401" w:rsidP="00000BF8">
      <w:pPr>
        <w:pStyle w:val="ListParagraph"/>
      </w:pPr>
      <w:r w:rsidRPr="00524435">
        <w:t xml:space="preserve">On November 27, 2021, the Inter-American Commission on Human Rights decided to extend the precautionary measures in favor of the </w:t>
      </w:r>
      <w:proofErr w:type="spellStart"/>
      <w:r w:rsidRPr="00524435">
        <w:t>Vivas</w:t>
      </w:r>
      <w:proofErr w:type="spellEnd"/>
      <w:r w:rsidRPr="00524435">
        <w:t xml:space="preserve"> family, after considering that they are in a serious and urgent situation of risk of irreparable harm to their rights in Venezuela. On October 27, 2017, the IACHR granted </w:t>
      </w:r>
      <w:r w:rsidRPr="00524435">
        <w:lastRenderedPageBreak/>
        <w:t xml:space="preserve">precautionary measures in favor of Mr. </w:t>
      </w:r>
      <w:proofErr w:type="spellStart"/>
      <w:r w:rsidRPr="00524435">
        <w:t>Ángel</w:t>
      </w:r>
      <w:proofErr w:type="spellEnd"/>
      <w:r w:rsidRPr="00524435">
        <w:t xml:space="preserve"> Omar </w:t>
      </w:r>
      <w:proofErr w:type="spellStart"/>
      <w:r w:rsidRPr="00524435">
        <w:t>Vivas</w:t>
      </w:r>
      <w:proofErr w:type="spellEnd"/>
      <w:r w:rsidRPr="00524435">
        <w:t xml:space="preserve"> Perdomo while he was deprived of his liberty. Consequently, the IACHR requested the State of Venezuela to adopt the necessary measures to protect the rights to life and personal integrity of the identified persons. To this end, the State must ensure that its agents respect the life and personal integrity of the beneficiaries, as well as protect their rights in relation to acts of risk that are attributable to third parties, in accordance with the standards established by international human rights law; reach agreement with the beneficiaries and their representatives on the measures to be adopted; and report on the actions taken to investigate the alleged facts that gave rise to the adoption and extension of this precautionary measure so as to avoid their reoccurrence.</w:t>
      </w:r>
    </w:p>
    <w:p w14:paraId="2316EAF6" w14:textId="0DA3BC66" w:rsidR="00842401" w:rsidRPr="00524435" w:rsidRDefault="00842401" w:rsidP="00842401">
      <w:pPr>
        <w:rPr>
          <w:rFonts w:ascii="Cambria" w:eastAsia="Cambria" w:hAnsi="Cambria" w:cs="Cambria"/>
          <w:b/>
          <w:bCs/>
          <w:color w:val="000000" w:themeColor="text1"/>
          <w:sz w:val="20"/>
          <w:szCs w:val="20"/>
        </w:rPr>
      </w:pPr>
      <w:r w:rsidRPr="00524435">
        <w:rPr>
          <w:rFonts w:ascii="Cambria" w:eastAsia="Cambria" w:hAnsi="Cambria" w:cs="Cambria"/>
          <w:b/>
          <w:bCs/>
          <w:color w:val="000000" w:themeColor="text1"/>
          <w:sz w:val="20"/>
          <w:szCs w:val="20"/>
        </w:rPr>
        <w:t>Resolution No. 96/21(LIFT)</w:t>
      </w:r>
      <w:r w:rsidRPr="00524435">
        <w:rPr>
          <w:rFonts w:ascii="Cambria" w:hAnsi="Cambria"/>
          <w:b/>
          <w:bCs/>
          <w:sz w:val="20"/>
          <w:szCs w:val="20"/>
        </w:rPr>
        <w:br/>
      </w:r>
      <w:r w:rsidRPr="00524435">
        <w:rPr>
          <w:rFonts w:ascii="Cambria" w:eastAsia="Cambria" w:hAnsi="Cambria" w:cs="Cambria"/>
          <w:b/>
          <w:bCs/>
          <w:color w:val="000000" w:themeColor="text1"/>
          <w:sz w:val="20"/>
          <w:szCs w:val="20"/>
        </w:rPr>
        <w:t xml:space="preserve">PM 260-16 - Persons deprived of liberty at the General José Francisco </w:t>
      </w:r>
      <w:proofErr w:type="spellStart"/>
      <w:r w:rsidRPr="00524435">
        <w:rPr>
          <w:rFonts w:ascii="Cambria" w:eastAsia="Cambria" w:hAnsi="Cambria" w:cs="Cambria"/>
          <w:b/>
          <w:bCs/>
          <w:color w:val="000000" w:themeColor="text1"/>
          <w:sz w:val="20"/>
          <w:szCs w:val="20"/>
        </w:rPr>
        <w:t>Bermúdez</w:t>
      </w:r>
      <w:proofErr w:type="spellEnd"/>
      <w:r w:rsidRPr="00524435">
        <w:rPr>
          <w:rFonts w:ascii="Cambria" w:eastAsia="Cambria" w:hAnsi="Cambria" w:cs="Cambria"/>
          <w:b/>
          <w:bCs/>
          <w:color w:val="000000" w:themeColor="text1"/>
          <w:sz w:val="20"/>
          <w:szCs w:val="20"/>
        </w:rPr>
        <w:t xml:space="preserve"> Police Coordination Center, Venezuela</w:t>
      </w:r>
    </w:p>
    <w:p w14:paraId="672884CD" w14:textId="77777777" w:rsidR="00842401" w:rsidRPr="00524435" w:rsidRDefault="00842401" w:rsidP="00000BF8">
      <w:pPr>
        <w:pStyle w:val="ListParagraph"/>
      </w:pPr>
      <w:r w:rsidRPr="00524435">
        <w:t xml:space="preserve">The Inter-American Commission on Human Rights (IACHR) decides to lift the precautionary measures granted in favor of the persons deprived of their liberty at the General José Francisco </w:t>
      </w:r>
      <w:proofErr w:type="spellStart"/>
      <w:r w:rsidRPr="00524435">
        <w:t>Bermúdez</w:t>
      </w:r>
      <w:proofErr w:type="spellEnd"/>
      <w:r w:rsidRPr="00524435">
        <w:t xml:space="preserve"> Police Coordination Center (CCPGJFB) in Venezuela. At the time of making the decision, the Commission evaluated the actions taken by the State during implementation. The IACHR requested information from the beneficiaries’ representation in 2019 and 2021, without receiving a response. Upon not identifying compliance with the procedural requirements at present and having approximately 5 years elapsed without a response from the representation, the IACHR decided to lift these measures</w:t>
      </w:r>
    </w:p>
    <w:p w14:paraId="187B906E" w14:textId="77777777" w:rsidR="00842401" w:rsidRPr="00E42B49" w:rsidRDefault="00842401" w:rsidP="00BD1A2C">
      <w:pPr>
        <w:spacing w:after="240" w:line="240" w:lineRule="auto"/>
        <w:rPr>
          <w:rFonts w:ascii="Cambria" w:eastAsia="Cambria" w:hAnsi="Cambria" w:cs="Cambria"/>
          <w:b/>
          <w:bCs/>
          <w:color w:val="000000" w:themeColor="text1"/>
          <w:sz w:val="20"/>
          <w:szCs w:val="20"/>
          <w:lang w:val="es-US"/>
        </w:rPr>
      </w:pPr>
      <w:proofErr w:type="spellStart"/>
      <w:r w:rsidRPr="00E42B49">
        <w:rPr>
          <w:rFonts w:ascii="Cambria" w:eastAsia="Cambria" w:hAnsi="Cambria" w:cs="Cambria"/>
          <w:b/>
          <w:bCs/>
          <w:color w:val="000000" w:themeColor="text1"/>
          <w:sz w:val="20"/>
          <w:szCs w:val="20"/>
          <w:lang w:val="es-US"/>
        </w:rPr>
        <w:t>Resolution</w:t>
      </w:r>
      <w:proofErr w:type="spellEnd"/>
      <w:r w:rsidRPr="00E42B49">
        <w:rPr>
          <w:rFonts w:ascii="Cambria" w:eastAsia="Cambria" w:hAnsi="Cambria" w:cs="Cambria"/>
          <w:b/>
          <w:bCs/>
          <w:color w:val="000000" w:themeColor="text1"/>
          <w:sz w:val="20"/>
          <w:szCs w:val="20"/>
          <w:lang w:val="es-US"/>
        </w:rPr>
        <w:t xml:space="preserve"> No. 97/21(LIFT)</w:t>
      </w:r>
      <w:r w:rsidRPr="00E42B49">
        <w:rPr>
          <w:rFonts w:ascii="Cambria" w:hAnsi="Cambria"/>
          <w:b/>
          <w:bCs/>
          <w:sz w:val="20"/>
          <w:szCs w:val="20"/>
          <w:lang w:val="es-US"/>
        </w:rPr>
        <w:br/>
      </w:r>
      <w:r w:rsidRPr="00E42B49">
        <w:rPr>
          <w:rFonts w:ascii="Cambria" w:eastAsia="Cambria" w:hAnsi="Cambria" w:cs="Cambria"/>
          <w:b/>
          <w:bCs/>
          <w:color w:val="000000" w:themeColor="text1"/>
          <w:sz w:val="20"/>
          <w:szCs w:val="20"/>
          <w:lang w:val="es-US"/>
        </w:rPr>
        <w:t>PM 998-20 - José Humberto Hernández Rodríguez, Venezuela</w:t>
      </w:r>
    </w:p>
    <w:p w14:paraId="2DCBE8ED" w14:textId="77777777" w:rsidR="00842401" w:rsidRPr="00524435" w:rsidRDefault="00842401" w:rsidP="00000BF8">
      <w:pPr>
        <w:pStyle w:val="ListParagraph"/>
      </w:pPr>
      <w:r w:rsidRPr="00524435">
        <w:t xml:space="preserve">The Inter-American Commission on Human Rights (IACHR) decides to lift these precautionary measures in favor of José Humberto Hernández Rodríguez. At the time of making this decision, the Commission </w:t>
      </w:r>
      <w:proofErr w:type="gramStart"/>
      <w:r w:rsidRPr="00524435">
        <w:t>took into account</w:t>
      </w:r>
      <w:proofErr w:type="gramEnd"/>
      <w:r w:rsidRPr="00524435">
        <w:t xml:space="preserve"> that the precautionary measures were rendered moot following the beneficiary’s death. The IACHR decided to lift these measures and considered as serious the lack of response from the State regarding the specific measures </w:t>
      </w:r>
      <w:r w:rsidRPr="00524435">
        <w:rPr>
          <w:rStyle w:val="None"/>
        </w:rPr>
        <w:t>adopted</w:t>
      </w:r>
      <w:r w:rsidRPr="00524435">
        <w:t xml:space="preserve"> to implement these measures while they were in place.</w:t>
      </w:r>
    </w:p>
    <w:p w14:paraId="02B3A68A" w14:textId="77777777" w:rsidR="00842401" w:rsidRPr="00524435" w:rsidRDefault="00842401" w:rsidP="00E82663">
      <w:pPr>
        <w:pStyle w:val="Heading3"/>
      </w:pPr>
      <w:r w:rsidRPr="00524435">
        <w:rPr>
          <w:rStyle w:val="None"/>
        </w:rPr>
        <w:t>Working meetings</w:t>
      </w:r>
    </w:p>
    <w:p w14:paraId="4108B8D3" w14:textId="77777777" w:rsidR="00842401" w:rsidRPr="00524435" w:rsidRDefault="00842401" w:rsidP="00000BF8">
      <w:pPr>
        <w:pStyle w:val="ListParagraph"/>
      </w:pPr>
      <w:r w:rsidRPr="00524435">
        <w:rPr>
          <w:rStyle w:val="None"/>
        </w:rPr>
        <w:t xml:space="preserve">Article 25 of the IACHR Rules of Procedure states that the Commission can take appropriate follow-up measures related to the granting, observance, and maintenance of precautionary measures. These measures may include, as appropriate, timetables for implementation, hearings, working meetings, and visits for follow-up and review. In this context, Resolution 2/2020 “Strengthening of the Monitoring of Precautionary Measures in Force” allows for the possibility of convening bilateral and working meetings outside the periods of sessions and considers the adoption of follow-up Resolutions </w:t>
      </w:r>
      <w:proofErr w:type="gramStart"/>
      <w:r w:rsidRPr="00524435">
        <w:rPr>
          <w:rStyle w:val="None"/>
        </w:rPr>
        <w:t>in regard to</w:t>
      </w:r>
      <w:proofErr w:type="gramEnd"/>
      <w:r w:rsidRPr="00524435">
        <w:rPr>
          <w:rStyle w:val="None"/>
        </w:rPr>
        <w:t xml:space="preserve"> precautionary measures in force.</w:t>
      </w:r>
    </w:p>
    <w:p w14:paraId="06A75571" w14:textId="77777777" w:rsidR="00842401" w:rsidRPr="00524435" w:rsidRDefault="00842401" w:rsidP="00000BF8">
      <w:pPr>
        <w:pStyle w:val="ListParagraph"/>
        <w:rPr>
          <w:rStyle w:val="None"/>
          <w:rFonts w:eastAsia="Cambria" w:cs="Cambria"/>
        </w:rPr>
      </w:pPr>
      <w:r w:rsidRPr="00524435">
        <w:rPr>
          <w:rStyle w:val="None"/>
        </w:rPr>
        <w:t xml:space="preserve">A list of these working meetings is presented below. </w:t>
      </w:r>
    </w:p>
    <w:tbl>
      <w:tblPr>
        <w:tblW w:w="9175"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DD4E9"/>
        <w:tblLayout w:type="fixed"/>
        <w:tblLook w:val="04A0" w:firstRow="1" w:lastRow="0" w:firstColumn="1" w:lastColumn="0" w:noHBand="0" w:noVBand="1"/>
      </w:tblPr>
      <w:tblGrid>
        <w:gridCol w:w="625"/>
        <w:gridCol w:w="1260"/>
        <w:gridCol w:w="5490"/>
        <w:gridCol w:w="1800"/>
      </w:tblGrid>
      <w:tr w:rsidR="00842401" w:rsidRPr="00524435" w14:paraId="0B3B8AE3" w14:textId="77777777" w:rsidTr="00C33359">
        <w:trPr>
          <w:trHeight w:val="450"/>
        </w:trPr>
        <w:tc>
          <w:tcPr>
            <w:tcW w:w="9175" w:type="dxa"/>
            <w:gridSpan w:val="4"/>
            <w:tcBorders>
              <w:top w:val="single" w:sz="4" w:space="0" w:color="4472C4" w:themeColor="accent5"/>
              <w:left w:val="single" w:sz="4" w:space="0" w:color="4472C4" w:themeColor="accent5"/>
              <w:bottom w:val="single" w:sz="4" w:space="0" w:color="8EAADB" w:themeColor="accent5" w:themeTint="99"/>
              <w:right w:val="single" w:sz="4" w:space="0" w:color="4472C4" w:themeColor="accent5"/>
            </w:tcBorders>
            <w:shd w:val="clear" w:color="auto" w:fill="4472C4" w:themeFill="accent5"/>
            <w:tcMar>
              <w:top w:w="80" w:type="dxa"/>
              <w:left w:w="80" w:type="dxa"/>
              <w:bottom w:w="80" w:type="dxa"/>
              <w:right w:w="80" w:type="dxa"/>
            </w:tcMar>
            <w:vAlign w:val="center"/>
          </w:tcPr>
          <w:p w14:paraId="5C8591E9" w14:textId="77777777" w:rsidR="00842401" w:rsidRPr="00524435" w:rsidRDefault="00842401" w:rsidP="00C33359">
            <w:pPr>
              <w:pStyle w:val="Body"/>
              <w:jc w:val="center"/>
              <w:rPr>
                <w:rFonts w:ascii="Cambria" w:hAnsi="Cambria"/>
                <w:b/>
              </w:rPr>
            </w:pPr>
            <w:r w:rsidRPr="00524435">
              <w:rPr>
                <w:rStyle w:val="None"/>
                <w:rFonts w:ascii="Cambria" w:hAnsi="Cambria"/>
                <w:b/>
                <w:color w:val="FFFFFF"/>
                <w:sz w:val="20"/>
                <w:u w:color="FFFFFF"/>
              </w:rPr>
              <w:t>179th period of sessions – March 15 -26, 2021</w:t>
            </w:r>
          </w:p>
        </w:tc>
      </w:tr>
      <w:tr w:rsidR="00842401" w:rsidRPr="00524435" w14:paraId="290B6C2B" w14:textId="77777777" w:rsidTr="00C33359">
        <w:trPr>
          <w:trHeight w:val="440"/>
        </w:trPr>
        <w:tc>
          <w:tcPr>
            <w:tcW w:w="9175" w:type="dxa"/>
            <w:gridSpan w:val="4"/>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064BE7E2" w14:textId="77777777" w:rsidR="00842401" w:rsidRPr="00524435" w:rsidRDefault="00842401" w:rsidP="00C33359">
            <w:pPr>
              <w:pStyle w:val="Body"/>
              <w:jc w:val="center"/>
              <w:rPr>
                <w:rStyle w:val="None"/>
                <w:rFonts w:ascii="Cambria" w:hAnsi="Cambria"/>
                <w:b/>
                <w:bCs/>
                <w:sz w:val="20"/>
              </w:rPr>
            </w:pPr>
            <w:r w:rsidRPr="00524435">
              <w:rPr>
                <w:rStyle w:val="None"/>
                <w:rFonts w:ascii="Cambria" w:hAnsi="Cambria"/>
                <w:bCs/>
                <w:color w:val="000000" w:themeColor="text1"/>
                <w:sz w:val="20"/>
              </w:rPr>
              <w:t>Working meetings</w:t>
            </w:r>
          </w:p>
        </w:tc>
      </w:tr>
      <w:tr w:rsidR="00842401" w:rsidRPr="00524435" w14:paraId="1D97BD83" w14:textId="77777777" w:rsidTr="00C33359">
        <w:trPr>
          <w:trHeight w:val="44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64187C3" w14:textId="77777777" w:rsidR="00842401" w:rsidRPr="00524435" w:rsidRDefault="00842401" w:rsidP="00C33359">
            <w:pPr>
              <w:pStyle w:val="Body"/>
              <w:jc w:val="center"/>
              <w:rPr>
                <w:rFonts w:ascii="Cambria" w:hAnsi="Cambria"/>
              </w:rPr>
            </w:pPr>
            <w:r w:rsidRPr="00524435">
              <w:rPr>
                <w:rStyle w:val="None"/>
                <w:rFonts w:ascii="Cambria" w:hAnsi="Cambria"/>
                <w:bCs/>
                <w:sz w:val="20"/>
              </w:rPr>
              <w:t>No</w:t>
            </w:r>
          </w:p>
        </w:tc>
        <w:tc>
          <w:tcPr>
            <w:tcW w:w="12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0B020B06" w14:textId="77777777" w:rsidR="00842401" w:rsidRPr="00524435" w:rsidRDefault="00842401" w:rsidP="00C33359">
            <w:pPr>
              <w:pStyle w:val="Body"/>
              <w:jc w:val="center"/>
              <w:rPr>
                <w:rFonts w:ascii="Cambria" w:hAnsi="Cambria"/>
              </w:rPr>
            </w:pPr>
            <w:r w:rsidRPr="00524435">
              <w:rPr>
                <w:rStyle w:val="None"/>
                <w:rFonts w:ascii="Cambria" w:hAnsi="Cambria"/>
                <w:bCs/>
                <w:sz w:val="20"/>
              </w:rPr>
              <w:t>MC</w:t>
            </w:r>
          </w:p>
        </w:tc>
        <w:tc>
          <w:tcPr>
            <w:tcW w:w="54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686DAE15" w14:textId="77777777" w:rsidR="00842401" w:rsidRPr="00524435" w:rsidRDefault="00842401" w:rsidP="00C33359">
            <w:pPr>
              <w:pStyle w:val="Body"/>
              <w:jc w:val="center"/>
              <w:rPr>
                <w:rFonts w:ascii="Cambria" w:hAnsi="Cambria"/>
              </w:rPr>
            </w:pPr>
            <w:r w:rsidRPr="00524435">
              <w:rPr>
                <w:rStyle w:val="None"/>
                <w:rFonts w:ascii="Cambria" w:hAnsi="Cambria"/>
                <w:bCs/>
                <w:sz w:val="20"/>
              </w:rPr>
              <w:t>Beneficiaries</w:t>
            </w:r>
          </w:p>
        </w:tc>
        <w:tc>
          <w:tcPr>
            <w:tcW w:w="18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52BC51B7" w14:textId="77777777" w:rsidR="00842401" w:rsidRPr="00524435" w:rsidRDefault="00842401" w:rsidP="00C33359">
            <w:pPr>
              <w:pStyle w:val="Body"/>
              <w:jc w:val="center"/>
              <w:rPr>
                <w:rFonts w:ascii="Cambria" w:hAnsi="Cambria"/>
              </w:rPr>
            </w:pPr>
            <w:r w:rsidRPr="00524435">
              <w:rPr>
                <w:rStyle w:val="None"/>
                <w:rFonts w:ascii="Cambria" w:hAnsi="Cambria"/>
                <w:bCs/>
                <w:sz w:val="20"/>
              </w:rPr>
              <w:t>State</w:t>
            </w:r>
          </w:p>
        </w:tc>
      </w:tr>
      <w:tr w:rsidR="00842401" w:rsidRPr="00524435" w14:paraId="548CBB32" w14:textId="77777777" w:rsidTr="00C33359">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614E10DF" w14:textId="77777777" w:rsidR="00842401" w:rsidRPr="00524435" w:rsidRDefault="00842401" w:rsidP="00C33359">
            <w:pPr>
              <w:pStyle w:val="Body"/>
              <w:jc w:val="both"/>
              <w:rPr>
                <w:rFonts w:ascii="Cambria" w:hAnsi="Cambria"/>
              </w:rPr>
            </w:pPr>
            <w:r w:rsidRPr="00524435">
              <w:rPr>
                <w:rStyle w:val="None"/>
                <w:rFonts w:ascii="Cambria" w:hAnsi="Cambria"/>
                <w:bCs/>
                <w:sz w:val="20"/>
              </w:rPr>
              <w:t>1</w:t>
            </w:r>
          </w:p>
        </w:tc>
        <w:tc>
          <w:tcPr>
            <w:tcW w:w="12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0AEA2364" w14:textId="77777777" w:rsidR="00842401" w:rsidRPr="00524435" w:rsidRDefault="00842401" w:rsidP="00C33359">
            <w:pPr>
              <w:pStyle w:val="Body"/>
              <w:rPr>
                <w:rFonts w:ascii="Cambria" w:hAnsi="Cambria"/>
              </w:rPr>
            </w:pPr>
            <w:r w:rsidRPr="00524435">
              <w:rPr>
                <w:rStyle w:val="None"/>
                <w:rFonts w:ascii="Cambria" w:hAnsi="Cambria"/>
                <w:sz w:val="20"/>
              </w:rPr>
              <w:t>412-17</w:t>
            </w:r>
          </w:p>
        </w:tc>
        <w:tc>
          <w:tcPr>
            <w:tcW w:w="54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535C67C7"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Evicted and displaced residents of the Laguna </w:t>
            </w:r>
            <w:proofErr w:type="spellStart"/>
            <w:r w:rsidRPr="00524435">
              <w:rPr>
                <w:rStyle w:val="None"/>
                <w:rFonts w:ascii="Cambria" w:hAnsi="Cambria"/>
                <w:sz w:val="20"/>
              </w:rPr>
              <w:t>Larga</w:t>
            </w:r>
            <w:proofErr w:type="spellEnd"/>
            <w:r w:rsidRPr="00524435">
              <w:rPr>
                <w:rStyle w:val="None"/>
                <w:rFonts w:ascii="Cambria" w:hAnsi="Cambria"/>
                <w:sz w:val="20"/>
              </w:rPr>
              <w:t xml:space="preserve"> community</w:t>
            </w:r>
          </w:p>
        </w:tc>
        <w:tc>
          <w:tcPr>
            <w:tcW w:w="18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B061CD4" w14:textId="77777777" w:rsidR="00842401" w:rsidRPr="00524435" w:rsidRDefault="00842401" w:rsidP="00C33359">
            <w:pPr>
              <w:pStyle w:val="Body"/>
              <w:jc w:val="both"/>
              <w:rPr>
                <w:rFonts w:ascii="Cambria" w:hAnsi="Cambria"/>
              </w:rPr>
            </w:pPr>
            <w:r w:rsidRPr="00524435">
              <w:rPr>
                <w:rStyle w:val="None"/>
                <w:rFonts w:ascii="Cambria" w:hAnsi="Cambria"/>
                <w:sz w:val="20"/>
              </w:rPr>
              <w:t>Guatemala</w:t>
            </w:r>
          </w:p>
        </w:tc>
      </w:tr>
      <w:tr w:rsidR="00842401" w:rsidRPr="00524435" w14:paraId="6909F64D" w14:textId="77777777" w:rsidTr="00C33359">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5F64043" w14:textId="77777777" w:rsidR="00842401" w:rsidRPr="00524435" w:rsidRDefault="00842401" w:rsidP="00C33359">
            <w:pPr>
              <w:pStyle w:val="Body"/>
              <w:jc w:val="both"/>
              <w:rPr>
                <w:rFonts w:ascii="Cambria" w:hAnsi="Cambria"/>
              </w:rPr>
            </w:pPr>
            <w:r w:rsidRPr="00524435">
              <w:rPr>
                <w:rStyle w:val="None"/>
                <w:rFonts w:ascii="Cambria" w:hAnsi="Cambria"/>
                <w:bCs/>
                <w:sz w:val="20"/>
              </w:rPr>
              <w:lastRenderedPageBreak/>
              <w:t>2</w:t>
            </w:r>
          </w:p>
        </w:tc>
        <w:tc>
          <w:tcPr>
            <w:tcW w:w="12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30C0EAD" w14:textId="77777777" w:rsidR="00842401" w:rsidRPr="00524435" w:rsidRDefault="00842401" w:rsidP="00C33359">
            <w:pPr>
              <w:pStyle w:val="Body"/>
              <w:rPr>
                <w:rFonts w:ascii="Cambria" w:hAnsi="Cambria"/>
              </w:rPr>
            </w:pPr>
            <w:r w:rsidRPr="00524435">
              <w:rPr>
                <w:rStyle w:val="None"/>
                <w:rFonts w:ascii="Cambria" w:hAnsi="Cambria"/>
                <w:sz w:val="20"/>
              </w:rPr>
              <w:t>12-09</w:t>
            </w:r>
          </w:p>
        </w:tc>
        <w:tc>
          <w:tcPr>
            <w:tcW w:w="54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09BCF80"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Alto </w:t>
            </w:r>
            <w:proofErr w:type="spellStart"/>
            <w:r w:rsidRPr="00524435">
              <w:rPr>
                <w:rStyle w:val="None"/>
                <w:rFonts w:ascii="Cambria" w:hAnsi="Cambria"/>
                <w:sz w:val="20"/>
              </w:rPr>
              <w:t>Guayabal-Coredocito</w:t>
            </w:r>
            <w:proofErr w:type="spellEnd"/>
            <w:r w:rsidRPr="00524435">
              <w:rPr>
                <w:rStyle w:val="None"/>
                <w:rFonts w:ascii="Cambria" w:hAnsi="Cambria"/>
                <w:sz w:val="20"/>
              </w:rPr>
              <w:t xml:space="preserve"> community of the </w:t>
            </w:r>
            <w:proofErr w:type="spellStart"/>
            <w:r w:rsidRPr="00524435">
              <w:rPr>
                <w:rStyle w:val="None"/>
                <w:rFonts w:ascii="Cambria" w:hAnsi="Cambria"/>
                <w:sz w:val="20"/>
              </w:rPr>
              <w:t>Emberá</w:t>
            </w:r>
            <w:proofErr w:type="spellEnd"/>
            <w:r w:rsidRPr="00524435">
              <w:rPr>
                <w:rStyle w:val="None"/>
                <w:rFonts w:ascii="Cambria" w:hAnsi="Cambria"/>
                <w:sz w:val="20"/>
              </w:rPr>
              <w:t xml:space="preserve"> People</w:t>
            </w:r>
          </w:p>
        </w:tc>
        <w:tc>
          <w:tcPr>
            <w:tcW w:w="18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474345F"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Colombia </w:t>
            </w:r>
          </w:p>
        </w:tc>
      </w:tr>
      <w:tr w:rsidR="00842401" w:rsidRPr="00524435" w14:paraId="2D12751F" w14:textId="77777777" w:rsidTr="00C33359">
        <w:trPr>
          <w:trHeight w:val="73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3E3AE75A" w14:textId="77777777" w:rsidR="00842401" w:rsidRPr="00524435" w:rsidRDefault="00842401" w:rsidP="00C33359">
            <w:pPr>
              <w:pStyle w:val="Body"/>
              <w:jc w:val="both"/>
              <w:rPr>
                <w:rFonts w:ascii="Cambria" w:hAnsi="Cambria"/>
              </w:rPr>
            </w:pPr>
            <w:r w:rsidRPr="00524435">
              <w:rPr>
                <w:rStyle w:val="None"/>
                <w:rFonts w:ascii="Cambria" w:hAnsi="Cambria"/>
                <w:bCs/>
                <w:sz w:val="20"/>
              </w:rPr>
              <w:t>3</w:t>
            </w:r>
          </w:p>
        </w:tc>
        <w:tc>
          <w:tcPr>
            <w:tcW w:w="12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74CA3970" w14:textId="77777777" w:rsidR="00842401" w:rsidRPr="00524435" w:rsidRDefault="00842401" w:rsidP="00C33359">
            <w:pPr>
              <w:pStyle w:val="Body"/>
              <w:rPr>
                <w:rFonts w:ascii="Cambria" w:hAnsi="Cambria"/>
              </w:rPr>
            </w:pPr>
            <w:r w:rsidRPr="00524435">
              <w:rPr>
                <w:rStyle w:val="None"/>
                <w:rFonts w:ascii="Cambria" w:hAnsi="Cambria"/>
                <w:sz w:val="20"/>
              </w:rPr>
              <w:t>152-14</w:t>
            </w:r>
          </w:p>
        </w:tc>
        <w:tc>
          <w:tcPr>
            <w:tcW w:w="54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0D0A8469" w14:textId="77777777" w:rsidR="00842401" w:rsidRPr="00524435" w:rsidRDefault="00842401" w:rsidP="00C33359">
            <w:pPr>
              <w:pStyle w:val="Body"/>
              <w:jc w:val="both"/>
              <w:rPr>
                <w:rFonts w:ascii="Cambria" w:hAnsi="Cambria"/>
              </w:rPr>
            </w:pPr>
            <w:r w:rsidRPr="00524435">
              <w:rPr>
                <w:rStyle w:val="None"/>
                <w:rFonts w:ascii="Cambria" w:hAnsi="Cambria"/>
                <w:sz w:val="20"/>
              </w:rPr>
              <w:t>Afro-Colombian families residing in the humanitarian space of the "La Playita" district</w:t>
            </w:r>
          </w:p>
        </w:tc>
        <w:tc>
          <w:tcPr>
            <w:tcW w:w="18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67867A65" w14:textId="77777777" w:rsidR="00842401" w:rsidRPr="00524435" w:rsidRDefault="00842401" w:rsidP="00C33359">
            <w:pPr>
              <w:pStyle w:val="Body"/>
              <w:jc w:val="both"/>
              <w:rPr>
                <w:rFonts w:ascii="Cambria" w:hAnsi="Cambria"/>
              </w:rPr>
            </w:pPr>
            <w:r w:rsidRPr="00524435">
              <w:rPr>
                <w:rStyle w:val="None"/>
                <w:rFonts w:ascii="Cambria" w:hAnsi="Cambria"/>
                <w:sz w:val="20"/>
              </w:rPr>
              <w:t>Colombia</w:t>
            </w:r>
          </w:p>
        </w:tc>
      </w:tr>
      <w:tr w:rsidR="00842401" w:rsidRPr="00524435" w14:paraId="172321BB" w14:textId="77777777" w:rsidTr="00C33359">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823E67A" w14:textId="77777777" w:rsidR="00842401" w:rsidRPr="00524435" w:rsidRDefault="00842401" w:rsidP="00C33359">
            <w:pPr>
              <w:pStyle w:val="Body"/>
              <w:jc w:val="both"/>
              <w:rPr>
                <w:rFonts w:ascii="Cambria" w:hAnsi="Cambria"/>
              </w:rPr>
            </w:pPr>
            <w:r w:rsidRPr="00524435">
              <w:rPr>
                <w:rStyle w:val="None"/>
                <w:rFonts w:ascii="Cambria" w:hAnsi="Cambria"/>
                <w:bCs/>
                <w:sz w:val="20"/>
              </w:rPr>
              <w:t>4</w:t>
            </w:r>
          </w:p>
        </w:tc>
        <w:tc>
          <w:tcPr>
            <w:tcW w:w="12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544DA358" w14:textId="77777777" w:rsidR="00842401" w:rsidRPr="00524435" w:rsidRDefault="00842401" w:rsidP="00C33359">
            <w:pPr>
              <w:pStyle w:val="Body"/>
              <w:rPr>
                <w:rFonts w:ascii="Cambria" w:hAnsi="Cambria"/>
              </w:rPr>
            </w:pPr>
            <w:r w:rsidRPr="00524435">
              <w:rPr>
                <w:rStyle w:val="None"/>
                <w:rFonts w:ascii="Cambria" w:hAnsi="Cambria"/>
                <w:sz w:val="20"/>
              </w:rPr>
              <w:t>265-20</w:t>
            </w:r>
          </w:p>
        </w:tc>
        <w:tc>
          <w:tcPr>
            <w:tcW w:w="54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1805CAE" w14:textId="77777777" w:rsidR="00842401" w:rsidRPr="00524435" w:rsidRDefault="00842401" w:rsidP="00C33359">
            <w:pPr>
              <w:pStyle w:val="Body"/>
              <w:jc w:val="both"/>
              <w:rPr>
                <w:rFonts w:ascii="Cambria" w:hAnsi="Cambria"/>
              </w:rPr>
            </w:pPr>
            <w:r w:rsidRPr="00524435">
              <w:rPr>
                <w:rStyle w:val="None"/>
                <w:rFonts w:ascii="Cambria" w:hAnsi="Cambria"/>
                <w:sz w:val="20"/>
              </w:rPr>
              <w:t>Northwest Detention Center (NWDC)</w:t>
            </w:r>
          </w:p>
        </w:tc>
        <w:tc>
          <w:tcPr>
            <w:tcW w:w="18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747066C2"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United States </w:t>
            </w:r>
          </w:p>
        </w:tc>
      </w:tr>
      <w:tr w:rsidR="00842401" w:rsidRPr="00524435" w14:paraId="755D7E4C" w14:textId="77777777" w:rsidTr="00C33359">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39D1C326" w14:textId="77777777" w:rsidR="00842401" w:rsidRPr="00524435" w:rsidRDefault="00842401" w:rsidP="00C33359">
            <w:pPr>
              <w:pStyle w:val="Body"/>
              <w:jc w:val="both"/>
              <w:rPr>
                <w:rFonts w:ascii="Cambria" w:hAnsi="Cambria"/>
              </w:rPr>
            </w:pPr>
            <w:r w:rsidRPr="00524435">
              <w:rPr>
                <w:rStyle w:val="None"/>
                <w:rFonts w:ascii="Cambria" w:hAnsi="Cambria"/>
                <w:bCs/>
                <w:sz w:val="20"/>
              </w:rPr>
              <w:t>5</w:t>
            </w:r>
          </w:p>
        </w:tc>
        <w:tc>
          <w:tcPr>
            <w:tcW w:w="12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3F3855D5" w14:textId="77777777" w:rsidR="00842401" w:rsidRPr="00524435" w:rsidRDefault="00842401" w:rsidP="00C33359">
            <w:pPr>
              <w:pStyle w:val="Body"/>
              <w:rPr>
                <w:rFonts w:ascii="Cambria" w:hAnsi="Cambria"/>
              </w:rPr>
            </w:pPr>
            <w:r w:rsidRPr="00524435">
              <w:rPr>
                <w:rStyle w:val="None"/>
                <w:rFonts w:ascii="Cambria" w:hAnsi="Cambria"/>
                <w:sz w:val="20"/>
              </w:rPr>
              <w:t>1188-18</w:t>
            </w:r>
          </w:p>
        </w:tc>
        <w:tc>
          <w:tcPr>
            <w:tcW w:w="54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6F419BBA" w14:textId="77777777" w:rsidR="00842401" w:rsidRPr="00524435" w:rsidRDefault="00842401" w:rsidP="00C33359">
            <w:pPr>
              <w:pStyle w:val="Body"/>
              <w:jc w:val="both"/>
              <w:rPr>
                <w:rFonts w:ascii="Cambria" w:hAnsi="Cambria"/>
              </w:rPr>
            </w:pPr>
            <w:r w:rsidRPr="00524435">
              <w:rPr>
                <w:rStyle w:val="None"/>
                <w:rFonts w:ascii="Cambria" w:hAnsi="Cambria"/>
                <w:sz w:val="20"/>
              </w:rPr>
              <w:t>Adolescent D.</w:t>
            </w:r>
          </w:p>
        </w:tc>
        <w:tc>
          <w:tcPr>
            <w:tcW w:w="18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300161F"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Paraguay </w:t>
            </w:r>
          </w:p>
        </w:tc>
      </w:tr>
      <w:tr w:rsidR="00842401" w:rsidRPr="00524435" w14:paraId="5B70ACFB" w14:textId="77777777" w:rsidTr="00C33359">
        <w:trPr>
          <w:trHeight w:val="25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1EC31E0D" w14:textId="77777777" w:rsidR="00842401" w:rsidRPr="00524435" w:rsidRDefault="00842401" w:rsidP="00C33359">
            <w:pPr>
              <w:pStyle w:val="Body"/>
              <w:jc w:val="both"/>
              <w:rPr>
                <w:rFonts w:ascii="Cambria" w:hAnsi="Cambria"/>
              </w:rPr>
            </w:pPr>
            <w:r w:rsidRPr="00524435">
              <w:rPr>
                <w:rStyle w:val="None"/>
                <w:rFonts w:ascii="Cambria" w:hAnsi="Cambria"/>
                <w:bCs/>
                <w:sz w:val="20"/>
              </w:rPr>
              <w:t>6</w:t>
            </w:r>
          </w:p>
        </w:tc>
        <w:tc>
          <w:tcPr>
            <w:tcW w:w="12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E6496B0" w14:textId="77777777" w:rsidR="00842401" w:rsidRPr="00524435" w:rsidRDefault="00842401" w:rsidP="00C33359">
            <w:pPr>
              <w:pStyle w:val="Body"/>
              <w:rPr>
                <w:rFonts w:ascii="Cambria" w:hAnsi="Cambria"/>
              </w:rPr>
            </w:pPr>
            <w:r w:rsidRPr="00524435">
              <w:rPr>
                <w:rStyle w:val="None"/>
                <w:rFonts w:ascii="Cambria" w:hAnsi="Cambria"/>
                <w:sz w:val="20"/>
              </w:rPr>
              <w:t>1100-20</w:t>
            </w:r>
          </w:p>
        </w:tc>
        <w:tc>
          <w:tcPr>
            <w:tcW w:w="54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3F5C018" w14:textId="77777777" w:rsidR="00842401" w:rsidRPr="00524435" w:rsidRDefault="00842401" w:rsidP="00C33359">
            <w:pPr>
              <w:pStyle w:val="Body"/>
              <w:jc w:val="both"/>
              <w:rPr>
                <w:rFonts w:ascii="Cambria" w:hAnsi="Cambria"/>
              </w:rPr>
            </w:pPr>
            <w:r w:rsidRPr="00524435">
              <w:rPr>
                <w:rStyle w:val="None"/>
                <w:rFonts w:ascii="Cambria" w:hAnsi="Cambria"/>
                <w:sz w:val="20"/>
              </w:rPr>
              <w:t>6 migrant children and adolescents</w:t>
            </w:r>
          </w:p>
        </w:tc>
        <w:tc>
          <w:tcPr>
            <w:tcW w:w="18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75D7309B" w14:textId="77777777" w:rsidR="00842401" w:rsidRPr="00524435" w:rsidRDefault="00842401" w:rsidP="00C33359">
            <w:pPr>
              <w:pStyle w:val="Body"/>
              <w:rPr>
                <w:rFonts w:ascii="Cambria" w:hAnsi="Cambria"/>
              </w:rPr>
            </w:pPr>
            <w:r w:rsidRPr="00524435">
              <w:rPr>
                <w:rStyle w:val="None"/>
                <w:rFonts w:ascii="Cambria" w:hAnsi="Cambria"/>
                <w:sz w:val="20"/>
              </w:rPr>
              <w:t xml:space="preserve">Trinidad and Tobago </w:t>
            </w:r>
          </w:p>
        </w:tc>
      </w:tr>
      <w:tr w:rsidR="00842401" w:rsidRPr="00524435" w14:paraId="3F1AA432" w14:textId="77777777" w:rsidTr="00C33359">
        <w:trPr>
          <w:trHeight w:val="25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0CA910FF" w14:textId="77777777" w:rsidR="00842401" w:rsidRPr="00524435" w:rsidRDefault="00842401" w:rsidP="00C33359">
            <w:pPr>
              <w:pStyle w:val="Body"/>
              <w:jc w:val="both"/>
              <w:rPr>
                <w:rFonts w:ascii="Cambria" w:hAnsi="Cambria"/>
              </w:rPr>
            </w:pPr>
            <w:r w:rsidRPr="00524435">
              <w:rPr>
                <w:rStyle w:val="None"/>
                <w:rFonts w:ascii="Cambria" w:hAnsi="Cambria"/>
                <w:bCs/>
                <w:sz w:val="20"/>
              </w:rPr>
              <w:t>7</w:t>
            </w:r>
          </w:p>
        </w:tc>
        <w:tc>
          <w:tcPr>
            <w:tcW w:w="12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CFDCB1F" w14:textId="77777777" w:rsidR="00842401" w:rsidRPr="00524435" w:rsidRDefault="00842401" w:rsidP="00C33359">
            <w:pPr>
              <w:pStyle w:val="Body"/>
              <w:jc w:val="both"/>
              <w:rPr>
                <w:rFonts w:ascii="Cambria" w:hAnsi="Cambria"/>
              </w:rPr>
            </w:pPr>
            <w:r w:rsidRPr="00524435">
              <w:rPr>
                <w:rStyle w:val="None"/>
                <w:rFonts w:ascii="Cambria" w:hAnsi="Cambria"/>
                <w:sz w:val="20"/>
              </w:rPr>
              <w:t>772-17</w:t>
            </w:r>
          </w:p>
        </w:tc>
        <w:tc>
          <w:tcPr>
            <w:tcW w:w="54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3F663EDA"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Villagers who consume water from the </w:t>
            </w:r>
            <w:proofErr w:type="spellStart"/>
            <w:r w:rsidRPr="00524435">
              <w:rPr>
                <w:rStyle w:val="None"/>
                <w:rFonts w:ascii="Cambria" w:hAnsi="Cambria"/>
                <w:sz w:val="20"/>
              </w:rPr>
              <w:t>Mezapa</w:t>
            </w:r>
            <w:proofErr w:type="spellEnd"/>
            <w:r w:rsidRPr="00524435">
              <w:rPr>
                <w:rStyle w:val="None"/>
                <w:rFonts w:ascii="Cambria" w:hAnsi="Cambria"/>
                <w:sz w:val="20"/>
              </w:rPr>
              <w:t xml:space="preserve"> River</w:t>
            </w:r>
          </w:p>
        </w:tc>
        <w:tc>
          <w:tcPr>
            <w:tcW w:w="18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5085FBD3"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Honduras </w:t>
            </w:r>
          </w:p>
        </w:tc>
      </w:tr>
      <w:tr w:rsidR="00842401" w:rsidRPr="00524435" w14:paraId="2E6076A9" w14:textId="77777777" w:rsidTr="00C33359">
        <w:trPr>
          <w:trHeight w:val="73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7C19E422" w14:textId="77777777" w:rsidR="00842401" w:rsidRPr="00524435" w:rsidRDefault="00842401" w:rsidP="00C33359">
            <w:pPr>
              <w:pStyle w:val="Body"/>
              <w:jc w:val="both"/>
              <w:rPr>
                <w:rFonts w:ascii="Cambria" w:hAnsi="Cambria"/>
              </w:rPr>
            </w:pPr>
            <w:r w:rsidRPr="00524435">
              <w:rPr>
                <w:rStyle w:val="None"/>
                <w:rFonts w:ascii="Cambria" w:hAnsi="Cambria"/>
                <w:bCs/>
                <w:sz w:val="20"/>
              </w:rPr>
              <w:t>8</w:t>
            </w:r>
          </w:p>
        </w:tc>
        <w:tc>
          <w:tcPr>
            <w:tcW w:w="12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0851E19E" w14:textId="77777777" w:rsidR="00842401" w:rsidRPr="00524435" w:rsidRDefault="00842401" w:rsidP="00C33359">
            <w:pPr>
              <w:pStyle w:val="Body"/>
              <w:rPr>
                <w:rFonts w:ascii="Cambria" w:hAnsi="Cambria"/>
              </w:rPr>
            </w:pPr>
            <w:r w:rsidRPr="00524435">
              <w:rPr>
                <w:rStyle w:val="None"/>
                <w:rFonts w:ascii="Cambria" w:hAnsi="Cambria"/>
                <w:sz w:val="20"/>
              </w:rPr>
              <w:t>535-14</w:t>
            </w:r>
          </w:p>
        </w:tc>
        <w:tc>
          <w:tcPr>
            <w:tcW w:w="54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8492837" w14:textId="77777777" w:rsidR="00842401" w:rsidRPr="00524435" w:rsidRDefault="00842401" w:rsidP="00C33359">
            <w:pPr>
              <w:pStyle w:val="Body"/>
              <w:jc w:val="both"/>
              <w:rPr>
                <w:rFonts w:ascii="Cambria" w:hAnsi="Cambria"/>
              </w:rPr>
            </w:pPr>
            <w:r w:rsidRPr="00524435">
              <w:rPr>
                <w:rStyle w:val="None"/>
                <w:rFonts w:ascii="Cambria" w:hAnsi="Cambria"/>
                <w:sz w:val="20"/>
              </w:rPr>
              <w:t>Migrants confined to the Carmichael Road Detention Center</w:t>
            </w:r>
          </w:p>
        </w:tc>
        <w:tc>
          <w:tcPr>
            <w:tcW w:w="18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9989A33"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Bahamas </w:t>
            </w:r>
          </w:p>
        </w:tc>
      </w:tr>
    </w:tbl>
    <w:p w14:paraId="45B50CF5" w14:textId="77777777" w:rsidR="00842401" w:rsidRPr="00524435" w:rsidRDefault="00842401" w:rsidP="00005144">
      <w:pPr>
        <w:pStyle w:val="Body"/>
        <w:widowControl w:val="0"/>
        <w:jc w:val="both"/>
        <w:rPr>
          <w:rStyle w:val="None"/>
          <w:rFonts w:ascii="Cambria" w:eastAsia="Cambria" w:hAnsi="Cambria" w:cs="Cambria"/>
          <w:sz w:val="20"/>
        </w:rPr>
      </w:pPr>
    </w:p>
    <w:p w14:paraId="4DBEEB7E" w14:textId="77777777" w:rsidR="00842401" w:rsidRPr="00524435" w:rsidRDefault="00842401" w:rsidP="00005144">
      <w:pPr>
        <w:pStyle w:val="Body"/>
        <w:jc w:val="both"/>
        <w:rPr>
          <w:rStyle w:val="None"/>
          <w:rFonts w:ascii="Cambria" w:eastAsia="Cambria" w:hAnsi="Cambria" w:cs="Cambria"/>
          <w:sz w:val="20"/>
        </w:rPr>
      </w:pPr>
    </w:p>
    <w:tbl>
      <w:tblPr>
        <w:tblW w:w="9265"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DD4E9"/>
        <w:tblLayout w:type="fixed"/>
        <w:tblLook w:val="04A0" w:firstRow="1" w:lastRow="0" w:firstColumn="1" w:lastColumn="0" w:noHBand="0" w:noVBand="1"/>
      </w:tblPr>
      <w:tblGrid>
        <w:gridCol w:w="625"/>
        <w:gridCol w:w="1355"/>
        <w:gridCol w:w="5395"/>
        <w:gridCol w:w="1890"/>
      </w:tblGrid>
      <w:tr w:rsidR="00842401" w:rsidRPr="00524435" w14:paraId="01CC8871" w14:textId="77777777" w:rsidTr="00C33359">
        <w:trPr>
          <w:trHeight w:val="450"/>
        </w:trPr>
        <w:tc>
          <w:tcPr>
            <w:tcW w:w="9265" w:type="dxa"/>
            <w:gridSpan w:val="4"/>
            <w:tcBorders>
              <w:top w:val="single" w:sz="4" w:space="0" w:color="4472C4" w:themeColor="accent5"/>
              <w:left w:val="single" w:sz="4" w:space="0" w:color="4472C4" w:themeColor="accent5"/>
              <w:bottom w:val="single" w:sz="4" w:space="0" w:color="8EAADB" w:themeColor="accent5" w:themeTint="99"/>
              <w:right w:val="single" w:sz="4" w:space="0" w:color="4472C4" w:themeColor="accent5"/>
            </w:tcBorders>
            <w:shd w:val="clear" w:color="auto" w:fill="4472C4" w:themeFill="accent5"/>
            <w:tcMar>
              <w:top w:w="80" w:type="dxa"/>
              <w:left w:w="80" w:type="dxa"/>
              <w:bottom w:w="80" w:type="dxa"/>
              <w:right w:w="80" w:type="dxa"/>
            </w:tcMar>
            <w:vAlign w:val="center"/>
          </w:tcPr>
          <w:p w14:paraId="305D2E78" w14:textId="77777777" w:rsidR="00842401" w:rsidRPr="00524435" w:rsidRDefault="00842401" w:rsidP="00C33359">
            <w:pPr>
              <w:pStyle w:val="Body"/>
              <w:jc w:val="center"/>
              <w:rPr>
                <w:rFonts w:ascii="Cambria" w:hAnsi="Cambria"/>
                <w:b/>
              </w:rPr>
            </w:pPr>
            <w:r w:rsidRPr="00524435">
              <w:rPr>
                <w:rStyle w:val="None"/>
                <w:rFonts w:ascii="Cambria" w:hAnsi="Cambria"/>
                <w:b/>
                <w:color w:val="FFFFFF"/>
                <w:sz w:val="20"/>
                <w:u w:color="FFFFFF"/>
              </w:rPr>
              <w:t>180th period of sessions – June 21–July 2, 2021</w:t>
            </w:r>
          </w:p>
        </w:tc>
      </w:tr>
      <w:tr w:rsidR="00842401" w:rsidRPr="00524435" w14:paraId="3A2F6E67" w14:textId="77777777" w:rsidTr="00C33359">
        <w:trPr>
          <w:trHeight w:val="440"/>
        </w:trPr>
        <w:tc>
          <w:tcPr>
            <w:tcW w:w="9265" w:type="dxa"/>
            <w:gridSpan w:val="4"/>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1E9AF82C" w14:textId="77777777" w:rsidR="00842401" w:rsidRPr="00524435" w:rsidRDefault="00842401" w:rsidP="00C33359">
            <w:pPr>
              <w:pStyle w:val="Body"/>
              <w:jc w:val="center"/>
              <w:rPr>
                <w:rStyle w:val="None"/>
                <w:rFonts w:ascii="Cambria" w:hAnsi="Cambria"/>
                <w:b/>
                <w:bCs/>
                <w:sz w:val="20"/>
              </w:rPr>
            </w:pPr>
            <w:r w:rsidRPr="00524435">
              <w:rPr>
                <w:rStyle w:val="None"/>
                <w:rFonts w:ascii="Cambria" w:hAnsi="Cambria"/>
                <w:bCs/>
                <w:color w:val="000000" w:themeColor="text1"/>
                <w:sz w:val="20"/>
              </w:rPr>
              <w:t>Working meetings</w:t>
            </w:r>
          </w:p>
        </w:tc>
      </w:tr>
      <w:tr w:rsidR="00842401" w:rsidRPr="00524435" w14:paraId="55B0FFBD" w14:textId="77777777" w:rsidTr="00C33359">
        <w:trPr>
          <w:trHeight w:val="44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8AB3BA9" w14:textId="77777777" w:rsidR="00842401" w:rsidRPr="00524435" w:rsidRDefault="00842401" w:rsidP="00C33359">
            <w:pPr>
              <w:pStyle w:val="Body"/>
              <w:jc w:val="center"/>
              <w:rPr>
                <w:rFonts w:ascii="Cambria" w:hAnsi="Cambria"/>
              </w:rPr>
            </w:pPr>
            <w:r w:rsidRPr="00524435">
              <w:rPr>
                <w:rStyle w:val="None"/>
                <w:rFonts w:ascii="Cambria" w:hAnsi="Cambria"/>
                <w:bCs/>
                <w:sz w:val="20"/>
              </w:rPr>
              <w:t>No</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6C1C9EDB" w14:textId="77777777" w:rsidR="00842401" w:rsidRPr="00524435" w:rsidRDefault="00842401" w:rsidP="00C33359">
            <w:pPr>
              <w:pStyle w:val="Body"/>
              <w:jc w:val="center"/>
              <w:rPr>
                <w:rFonts w:ascii="Cambria" w:hAnsi="Cambria"/>
              </w:rPr>
            </w:pPr>
            <w:r w:rsidRPr="00524435">
              <w:rPr>
                <w:rStyle w:val="None"/>
                <w:rFonts w:ascii="Cambria" w:hAnsi="Cambria"/>
                <w:bCs/>
                <w:sz w:val="20"/>
              </w:rPr>
              <w:t>MC</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210716F2" w14:textId="77777777" w:rsidR="00842401" w:rsidRPr="00524435" w:rsidRDefault="00842401" w:rsidP="00C33359">
            <w:pPr>
              <w:pStyle w:val="Body"/>
              <w:jc w:val="center"/>
              <w:rPr>
                <w:rFonts w:ascii="Cambria" w:hAnsi="Cambria"/>
              </w:rPr>
            </w:pPr>
            <w:r w:rsidRPr="00524435">
              <w:rPr>
                <w:rStyle w:val="None"/>
                <w:rFonts w:ascii="Cambria" w:hAnsi="Cambria"/>
                <w:bCs/>
                <w:sz w:val="20"/>
              </w:rPr>
              <w:t>Beneficiaries</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2807FE3C" w14:textId="77777777" w:rsidR="00842401" w:rsidRPr="00524435" w:rsidRDefault="00842401" w:rsidP="00C33359">
            <w:pPr>
              <w:pStyle w:val="Body"/>
              <w:jc w:val="center"/>
              <w:rPr>
                <w:rFonts w:ascii="Cambria" w:hAnsi="Cambria"/>
              </w:rPr>
            </w:pPr>
            <w:r w:rsidRPr="00524435">
              <w:rPr>
                <w:rStyle w:val="None"/>
                <w:rFonts w:ascii="Cambria" w:hAnsi="Cambria"/>
                <w:bCs/>
                <w:sz w:val="20"/>
              </w:rPr>
              <w:t>State</w:t>
            </w:r>
          </w:p>
        </w:tc>
      </w:tr>
      <w:tr w:rsidR="00842401" w:rsidRPr="00524435" w14:paraId="77F24988" w14:textId="77777777" w:rsidTr="00C33359">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024FDB7E" w14:textId="77777777" w:rsidR="00842401" w:rsidRPr="00524435" w:rsidRDefault="00842401" w:rsidP="00C33359">
            <w:pPr>
              <w:pStyle w:val="Body"/>
              <w:jc w:val="both"/>
              <w:rPr>
                <w:rFonts w:ascii="Cambria" w:hAnsi="Cambria"/>
              </w:rPr>
            </w:pPr>
            <w:r w:rsidRPr="00524435">
              <w:rPr>
                <w:rStyle w:val="None"/>
                <w:rFonts w:ascii="Cambria" w:hAnsi="Cambria"/>
                <w:bCs/>
                <w:sz w:val="20"/>
              </w:rPr>
              <w:t>9</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CA41E7B" w14:textId="77777777" w:rsidR="00842401" w:rsidRPr="00524435" w:rsidRDefault="00842401" w:rsidP="00C33359">
            <w:pPr>
              <w:pStyle w:val="Body"/>
              <w:rPr>
                <w:rFonts w:ascii="Cambria" w:hAnsi="Cambria"/>
              </w:rPr>
            </w:pPr>
            <w:r w:rsidRPr="00524435">
              <w:rPr>
                <w:rStyle w:val="None"/>
                <w:rFonts w:ascii="Cambria" w:hAnsi="Cambria"/>
                <w:sz w:val="20"/>
              </w:rPr>
              <w:t>1051-20</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F3226E2"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34 identified staff of the El Faro digital newspaper </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520A808C"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El Salvador </w:t>
            </w:r>
          </w:p>
        </w:tc>
      </w:tr>
      <w:tr w:rsidR="00842401" w:rsidRPr="00524435" w14:paraId="435931DD" w14:textId="77777777" w:rsidTr="00C33359">
        <w:trPr>
          <w:trHeight w:val="73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24FBDBF9" w14:textId="77777777" w:rsidR="00842401" w:rsidRPr="00524435" w:rsidRDefault="00842401" w:rsidP="00C33359">
            <w:pPr>
              <w:pStyle w:val="Body"/>
              <w:jc w:val="both"/>
              <w:rPr>
                <w:rFonts w:ascii="Cambria" w:hAnsi="Cambria"/>
              </w:rPr>
            </w:pPr>
            <w:r w:rsidRPr="00524435">
              <w:rPr>
                <w:rStyle w:val="None"/>
                <w:rFonts w:ascii="Cambria" w:hAnsi="Cambria"/>
                <w:bCs/>
                <w:sz w:val="20"/>
              </w:rPr>
              <w:t>10</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6D3292C8" w14:textId="77777777" w:rsidR="00842401" w:rsidRPr="00524435" w:rsidRDefault="00842401" w:rsidP="00C33359">
            <w:pPr>
              <w:pStyle w:val="Body"/>
              <w:rPr>
                <w:rFonts w:ascii="Cambria" w:hAnsi="Cambria"/>
              </w:rPr>
            </w:pPr>
            <w:r w:rsidRPr="00524435">
              <w:rPr>
                <w:rStyle w:val="None"/>
                <w:rFonts w:ascii="Cambria" w:hAnsi="Cambria"/>
                <w:sz w:val="20"/>
              </w:rPr>
              <w:t>306-20</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835ECC1" w14:textId="77777777" w:rsidR="00842401" w:rsidRPr="00524435" w:rsidRDefault="00842401" w:rsidP="00C33359">
            <w:pPr>
              <w:pStyle w:val="Body"/>
              <w:jc w:val="both"/>
              <w:rPr>
                <w:rFonts w:ascii="Cambria" w:hAnsi="Cambria"/>
              </w:rPr>
            </w:pPr>
            <w:proofErr w:type="spellStart"/>
            <w:r w:rsidRPr="00524435">
              <w:rPr>
                <w:rStyle w:val="None"/>
                <w:rFonts w:ascii="Cambria" w:hAnsi="Cambria"/>
                <w:sz w:val="20"/>
              </w:rPr>
              <w:t>Poqomchi</w:t>
            </w:r>
            <w:proofErr w:type="spellEnd"/>
            <w:r w:rsidRPr="00524435">
              <w:rPr>
                <w:rStyle w:val="None"/>
                <w:rFonts w:ascii="Cambria" w:hAnsi="Cambria"/>
                <w:sz w:val="20"/>
              </w:rPr>
              <w:t>´ indigenous Maya families of the Washington and Dos Fuentes communities</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57C889BE"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Guatemala </w:t>
            </w:r>
          </w:p>
        </w:tc>
      </w:tr>
      <w:tr w:rsidR="00842401" w:rsidRPr="00524435" w14:paraId="1C300924" w14:textId="77777777" w:rsidTr="00C33359">
        <w:trPr>
          <w:trHeight w:val="73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FDABE15" w14:textId="77777777" w:rsidR="00842401" w:rsidRPr="00524435" w:rsidRDefault="00842401" w:rsidP="00C33359">
            <w:pPr>
              <w:pStyle w:val="Body"/>
              <w:jc w:val="both"/>
              <w:rPr>
                <w:rFonts w:ascii="Cambria" w:hAnsi="Cambria"/>
              </w:rPr>
            </w:pPr>
            <w:r w:rsidRPr="00524435">
              <w:rPr>
                <w:rStyle w:val="None"/>
                <w:rFonts w:ascii="Cambria" w:hAnsi="Cambria"/>
                <w:bCs/>
                <w:sz w:val="20"/>
              </w:rPr>
              <w:t>11</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5BAFA75" w14:textId="77777777" w:rsidR="00842401" w:rsidRPr="00524435" w:rsidRDefault="00842401" w:rsidP="00C33359">
            <w:pPr>
              <w:pStyle w:val="Body"/>
              <w:rPr>
                <w:rFonts w:ascii="Cambria" w:hAnsi="Cambria"/>
              </w:rPr>
            </w:pPr>
            <w:r w:rsidRPr="00524435">
              <w:rPr>
                <w:rStyle w:val="None"/>
                <w:rFonts w:ascii="Cambria" w:hAnsi="Cambria"/>
                <w:sz w:val="20"/>
              </w:rPr>
              <w:t>888-19</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1271147" w14:textId="77777777" w:rsidR="00842401" w:rsidRPr="00524435" w:rsidRDefault="00842401" w:rsidP="00C33359">
            <w:pPr>
              <w:pStyle w:val="Body"/>
              <w:jc w:val="both"/>
              <w:rPr>
                <w:rFonts w:ascii="Cambria" w:hAnsi="Cambria"/>
              </w:rPr>
            </w:pPr>
            <w:r w:rsidRPr="00524435">
              <w:rPr>
                <w:rStyle w:val="None"/>
                <w:rFonts w:ascii="Cambria" w:hAnsi="Cambria"/>
                <w:sz w:val="20"/>
              </w:rPr>
              <w:t>Persons deprived of liberty in the Jorge Santana Public Penitentiary</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2CEA22B"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Brazil </w:t>
            </w:r>
          </w:p>
        </w:tc>
      </w:tr>
      <w:tr w:rsidR="00842401" w:rsidRPr="00524435" w14:paraId="44EFCA60" w14:textId="77777777" w:rsidTr="00C33359">
        <w:trPr>
          <w:trHeight w:val="73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79DB626C" w14:textId="77777777" w:rsidR="00842401" w:rsidRPr="00524435" w:rsidRDefault="00842401" w:rsidP="00C33359">
            <w:pPr>
              <w:pStyle w:val="Body"/>
              <w:jc w:val="both"/>
              <w:rPr>
                <w:rFonts w:ascii="Cambria" w:hAnsi="Cambria"/>
              </w:rPr>
            </w:pPr>
            <w:r w:rsidRPr="00524435">
              <w:rPr>
                <w:rStyle w:val="None"/>
                <w:rFonts w:ascii="Cambria" w:hAnsi="Cambria"/>
                <w:bCs/>
                <w:sz w:val="20"/>
              </w:rPr>
              <w:t>12</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705BB9D9" w14:textId="77777777" w:rsidR="00842401" w:rsidRPr="00524435" w:rsidRDefault="00842401" w:rsidP="00C33359">
            <w:pPr>
              <w:pStyle w:val="Body"/>
              <w:rPr>
                <w:rFonts w:ascii="Cambria" w:hAnsi="Cambria"/>
              </w:rPr>
            </w:pPr>
            <w:r w:rsidRPr="00524435">
              <w:rPr>
                <w:rStyle w:val="None"/>
                <w:rFonts w:ascii="Cambria" w:hAnsi="Cambria"/>
                <w:sz w:val="20"/>
              </w:rPr>
              <w:t>28-19</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09F5BA56" w14:textId="77777777" w:rsidR="00842401" w:rsidRPr="00E42B49" w:rsidRDefault="00842401" w:rsidP="00C33359">
            <w:pPr>
              <w:pStyle w:val="Body"/>
              <w:jc w:val="both"/>
              <w:rPr>
                <w:rFonts w:ascii="Cambria" w:hAnsi="Cambria"/>
                <w:lang w:val="es-US"/>
              </w:rPr>
            </w:pPr>
            <w:r w:rsidRPr="00E42B49">
              <w:rPr>
                <w:rStyle w:val="None"/>
                <w:rFonts w:ascii="Cambria" w:hAnsi="Cambria"/>
                <w:sz w:val="20"/>
                <w:lang w:val="es-US"/>
              </w:rPr>
              <w:t xml:space="preserve">José Francisco de Mata Vela, </w:t>
            </w:r>
            <w:proofErr w:type="spellStart"/>
            <w:r w:rsidRPr="00E42B49">
              <w:rPr>
                <w:rStyle w:val="None"/>
                <w:rFonts w:ascii="Cambria" w:hAnsi="Cambria"/>
                <w:sz w:val="20"/>
                <w:lang w:val="es-US"/>
              </w:rPr>
              <w:t>Bonerge</w:t>
            </w:r>
            <w:proofErr w:type="spellEnd"/>
            <w:r w:rsidRPr="00E42B49">
              <w:rPr>
                <w:rStyle w:val="None"/>
                <w:rFonts w:ascii="Cambria" w:hAnsi="Cambria"/>
                <w:sz w:val="20"/>
                <w:lang w:val="es-US"/>
              </w:rPr>
              <w:t xml:space="preserve"> Amílcar Mejía Orellana, José Mynor Par Usen, and María Cristina Fernández</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2FA3C80"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Guatemala </w:t>
            </w:r>
          </w:p>
        </w:tc>
      </w:tr>
      <w:tr w:rsidR="00842401" w:rsidRPr="00524435" w14:paraId="1C54AB25" w14:textId="77777777" w:rsidTr="00C33359">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3E33907A" w14:textId="77777777" w:rsidR="00842401" w:rsidRPr="00524435" w:rsidRDefault="00842401" w:rsidP="00C33359">
            <w:pPr>
              <w:pStyle w:val="Body"/>
              <w:jc w:val="both"/>
              <w:rPr>
                <w:rFonts w:ascii="Cambria" w:hAnsi="Cambria"/>
              </w:rPr>
            </w:pPr>
            <w:r w:rsidRPr="00524435">
              <w:rPr>
                <w:rStyle w:val="None"/>
                <w:rFonts w:ascii="Cambria" w:hAnsi="Cambria"/>
                <w:bCs/>
                <w:sz w:val="20"/>
              </w:rPr>
              <w:t>13</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5B3A7CB9" w14:textId="77777777" w:rsidR="00842401" w:rsidRPr="00524435" w:rsidRDefault="00842401" w:rsidP="00C33359">
            <w:pPr>
              <w:pStyle w:val="Body"/>
              <w:rPr>
                <w:rFonts w:ascii="Cambria" w:hAnsi="Cambria"/>
              </w:rPr>
            </w:pPr>
            <w:r w:rsidRPr="00524435">
              <w:rPr>
                <w:rStyle w:val="None"/>
                <w:rFonts w:ascii="Cambria" w:hAnsi="Cambria"/>
                <w:sz w:val="20"/>
              </w:rPr>
              <w:t>431-17</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6DCFAE54" w14:textId="77777777" w:rsidR="00842401" w:rsidRPr="00E42B49" w:rsidRDefault="00842401" w:rsidP="00C33359">
            <w:pPr>
              <w:pStyle w:val="Body"/>
              <w:jc w:val="both"/>
              <w:rPr>
                <w:rFonts w:ascii="Cambria" w:hAnsi="Cambria"/>
                <w:lang w:val="es-US"/>
              </w:rPr>
            </w:pPr>
            <w:r w:rsidRPr="00E42B49">
              <w:rPr>
                <w:rStyle w:val="None"/>
                <w:rFonts w:ascii="Cambria" w:hAnsi="Cambria"/>
                <w:sz w:val="20"/>
                <w:lang w:val="es-US"/>
              </w:rPr>
              <w:t xml:space="preserve">Gloria Patricia Porras Escobar and </w:t>
            </w:r>
            <w:proofErr w:type="spellStart"/>
            <w:r w:rsidRPr="00E42B49">
              <w:rPr>
                <w:rStyle w:val="None"/>
                <w:rFonts w:ascii="Cambria" w:hAnsi="Cambria"/>
                <w:sz w:val="20"/>
                <w:lang w:val="es-US"/>
              </w:rPr>
              <w:t>family</w:t>
            </w:r>
            <w:proofErr w:type="spellEnd"/>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535FC6A6"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Guatemala </w:t>
            </w:r>
          </w:p>
        </w:tc>
      </w:tr>
      <w:tr w:rsidR="00842401" w:rsidRPr="00524435" w14:paraId="2FA08947" w14:textId="77777777" w:rsidTr="00C33359">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77365FF0" w14:textId="77777777" w:rsidR="00842401" w:rsidRPr="00524435" w:rsidRDefault="00842401" w:rsidP="00C33359">
            <w:pPr>
              <w:pStyle w:val="Body"/>
              <w:jc w:val="both"/>
              <w:rPr>
                <w:rFonts w:ascii="Cambria" w:hAnsi="Cambria"/>
              </w:rPr>
            </w:pPr>
            <w:r w:rsidRPr="00524435">
              <w:rPr>
                <w:rStyle w:val="None"/>
                <w:rFonts w:ascii="Cambria" w:hAnsi="Cambria"/>
                <w:bCs/>
                <w:sz w:val="20"/>
              </w:rPr>
              <w:t>14</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7C0B6E8C" w14:textId="77777777" w:rsidR="00842401" w:rsidRPr="00524435" w:rsidRDefault="00842401" w:rsidP="00C33359">
            <w:pPr>
              <w:pStyle w:val="Body"/>
              <w:rPr>
                <w:rFonts w:ascii="Cambria" w:hAnsi="Cambria"/>
              </w:rPr>
            </w:pPr>
            <w:r w:rsidRPr="00524435">
              <w:rPr>
                <w:rStyle w:val="None"/>
                <w:rFonts w:ascii="Cambria" w:hAnsi="Cambria"/>
                <w:sz w:val="20"/>
              </w:rPr>
              <w:t>772-20</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5D9CF482" w14:textId="77777777" w:rsidR="00842401" w:rsidRPr="00524435" w:rsidRDefault="00842401" w:rsidP="00C33359">
            <w:pPr>
              <w:pStyle w:val="Body"/>
              <w:jc w:val="both"/>
              <w:rPr>
                <w:rFonts w:ascii="Cambria" w:hAnsi="Cambria"/>
              </w:rPr>
            </w:pPr>
            <w:r w:rsidRPr="00524435">
              <w:rPr>
                <w:rStyle w:val="None"/>
                <w:rFonts w:ascii="Cambria" w:hAnsi="Cambria"/>
                <w:sz w:val="20"/>
              </w:rPr>
              <w:t>D. P. A. and children</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695CFE9C"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Honduras </w:t>
            </w:r>
          </w:p>
        </w:tc>
      </w:tr>
      <w:tr w:rsidR="00842401" w:rsidRPr="00524435" w14:paraId="0619B657" w14:textId="77777777" w:rsidTr="00C33359">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3CBF4422" w14:textId="77777777" w:rsidR="00842401" w:rsidRPr="00524435" w:rsidRDefault="00842401" w:rsidP="00C33359">
            <w:pPr>
              <w:pStyle w:val="Body"/>
              <w:jc w:val="both"/>
              <w:rPr>
                <w:rFonts w:ascii="Cambria" w:hAnsi="Cambria"/>
              </w:rPr>
            </w:pPr>
            <w:r w:rsidRPr="00524435">
              <w:rPr>
                <w:rStyle w:val="None"/>
                <w:rFonts w:ascii="Cambria" w:hAnsi="Cambria"/>
                <w:bCs/>
                <w:sz w:val="20"/>
              </w:rPr>
              <w:t>15</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0A58FF1" w14:textId="77777777" w:rsidR="00842401" w:rsidRPr="00524435" w:rsidRDefault="00842401" w:rsidP="00C33359">
            <w:pPr>
              <w:pStyle w:val="Body"/>
              <w:rPr>
                <w:rFonts w:ascii="Cambria" w:hAnsi="Cambria"/>
              </w:rPr>
            </w:pPr>
            <w:r w:rsidRPr="00524435">
              <w:rPr>
                <w:rStyle w:val="None"/>
                <w:rFonts w:ascii="Cambria" w:hAnsi="Cambria"/>
                <w:sz w:val="20"/>
              </w:rPr>
              <w:t>1127-19</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3A8FBDE2" w14:textId="77777777" w:rsidR="00842401" w:rsidRPr="00E42B49" w:rsidRDefault="00842401" w:rsidP="00C33359">
            <w:pPr>
              <w:pStyle w:val="Body"/>
              <w:jc w:val="both"/>
              <w:rPr>
                <w:rFonts w:ascii="Cambria" w:hAnsi="Cambria"/>
                <w:lang w:val="es-US"/>
              </w:rPr>
            </w:pPr>
            <w:r w:rsidRPr="00E42B49">
              <w:rPr>
                <w:rStyle w:val="None"/>
                <w:rFonts w:ascii="Cambria" w:hAnsi="Cambria"/>
                <w:sz w:val="20"/>
                <w:lang w:val="es-US"/>
              </w:rPr>
              <w:t>Nadia Alejandra Cruz Tarifa and Nelson Marcelo Cox Mayorga</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37745CD2"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Bolivia </w:t>
            </w:r>
          </w:p>
        </w:tc>
      </w:tr>
      <w:tr w:rsidR="00842401" w:rsidRPr="00524435" w14:paraId="1CB4075D" w14:textId="77777777" w:rsidTr="00C33359">
        <w:trPr>
          <w:trHeight w:val="73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2374D71D" w14:textId="77777777" w:rsidR="00842401" w:rsidRPr="00524435" w:rsidRDefault="00842401" w:rsidP="00C33359">
            <w:pPr>
              <w:pStyle w:val="Body"/>
              <w:jc w:val="both"/>
              <w:rPr>
                <w:rFonts w:ascii="Cambria" w:hAnsi="Cambria"/>
              </w:rPr>
            </w:pPr>
            <w:r w:rsidRPr="00524435">
              <w:rPr>
                <w:rStyle w:val="None"/>
                <w:rFonts w:ascii="Cambria" w:hAnsi="Cambria"/>
                <w:bCs/>
                <w:sz w:val="20"/>
              </w:rPr>
              <w:lastRenderedPageBreak/>
              <w:t>16</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546D2D27" w14:textId="77777777" w:rsidR="00842401" w:rsidRPr="00524435" w:rsidRDefault="00842401" w:rsidP="00C33359">
            <w:pPr>
              <w:pStyle w:val="Body"/>
              <w:rPr>
                <w:rFonts w:ascii="Cambria" w:hAnsi="Cambria"/>
              </w:rPr>
            </w:pPr>
            <w:r w:rsidRPr="00524435">
              <w:rPr>
                <w:rStyle w:val="None"/>
                <w:rFonts w:ascii="Cambria" w:hAnsi="Cambria"/>
                <w:sz w:val="20"/>
              </w:rPr>
              <w:t>776-20</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7B6A2527"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Members of the Native Community of Santa Clara de </w:t>
            </w:r>
            <w:proofErr w:type="spellStart"/>
            <w:r w:rsidRPr="00524435">
              <w:rPr>
                <w:rStyle w:val="None"/>
                <w:rFonts w:ascii="Cambria" w:hAnsi="Cambria"/>
                <w:sz w:val="20"/>
              </w:rPr>
              <w:t>Uchunya</w:t>
            </w:r>
            <w:proofErr w:type="spellEnd"/>
            <w:r w:rsidRPr="00524435">
              <w:rPr>
                <w:rStyle w:val="None"/>
                <w:rFonts w:ascii="Cambria" w:hAnsi="Cambria"/>
                <w:sz w:val="20"/>
              </w:rPr>
              <w:t xml:space="preserve"> and another</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2205044" w14:textId="77777777" w:rsidR="00842401" w:rsidRPr="00524435" w:rsidRDefault="00842401" w:rsidP="00C33359">
            <w:pPr>
              <w:pStyle w:val="Body"/>
              <w:jc w:val="both"/>
              <w:rPr>
                <w:rFonts w:ascii="Cambria" w:hAnsi="Cambria"/>
              </w:rPr>
            </w:pPr>
            <w:r w:rsidRPr="00524435">
              <w:rPr>
                <w:rStyle w:val="None"/>
                <w:rFonts w:ascii="Cambria" w:hAnsi="Cambria"/>
                <w:sz w:val="20"/>
              </w:rPr>
              <w:t>Peru</w:t>
            </w:r>
          </w:p>
        </w:tc>
      </w:tr>
      <w:tr w:rsidR="00842401" w:rsidRPr="00524435" w14:paraId="22CDB3A4" w14:textId="77777777" w:rsidTr="00C33359">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18B3947" w14:textId="77777777" w:rsidR="00842401" w:rsidRPr="00524435" w:rsidRDefault="00842401" w:rsidP="00C33359">
            <w:pPr>
              <w:pStyle w:val="Body"/>
              <w:jc w:val="both"/>
              <w:rPr>
                <w:rFonts w:ascii="Cambria" w:hAnsi="Cambria"/>
              </w:rPr>
            </w:pPr>
            <w:r w:rsidRPr="00524435">
              <w:rPr>
                <w:rStyle w:val="None"/>
                <w:rFonts w:ascii="Cambria" w:hAnsi="Cambria"/>
                <w:bCs/>
                <w:sz w:val="20"/>
              </w:rPr>
              <w:t>17</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5211F01" w14:textId="77777777" w:rsidR="00842401" w:rsidRPr="00524435" w:rsidRDefault="00842401" w:rsidP="00C33359">
            <w:pPr>
              <w:pStyle w:val="Body"/>
              <w:rPr>
                <w:rFonts w:ascii="Cambria" w:hAnsi="Cambria"/>
              </w:rPr>
            </w:pPr>
            <w:r w:rsidRPr="00524435">
              <w:rPr>
                <w:rStyle w:val="None"/>
                <w:rFonts w:ascii="Cambria" w:hAnsi="Cambria"/>
                <w:sz w:val="20"/>
              </w:rPr>
              <w:t>1581-18</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32AF2468"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Jorge David </w:t>
            </w:r>
            <w:proofErr w:type="spellStart"/>
            <w:r w:rsidRPr="00524435">
              <w:rPr>
                <w:rStyle w:val="None"/>
                <w:rFonts w:ascii="Cambria" w:hAnsi="Cambria"/>
                <w:sz w:val="20"/>
              </w:rPr>
              <w:t>Glas</w:t>
            </w:r>
            <w:proofErr w:type="spellEnd"/>
            <w:r w:rsidRPr="00524435">
              <w:rPr>
                <w:rStyle w:val="None"/>
                <w:rFonts w:ascii="Cambria" w:hAnsi="Cambria"/>
                <w:sz w:val="20"/>
              </w:rPr>
              <w:t xml:space="preserve"> </w:t>
            </w:r>
            <w:proofErr w:type="spellStart"/>
            <w:r w:rsidRPr="00524435">
              <w:rPr>
                <w:rStyle w:val="None"/>
                <w:rFonts w:ascii="Cambria" w:hAnsi="Cambria"/>
                <w:sz w:val="20"/>
              </w:rPr>
              <w:t>Espinel</w:t>
            </w:r>
            <w:proofErr w:type="spellEnd"/>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041488B8"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Ecuador </w:t>
            </w:r>
          </w:p>
        </w:tc>
      </w:tr>
      <w:tr w:rsidR="00842401" w:rsidRPr="00524435" w14:paraId="41BA537E" w14:textId="77777777" w:rsidTr="00C33359">
        <w:trPr>
          <w:trHeight w:val="420"/>
        </w:trPr>
        <w:tc>
          <w:tcPr>
            <w:tcW w:w="9265" w:type="dxa"/>
            <w:gridSpan w:val="4"/>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8716847" w14:textId="77777777" w:rsidR="00842401" w:rsidRPr="00524435" w:rsidRDefault="00842401" w:rsidP="00C33359">
            <w:pPr>
              <w:pStyle w:val="Body"/>
              <w:jc w:val="center"/>
              <w:rPr>
                <w:rStyle w:val="None"/>
                <w:rFonts w:ascii="Cambria" w:hAnsi="Cambria"/>
                <w:b/>
                <w:bCs/>
                <w:sz w:val="20"/>
              </w:rPr>
            </w:pPr>
            <w:r w:rsidRPr="00524435">
              <w:rPr>
                <w:rStyle w:val="None"/>
                <w:rFonts w:ascii="Cambria" w:hAnsi="Cambria"/>
                <w:bCs/>
                <w:color w:val="000000" w:themeColor="text1"/>
                <w:sz w:val="20"/>
              </w:rPr>
              <w:t>Public hearings</w:t>
            </w:r>
          </w:p>
        </w:tc>
      </w:tr>
      <w:tr w:rsidR="00842401" w:rsidRPr="00524435" w14:paraId="49F3BDAC" w14:textId="77777777" w:rsidTr="00C33359">
        <w:trPr>
          <w:trHeight w:val="73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2421F19A" w14:textId="77777777" w:rsidR="00842401" w:rsidRPr="00524435" w:rsidRDefault="00842401" w:rsidP="00C33359">
            <w:pPr>
              <w:pStyle w:val="Body"/>
              <w:jc w:val="both"/>
              <w:rPr>
                <w:rFonts w:ascii="Cambria" w:hAnsi="Cambria"/>
              </w:rPr>
            </w:pPr>
            <w:r w:rsidRPr="00524435">
              <w:rPr>
                <w:rStyle w:val="None"/>
                <w:rFonts w:ascii="Cambria" w:hAnsi="Cambria"/>
                <w:bCs/>
                <w:sz w:val="20"/>
              </w:rPr>
              <w:t>1</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53E58D8" w14:textId="77777777" w:rsidR="00842401" w:rsidRPr="00524435" w:rsidRDefault="00842401" w:rsidP="00C33359">
            <w:pPr>
              <w:pStyle w:val="Body"/>
              <w:rPr>
                <w:rFonts w:ascii="Cambria" w:hAnsi="Cambria"/>
              </w:rPr>
            </w:pPr>
            <w:r w:rsidRPr="00524435">
              <w:rPr>
                <w:rStyle w:val="None"/>
                <w:rFonts w:ascii="Cambria" w:hAnsi="Cambria"/>
                <w:sz w:val="20"/>
              </w:rPr>
              <w:t>51-15</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03E31D48"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Older members of the </w:t>
            </w:r>
            <w:proofErr w:type="spellStart"/>
            <w:r w:rsidRPr="00524435">
              <w:rPr>
                <w:rStyle w:val="None"/>
                <w:rFonts w:ascii="Cambria" w:hAnsi="Cambria"/>
                <w:sz w:val="20"/>
              </w:rPr>
              <w:t>Wayúu</w:t>
            </w:r>
            <w:proofErr w:type="spellEnd"/>
            <w:r w:rsidRPr="00524435">
              <w:rPr>
                <w:rStyle w:val="None"/>
                <w:rFonts w:ascii="Cambria" w:hAnsi="Cambria"/>
                <w:sz w:val="20"/>
              </w:rPr>
              <w:t xml:space="preserve"> communities of </w:t>
            </w:r>
            <w:proofErr w:type="spellStart"/>
            <w:r w:rsidRPr="00524435">
              <w:rPr>
                <w:rStyle w:val="None"/>
                <w:rFonts w:ascii="Cambria" w:hAnsi="Cambria"/>
                <w:sz w:val="20"/>
              </w:rPr>
              <w:t>Uribía</w:t>
            </w:r>
            <w:proofErr w:type="spellEnd"/>
            <w:r w:rsidRPr="00524435">
              <w:rPr>
                <w:rStyle w:val="None"/>
                <w:rFonts w:ascii="Cambria" w:hAnsi="Cambria"/>
                <w:sz w:val="20"/>
              </w:rPr>
              <w:t xml:space="preserve">, </w:t>
            </w:r>
            <w:proofErr w:type="spellStart"/>
            <w:r w:rsidRPr="00524435">
              <w:rPr>
                <w:rStyle w:val="None"/>
                <w:rFonts w:ascii="Cambria" w:hAnsi="Cambria"/>
                <w:sz w:val="20"/>
              </w:rPr>
              <w:t>Manaure</w:t>
            </w:r>
            <w:proofErr w:type="spellEnd"/>
            <w:r w:rsidRPr="00524435">
              <w:rPr>
                <w:rStyle w:val="None"/>
                <w:rFonts w:ascii="Cambria" w:hAnsi="Cambria"/>
                <w:sz w:val="20"/>
              </w:rPr>
              <w:t xml:space="preserve">, and </w:t>
            </w:r>
            <w:proofErr w:type="spellStart"/>
            <w:r w:rsidRPr="00524435">
              <w:rPr>
                <w:rStyle w:val="None"/>
                <w:rFonts w:ascii="Cambria" w:hAnsi="Cambria"/>
                <w:sz w:val="20"/>
              </w:rPr>
              <w:t>Riohacha</w:t>
            </w:r>
            <w:proofErr w:type="spellEnd"/>
            <w:r w:rsidRPr="00524435">
              <w:rPr>
                <w:rStyle w:val="None"/>
                <w:rFonts w:ascii="Cambria" w:hAnsi="Cambria"/>
                <w:sz w:val="20"/>
              </w:rPr>
              <w:t xml:space="preserve"> </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AE6F938"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Colombia </w:t>
            </w:r>
          </w:p>
        </w:tc>
      </w:tr>
      <w:tr w:rsidR="00842401" w:rsidRPr="00524435" w14:paraId="5EA2C8AD" w14:textId="77777777" w:rsidTr="00C33359">
        <w:trPr>
          <w:trHeight w:val="490"/>
        </w:trPr>
        <w:tc>
          <w:tcPr>
            <w:tcW w:w="625" w:type="dxa"/>
            <w:vMerge w:val="restart"/>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26C051A4" w14:textId="77777777" w:rsidR="00842401" w:rsidRPr="00524435" w:rsidRDefault="00842401" w:rsidP="00C33359">
            <w:pPr>
              <w:pStyle w:val="Body"/>
              <w:jc w:val="center"/>
              <w:rPr>
                <w:rStyle w:val="None"/>
                <w:rFonts w:ascii="Cambria" w:hAnsi="Cambria"/>
                <w:b/>
                <w:bCs/>
                <w:sz w:val="20"/>
              </w:rPr>
            </w:pPr>
          </w:p>
          <w:p w14:paraId="3B08D878" w14:textId="77777777" w:rsidR="00842401" w:rsidRPr="00524435" w:rsidRDefault="00842401" w:rsidP="00C33359">
            <w:pPr>
              <w:pStyle w:val="Body"/>
              <w:jc w:val="center"/>
              <w:rPr>
                <w:rStyle w:val="None"/>
                <w:rFonts w:ascii="Cambria" w:hAnsi="Cambria"/>
                <w:b/>
                <w:bCs/>
                <w:sz w:val="20"/>
              </w:rPr>
            </w:pPr>
          </w:p>
          <w:p w14:paraId="5D654FE7" w14:textId="77777777" w:rsidR="00842401" w:rsidRPr="00524435" w:rsidRDefault="00842401" w:rsidP="00C33359">
            <w:pPr>
              <w:pStyle w:val="Body"/>
              <w:jc w:val="center"/>
              <w:rPr>
                <w:rStyle w:val="None"/>
                <w:rFonts w:ascii="Cambria" w:hAnsi="Cambria"/>
                <w:b/>
                <w:bCs/>
                <w:sz w:val="20"/>
              </w:rPr>
            </w:pPr>
          </w:p>
          <w:p w14:paraId="12B748BB" w14:textId="77777777" w:rsidR="00842401" w:rsidRPr="00524435" w:rsidRDefault="00842401" w:rsidP="00C33359">
            <w:pPr>
              <w:pStyle w:val="Body"/>
              <w:rPr>
                <w:rStyle w:val="None"/>
                <w:rFonts w:ascii="Cambria" w:hAnsi="Cambria"/>
                <w:b/>
                <w:bCs/>
                <w:sz w:val="20"/>
              </w:rPr>
            </w:pPr>
            <w:r w:rsidRPr="00524435">
              <w:rPr>
                <w:rStyle w:val="None"/>
                <w:rFonts w:ascii="Cambria" w:hAnsi="Cambria"/>
                <w:bCs/>
                <w:sz w:val="20"/>
              </w:rPr>
              <w:t>2</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C6DF26C" w14:textId="77777777" w:rsidR="00842401" w:rsidRPr="00524435" w:rsidRDefault="00842401" w:rsidP="00C33359">
            <w:pPr>
              <w:pStyle w:val="Body"/>
              <w:rPr>
                <w:rFonts w:ascii="Cambria" w:hAnsi="Cambria"/>
              </w:rPr>
            </w:pPr>
            <w:r w:rsidRPr="00524435">
              <w:rPr>
                <w:rStyle w:val="None"/>
                <w:rFonts w:ascii="Cambria" w:hAnsi="Cambria"/>
                <w:sz w:val="20"/>
              </w:rPr>
              <w:t>563-20</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0F9CD76"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Members of the indigenous Yanomami and </w:t>
            </w:r>
            <w:proofErr w:type="spellStart"/>
            <w:r w:rsidRPr="00524435">
              <w:rPr>
                <w:rStyle w:val="None"/>
                <w:rFonts w:ascii="Cambria" w:hAnsi="Cambria"/>
                <w:sz w:val="20"/>
              </w:rPr>
              <w:t>Ye'kwana</w:t>
            </w:r>
            <w:proofErr w:type="spellEnd"/>
            <w:r w:rsidRPr="00524435">
              <w:rPr>
                <w:rStyle w:val="None"/>
                <w:rFonts w:ascii="Cambria" w:hAnsi="Cambria"/>
                <w:sz w:val="20"/>
              </w:rPr>
              <w:t xml:space="preserve"> Peoples</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A4BF27F" w14:textId="77777777" w:rsidR="00842401" w:rsidRPr="00524435" w:rsidRDefault="00842401" w:rsidP="00C33359">
            <w:pPr>
              <w:pStyle w:val="Body"/>
              <w:jc w:val="both"/>
              <w:rPr>
                <w:rFonts w:ascii="Cambria" w:hAnsi="Cambria"/>
              </w:rPr>
            </w:pPr>
            <w:r w:rsidRPr="00524435">
              <w:rPr>
                <w:rStyle w:val="None"/>
                <w:rFonts w:ascii="Cambria" w:hAnsi="Cambria"/>
                <w:sz w:val="20"/>
              </w:rPr>
              <w:t>Brazil</w:t>
            </w:r>
          </w:p>
        </w:tc>
      </w:tr>
      <w:tr w:rsidR="00842401" w:rsidRPr="00524435" w14:paraId="3436E391" w14:textId="77777777" w:rsidTr="00C33359">
        <w:trPr>
          <w:trHeight w:val="490"/>
        </w:trPr>
        <w:tc>
          <w:tcPr>
            <w:tcW w:w="625" w:type="dxa"/>
            <w:vMerge/>
            <w:tcBorders>
              <w:left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25F98D2F" w14:textId="77777777" w:rsidR="00842401" w:rsidRPr="00524435" w:rsidRDefault="00842401" w:rsidP="00C33359">
            <w:pPr>
              <w:pStyle w:val="Body"/>
              <w:jc w:val="both"/>
              <w:rPr>
                <w:rFonts w:ascii="Cambria" w:hAnsi="Cambria"/>
              </w:rPr>
            </w:pPr>
            <w:r w:rsidRPr="00524435">
              <w:rPr>
                <w:rStyle w:val="None"/>
                <w:rFonts w:ascii="Cambria" w:hAnsi="Cambria"/>
                <w:bCs/>
                <w:sz w:val="20"/>
              </w:rPr>
              <w:t>20</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71AA12F9" w14:textId="77777777" w:rsidR="00842401" w:rsidRPr="00524435" w:rsidRDefault="00842401" w:rsidP="00C33359">
            <w:pPr>
              <w:pStyle w:val="Body"/>
              <w:rPr>
                <w:rFonts w:ascii="Cambria" w:hAnsi="Cambria"/>
              </w:rPr>
            </w:pPr>
            <w:r w:rsidRPr="00524435">
              <w:rPr>
                <w:rStyle w:val="None"/>
                <w:rFonts w:ascii="Cambria" w:hAnsi="Cambria"/>
                <w:sz w:val="20"/>
              </w:rPr>
              <w:t>754-20</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24A6BE90"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Members of the indigenous Guajajara and </w:t>
            </w:r>
            <w:proofErr w:type="spellStart"/>
            <w:r w:rsidRPr="00524435">
              <w:rPr>
                <w:rStyle w:val="None"/>
                <w:rFonts w:ascii="Cambria" w:hAnsi="Cambria"/>
                <w:sz w:val="20"/>
              </w:rPr>
              <w:t>Awá</w:t>
            </w:r>
            <w:proofErr w:type="spellEnd"/>
            <w:r w:rsidRPr="00524435">
              <w:rPr>
                <w:rStyle w:val="None"/>
                <w:rFonts w:ascii="Cambria" w:hAnsi="Cambria"/>
                <w:sz w:val="20"/>
              </w:rPr>
              <w:t xml:space="preserve"> Peoples of the </w:t>
            </w:r>
            <w:proofErr w:type="spellStart"/>
            <w:r w:rsidRPr="00524435">
              <w:rPr>
                <w:rStyle w:val="None"/>
                <w:rFonts w:ascii="Cambria" w:hAnsi="Cambria"/>
                <w:sz w:val="20"/>
              </w:rPr>
              <w:t>Araribóia</w:t>
            </w:r>
            <w:proofErr w:type="spellEnd"/>
            <w:r w:rsidRPr="00524435">
              <w:rPr>
                <w:rStyle w:val="None"/>
                <w:rFonts w:ascii="Cambria" w:hAnsi="Cambria"/>
                <w:sz w:val="20"/>
              </w:rPr>
              <w:t xml:space="preserve"> Indigenous Territory</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2BE96791"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Brazil </w:t>
            </w:r>
          </w:p>
        </w:tc>
      </w:tr>
      <w:tr w:rsidR="00842401" w:rsidRPr="00524435" w14:paraId="4AA6D5FA" w14:textId="77777777" w:rsidTr="00C33359">
        <w:trPr>
          <w:trHeight w:val="490"/>
        </w:trPr>
        <w:tc>
          <w:tcPr>
            <w:tcW w:w="625" w:type="dxa"/>
            <w:vMerge/>
            <w:tcBorders>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38C50CDD" w14:textId="77777777" w:rsidR="00842401" w:rsidRPr="00524435" w:rsidRDefault="00842401" w:rsidP="00C33359">
            <w:pPr>
              <w:pStyle w:val="Body"/>
              <w:jc w:val="both"/>
              <w:rPr>
                <w:rFonts w:ascii="Cambria" w:hAnsi="Cambria"/>
              </w:rPr>
            </w:pPr>
            <w:r w:rsidRPr="00524435">
              <w:rPr>
                <w:rStyle w:val="None"/>
                <w:rFonts w:ascii="Cambria" w:hAnsi="Cambria"/>
                <w:bCs/>
                <w:sz w:val="20"/>
              </w:rPr>
              <w:t xml:space="preserve">21 </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7A8B564B" w14:textId="77777777" w:rsidR="00842401" w:rsidRPr="00524435" w:rsidRDefault="00842401" w:rsidP="00C33359">
            <w:pPr>
              <w:pStyle w:val="Body"/>
              <w:rPr>
                <w:rFonts w:ascii="Cambria" w:hAnsi="Cambria"/>
              </w:rPr>
            </w:pPr>
            <w:r w:rsidRPr="00524435">
              <w:rPr>
                <w:rStyle w:val="None"/>
                <w:rFonts w:ascii="Cambria" w:hAnsi="Cambria"/>
                <w:sz w:val="20"/>
              </w:rPr>
              <w:t>679-20</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E7A7D8C"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Indigenous </w:t>
            </w:r>
            <w:proofErr w:type="spellStart"/>
            <w:r w:rsidRPr="00524435">
              <w:rPr>
                <w:rStyle w:val="None"/>
                <w:rFonts w:ascii="Cambria" w:hAnsi="Cambria"/>
                <w:sz w:val="20"/>
              </w:rPr>
              <w:t>Munduruku</w:t>
            </w:r>
            <w:proofErr w:type="spellEnd"/>
            <w:r w:rsidRPr="00524435">
              <w:rPr>
                <w:rStyle w:val="None"/>
                <w:rFonts w:ascii="Cambria" w:hAnsi="Cambria"/>
                <w:sz w:val="20"/>
              </w:rPr>
              <w:t xml:space="preserve"> People</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C2F38E7"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Brazil </w:t>
            </w:r>
          </w:p>
        </w:tc>
      </w:tr>
    </w:tbl>
    <w:p w14:paraId="7D6BAC69" w14:textId="77777777" w:rsidR="00842401" w:rsidRPr="00524435" w:rsidRDefault="00842401" w:rsidP="00842401">
      <w:pPr>
        <w:pStyle w:val="Body"/>
        <w:widowControl w:val="0"/>
        <w:jc w:val="both"/>
        <w:rPr>
          <w:rStyle w:val="None"/>
          <w:rFonts w:ascii="Cambria" w:eastAsia="Cambria" w:hAnsi="Cambria" w:cs="Cambria"/>
          <w:sz w:val="20"/>
        </w:rPr>
      </w:pPr>
    </w:p>
    <w:p w14:paraId="26C23B1F" w14:textId="77777777" w:rsidR="00842401" w:rsidRPr="00524435" w:rsidRDefault="00842401" w:rsidP="00842401">
      <w:pPr>
        <w:pStyle w:val="Body"/>
        <w:jc w:val="both"/>
        <w:rPr>
          <w:rStyle w:val="None"/>
          <w:rFonts w:ascii="Cambria" w:eastAsia="Cambria" w:hAnsi="Cambria" w:cs="Cambria"/>
          <w:sz w:val="20"/>
        </w:rPr>
      </w:pPr>
    </w:p>
    <w:tbl>
      <w:tblPr>
        <w:tblW w:w="9355"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DD4E9"/>
        <w:tblLayout w:type="fixed"/>
        <w:tblLook w:val="04A0" w:firstRow="1" w:lastRow="0" w:firstColumn="1" w:lastColumn="0" w:noHBand="0" w:noVBand="1"/>
      </w:tblPr>
      <w:tblGrid>
        <w:gridCol w:w="625"/>
        <w:gridCol w:w="1530"/>
        <w:gridCol w:w="5220"/>
        <w:gridCol w:w="1980"/>
      </w:tblGrid>
      <w:tr w:rsidR="00842401" w:rsidRPr="00524435" w14:paraId="5F80CDB5" w14:textId="77777777" w:rsidTr="00C33359">
        <w:trPr>
          <w:trHeight w:val="450"/>
        </w:trPr>
        <w:tc>
          <w:tcPr>
            <w:tcW w:w="9355" w:type="dxa"/>
            <w:gridSpan w:val="4"/>
            <w:tcBorders>
              <w:top w:val="single" w:sz="4" w:space="0" w:color="4472C4" w:themeColor="accent5"/>
              <w:left w:val="single" w:sz="4" w:space="0" w:color="4472C4" w:themeColor="accent5"/>
              <w:bottom w:val="single" w:sz="4" w:space="0" w:color="8EAADB" w:themeColor="accent5" w:themeTint="99"/>
              <w:right w:val="single" w:sz="4" w:space="0" w:color="4472C4" w:themeColor="accent5"/>
            </w:tcBorders>
            <w:shd w:val="clear" w:color="auto" w:fill="4472C4" w:themeFill="accent5"/>
            <w:tcMar>
              <w:top w:w="80" w:type="dxa"/>
              <w:left w:w="80" w:type="dxa"/>
              <w:bottom w:w="80" w:type="dxa"/>
              <w:right w:w="80" w:type="dxa"/>
            </w:tcMar>
            <w:vAlign w:val="center"/>
          </w:tcPr>
          <w:p w14:paraId="0462DB39" w14:textId="77777777" w:rsidR="00842401" w:rsidRPr="00524435" w:rsidRDefault="00842401" w:rsidP="00C33359">
            <w:pPr>
              <w:pStyle w:val="Body"/>
              <w:jc w:val="center"/>
              <w:rPr>
                <w:rFonts w:ascii="Cambria" w:hAnsi="Cambria"/>
                <w:b/>
              </w:rPr>
            </w:pPr>
            <w:r w:rsidRPr="00524435">
              <w:rPr>
                <w:rStyle w:val="None"/>
                <w:rFonts w:ascii="Cambria" w:hAnsi="Cambria"/>
                <w:b/>
                <w:color w:val="FFFFFF"/>
                <w:sz w:val="20"/>
                <w:u w:color="FFFFFF"/>
              </w:rPr>
              <w:t>181st period of sessions – October 18-29, 2021</w:t>
            </w:r>
          </w:p>
        </w:tc>
      </w:tr>
      <w:tr w:rsidR="00842401" w:rsidRPr="00524435" w14:paraId="6E6F3F02" w14:textId="77777777" w:rsidTr="00C33359">
        <w:trPr>
          <w:trHeight w:val="440"/>
        </w:trPr>
        <w:tc>
          <w:tcPr>
            <w:tcW w:w="9355" w:type="dxa"/>
            <w:gridSpan w:val="4"/>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6B6074D7" w14:textId="77777777" w:rsidR="00842401" w:rsidRPr="00524435" w:rsidRDefault="00842401" w:rsidP="00C33359">
            <w:pPr>
              <w:pStyle w:val="Body"/>
              <w:jc w:val="center"/>
              <w:rPr>
                <w:rStyle w:val="None"/>
                <w:rFonts w:ascii="Cambria" w:hAnsi="Cambria"/>
                <w:b/>
                <w:bCs/>
                <w:sz w:val="20"/>
              </w:rPr>
            </w:pPr>
            <w:r w:rsidRPr="00524435">
              <w:rPr>
                <w:rStyle w:val="None"/>
                <w:rFonts w:ascii="Cambria" w:hAnsi="Cambria"/>
                <w:bCs/>
                <w:color w:val="000000" w:themeColor="text1"/>
                <w:sz w:val="20"/>
              </w:rPr>
              <w:t>Working meetings</w:t>
            </w:r>
          </w:p>
        </w:tc>
      </w:tr>
      <w:tr w:rsidR="00842401" w:rsidRPr="00524435" w14:paraId="1E0C8DEE" w14:textId="77777777" w:rsidTr="00C33359">
        <w:trPr>
          <w:trHeight w:val="44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CD126F0" w14:textId="77777777" w:rsidR="00842401" w:rsidRPr="00524435" w:rsidRDefault="00842401" w:rsidP="00C33359">
            <w:pPr>
              <w:pStyle w:val="Body"/>
              <w:jc w:val="center"/>
              <w:rPr>
                <w:rFonts w:ascii="Cambria" w:hAnsi="Cambria"/>
              </w:rPr>
            </w:pPr>
            <w:r w:rsidRPr="00524435">
              <w:rPr>
                <w:rStyle w:val="None"/>
                <w:rFonts w:ascii="Cambria" w:hAnsi="Cambria"/>
                <w:bCs/>
                <w:sz w:val="20"/>
              </w:rPr>
              <w:t>No</w:t>
            </w:r>
          </w:p>
        </w:tc>
        <w:tc>
          <w:tcPr>
            <w:tcW w:w="153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ECF9EBA" w14:textId="77777777" w:rsidR="00842401" w:rsidRPr="00524435" w:rsidRDefault="00842401" w:rsidP="00C33359">
            <w:pPr>
              <w:pStyle w:val="Body"/>
              <w:jc w:val="center"/>
              <w:rPr>
                <w:rFonts w:ascii="Cambria" w:hAnsi="Cambria"/>
              </w:rPr>
            </w:pPr>
            <w:r w:rsidRPr="00524435">
              <w:rPr>
                <w:rStyle w:val="None"/>
                <w:rFonts w:ascii="Cambria" w:hAnsi="Cambria"/>
                <w:bCs/>
                <w:sz w:val="20"/>
              </w:rPr>
              <w:t>MC</w:t>
            </w:r>
          </w:p>
        </w:tc>
        <w:tc>
          <w:tcPr>
            <w:tcW w:w="52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E0921BC" w14:textId="77777777" w:rsidR="00842401" w:rsidRPr="00524435" w:rsidRDefault="00842401" w:rsidP="00C33359">
            <w:pPr>
              <w:pStyle w:val="Body"/>
              <w:jc w:val="center"/>
              <w:rPr>
                <w:rFonts w:ascii="Cambria" w:hAnsi="Cambria"/>
              </w:rPr>
            </w:pPr>
            <w:r w:rsidRPr="00524435">
              <w:rPr>
                <w:rStyle w:val="None"/>
                <w:rFonts w:ascii="Cambria" w:hAnsi="Cambria"/>
                <w:bCs/>
                <w:sz w:val="20"/>
              </w:rPr>
              <w:t>Beneficiaries</w:t>
            </w:r>
          </w:p>
        </w:tc>
        <w:tc>
          <w:tcPr>
            <w:tcW w:w="19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7F5FECCE" w14:textId="77777777" w:rsidR="00842401" w:rsidRPr="00524435" w:rsidRDefault="00842401" w:rsidP="00C33359">
            <w:pPr>
              <w:pStyle w:val="Body"/>
              <w:jc w:val="center"/>
              <w:rPr>
                <w:rFonts w:ascii="Cambria" w:hAnsi="Cambria"/>
              </w:rPr>
            </w:pPr>
            <w:r w:rsidRPr="00524435">
              <w:rPr>
                <w:rStyle w:val="None"/>
                <w:rFonts w:ascii="Cambria" w:hAnsi="Cambria"/>
                <w:bCs/>
                <w:sz w:val="20"/>
              </w:rPr>
              <w:t>State</w:t>
            </w:r>
          </w:p>
        </w:tc>
      </w:tr>
      <w:tr w:rsidR="00842401" w:rsidRPr="00524435" w14:paraId="5DC718A2" w14:textId="77777777" w:rsidTr="00C33359">
        <w:trPr>
          <w:trHeight w:val="73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62AD96EF" w14:textId="77777777" w:rsidR="00842401" w:rsidRPr="00524435" w:rsidRDefault="00842401" w:rsidP="00C33359">
            <w:pPr>
              <w:pStyle w:val="Body"/>
              <w:jc w:val="both"/>
              <w:rPr>
                <w:rStyle w:val="None"/>
                <w:rFonts w:ascii="Cambria" w:hAnsi="Cambria"/>
                <w:b/>
                <w:bCs/>
                <w:sz w:val="20"/>
              </w:rPr>
            </w:pPr>
            <w:r w:rsidRPr="00524435">
              <w:rPr>
                <w:rStyle w:val="None"/>
                <w:rFonts w:ascii="Cambria" w:hAnsi="Cambria"/>
                <w:bCs/>
                <w:sz w:val="20"/>
              </w:rPr>
              <w:t>18</w:t>
            </w:r>
          </w:p>
        </w:tc>
        <w:tc>
          <w:tcPr>
            <w:tcW w:w="153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388446DC" w14:textId="77777777" w:rsidR="00842401" w:rsidRPr="00524435" w:rsidRDefault="00842401" w:rsidP="00C33359">
            <w:pPr>
              <w:pStyle w:val="Body"/>
              <w:rPr>
                <w:rFonts w:ascii="Cambria" w:hAnsi="Cambria"/>
              </w:rPr>
            </w:pPr>
            <w:r w:rsidRPr="00524435">
              <w:rPr>
                <w:rStyle w:val="None"/>
                <w:rFonts w:ascii="Cambria" w:hAnsi="Cambria"/>
                <w:sz w:val="20"/>
              </w:rPr>
              <w:t>204-17</w:t>
            </w:r>
          </w:p>
        </w:tc>
        <w:tc>
          <w:tcPr>
            <w:tcW w:w="52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59F3F50"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Jani Silva, Hugo Miramar, and </w:t>
            </w:r>
            <w:proofErr w:type="spellStart"/>
            <w:r w:rsidRPr="00524435">
              <w:rPr>
                <w:rStyle w:val="None"/>
                <w:rFonts w:ascii="Cambria" w:hAnsi="Cambria"/>
                <w:sz w:val="20"/>
              </w:rPr>
              <w:t>Saúl</w:t>
            </w:r>
            <w:proofErr w:type="spellEnd"/>
            <w:r w:rsidRPr="00524435">
              <w:rPr>
                <w:rStyle w:val="None"/>
                <w:rFonts w:ascii="Cambria" w:hAnsi="Cambria"/>
                <w:sz w:val="20"/>
              </w:rPr>
              <w:t xml:space="preserve"> Luna (Leaders of the Perla </w:t>
            </w:r>
            <w:proofErr w:type="spellStart"/>
            <w:r w:rsidRPr="00524435">
              <w:rPr>
                <w:rStyle w:val="None"/>
                <w:rFonts w:ascii="Cambria" w:hAnsi="Cambria"/>
                <w:sz w:val="20"/>
              </w:rPr>
              <w:t>Amazónica</w:t>
            </w:r>
            <w:proofErr w:type="spellEnd"/>
            <w:r w:rsidRPr="00524435">
              <w:rPr>
                <w:rStyle w:val="None"/>
                <w:rFonts w:ascii="Cambria" w:hAnsi="Cambria"/>
                <w:sz w:val="20"/>
              </w:rPr>
              <w:t xml:space="preserve"> Campesino Reserve Area)</w:t>
            </w:r>
          </w:p>
        </w:tc>
        <w:tc>
          <w:tcPr>
            <w:tcW w:w="19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094CAE4B" w14:textId="77777777" w:rsidR="00842401" w:rsidRPr="00524435" w:rsidRDefault="00842401" w:rsidP="00C33359">
            <w:pPr>
              <w:pStyle w:val="Body"/>
              <w:jc w:val="both"/>
              <w:rPr>
                <w:rFonts w:ascii="Cambria" w:hAnsi="Cambria"/>
              </w:rPr>
            </w:pPr>
            <w:r w:rsidRPr="00524435">
              <w:rPr>
                <w:rStyle w:val="None"/>
                <w:rFonts w:ascii="Cambria" w:hAnsi="Cambria"/>
                <w:sz w:val="20"/>
              </w:rPr>
              <w:t>Colombia</w:t>
            </w:r>
          </w:p>
        </w:tc>
      </w:tr>
      <w:tr w:rsidR="00842401" w:rsidRPr="00524435" w14:paraId="0ECF87F1" w14:textId="77777777" w:rsidTr="00C33359">
        <w:trPr>
          <w:trHeight w:val="73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A08F131" w14:textId="77777777" w:rsidR="00842401" w:rsidRPr="00524435" w:rsidRDefault="00842401" w:rsidP="00C33359">
            <w:pPr>
              <w:pStyle w:val="Body"/>
              <w:jc w:val="both"/>
              <w:rPr>
                <w:rStyle w:val="None"/>
                <w:rFonts w:ascii="Cambria" w:hAnsi="Cambria"/>
                <w:b/>
                <w:bCs/>
                <w:sz w:val="20"/>
              </w:rPr>
            </w:pPr>
            <w:r w:rsidRPr="00524435">
              <w:rPr>
                <w:rStyle w:val="None"/>
                <w:rFonts w:ascii="Cambria" w:hAnsi="Cambria"/>
                <w:bCs/>
                <w:sz w:val="20"/>
              </w:rPr>
              <w:t>19</w:t>
            </w:r>
          </w:p>
        </w:tc>
        <w:tc>
          <w:tcPr>
            <w:tcW w:w="153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0419C5B0" w14:textId="77777777" w:rsidR="00842401" w:rsidRPr="00524435" w:rsidRDefault="00842401" w:rsidP="00C33359">
            <w:pPr>
              <w:pStyle w:val="Body"/>
              <w:rPr>
                <w:rFonts w:ascii="Cambria" w:hAnsi="Cambria"/>
              </w:rPr>
            </w:pPr>
            <w:r w:rsidRPr="00524435">
              <w:rPr>
                <w:rStyle w:val="None"/>
                <w:rFonts w:ascii="Cambria" w:hAnsi="Cambria"/>
                <w:sz w:val="20"/>
              </w:rPr>
              <w:t>361-17</w:t>
            </w:r>
          </w:p>
        </w:tc>
        <w:tc>
          <w:tcPr>
            <w:tcW w:w="52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6BC19F17" w14:textId="77777777" w:rsidR="00842401" w:rsidRPr="00524435" w:rsidRDefault="00842401" w:rsidP="00C33359">
            <w:pPr>
              <w:pStyle w:val="Body"/>
              <w:jc w:val="both"/>
              <w:rPr>
                <w:rFonts w:ascii="Cambria" w:hAnsi="Cambria"/>
              </w:rPr>
            </w:pPr>
            <w:r w:rsidRPr="00524435">
              <w:rPr>
                <w:rStyle w:val="None"/>
                <w:rFonts w:ascii="Cambria" w:hAnsi="Cambria"/>
                <w:sz w:val="20"/>
              </w:rPr>
              <w:t>Displaced indigenous Tzotzil evicted from the Puebla ejido and members of the “</w:t>
            </w:r>
            <w:proofErr w:type="spellStart"/>
            <w:r w:rsidRPr="00524435">
              <w:rPr>
                <w:rStyle w:val="None"/>
                <w:rFonts w:ascii="Cambria" w:hAnsi="Cambria"/>
                <w:sz w:val="20"/>
              </w:rPr>
              <w:t>Ku'untik</w:t>
            </w:r>
            <w:proofErr w:type="spellEnd"/>
            <w:r w:rsidRPr="00524435">
              <w:rPr>
                <w:rStyle w:val="None"/>
                <w:rFonts w:ascii="Cambria" w:hAnsi="Cambria"/>
                <w:sz w:val="20"/>
              </w:rPr>
              <w:t xml:space="preserve"> Human Rights Center"</w:t>
            </w:r>
          </w:p>
        </w:tc>
        <w:tc>
          <w:tcPr>
            <w:tcW w:w="19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7E01315C" w14:textId="77777777" w:rsidR="00842401" w:rsidRPr="00524435" w:rsidRDefault="00842401" w:rsidP="00C33359">
            <w:pPr>
              <w:pStyle w:val="Body"/>
              <w:jc w:val="both"/>
              <w:rPr>
                <w:rFonts w:ascii="Cambria" w:hAnsi="Cambria"/>
              </w:rPr>
            </w:pPr>
            <w:r w:rsidRPr="00524435">
              <w:rPr>
                <w:rStyle w:val="None"/>
                <w:rFonts w:ascii="Cambria" w:hAnsi="Cambria"/>
                <w:sz w:val="20"/>
              </w:rPr>
              <w:t>Mexico</w:t>
            </w:r>
          </w:p>
        </w:tc>
      </w:tr>
      <w:tr w:rsidR="00842401" w:rsidRPr="00524435" w14:paraId="1F3D84D7" w14:textId="77777777" w:rsidTr="00C33359">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A9EE338" w14:textId="77777777" w:rsidR="00842401" w:rsidRPr="00524435" w:rsidRDefault="00842401" w:rsidP="00C33359">
            <w:pPr>
              <w:pStyle w:val="Body"/>
              <w:jc w:val="both"/>
              <w:rPr>
                <w:rFonts w:ascii="Cambria" w:hAnsi="Cambria"/>
              </w:rPr>
            </w:pPr>
            <w:r w:rsidRPr="00524435">
              <w:rPr>
                <w:rStyle w:val="None"/>
                <w:rFonts w:ascii="Cambria" w:hAnsi="Cambria"/>
                <w:bCs/>
                <w:sz w:val="20"/>
              </w:rPr>
              <w:t>20</w:t>
            </w:r>
          </w:p>
        </w:tc>
        <w:tc>
          <w:tcPr>
            <w:tcW w:w="153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C7FBDCD" w14:textId="77777777" w:rsidR="00842401" w:rsidRPr="00524435" w:rsidRDefault="00842401" w:rsidP="00C33359">
            <w:pPr>
              <w:pStyle w:val="Body"/>
              <w:rPr>
                <w:rFonts w:ascii="Cambria" w:hAnsi="Cambria"/>
              </w:rPr>
            </w:pPr>
            <w:r w:rsidRPr="00524435">
              <w:rPr>
                <w:rStyle w:val="None"/>
                <w:rFonts w:ascii="Cambria" w:hAnsi="Cambria"/>
                <w:sz w:val="20"/>
              </w:rPr>
              <w:t>120-16</w:t>
            </w:r>
          </w:p>
        </w:tc>
        <w:tc>
          <w:tcPr>
            <w:tcW w:w="52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5BA12EDF" w14:textId="77777777" w:rsidR="00842401" w:rsidRPr="00524435" w:rsidRDefault="00842401" w:rsidP="00C33359">
            <w:pPr>
              <w:pStyle w:val="Body"/>
              <w:jc w:val="both"/>
              <w:rPr>
                <w:rFonts w:ascii="Cambria" w:hAnsi="Cambria"/>
              </w:rPr>
            </w:pPr>
            <w:proofErr w:type="spellStart"/>
            <w:r w:rsidRPr="00524435">
              <w:rPr>
                <w:rStyle w:val="None"/>
                <w:rFonts w:ascii="Cambria" w:hAnsi="Cambria"/>
                <w:sz w:val="20"/>
              </w:rPr>
              <w:t>Cuninico</w:t>
            </w:r>
            <w:proofErr w:type="spellEnd"/>
            <w:r w:rsidRPr="00524435">
              <w:rPr>
                <w:rStyle w:val="None"/>
                <w:rFonts w:ascii="Cambria" w:hAnsi="Cambria"/>
                <w:sz w:val="20"/>
              </w:rPr>
              <w:t xml:space="preserve"> Community and other</w:t>
            </w:r>
          </w:p>
        </w:tc>
        <w:tc>
          <w:tcPr>
            <w:tcW w:w="19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51901334" w14:textId="77777777" w:rsidR="00842401" w:rsidRPr="00524435" w:rsidRDefault="00842401" w:rsidP="00C33359">
            <w:pPr>
              <w:pStyle w:val="Body"/>
              <w:jc w:val="both"/>
              <w:rPr>
                <w:rFonts w:ascii="Cambria" w:hAnsi="Cambria"/>
              </w:rPr>
            </w:pPr>
            <w:r w:rsidRPr="00524435">
              <w:rPr>
                <w:rStyle w:val="None"/>
                <w:rFonts w:ascii="Cambria" w:hAnsi="Cambria"/>
                <w:sz w:val="20"/>
              </w:rPr>
              <w:t>Peru</w:t>
            </w:r>
          </w:p>
        </w:tc>
      </w:tr>
      <w:tr w:rsidR="00842401" w:rsidRPr="00524435" w14:paraId="6B4D99BB" w14:textId="77777777" w:rsidTr="00C33359">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161DE282" w14:textId="77777777" w:rsidR="00842401" w:rsidRPr="00524435" w:rsidRDefault="00842401" w:rsidP="00C33359">
            <w:pPr>
              <w:pStyle w:val="Body"/>
              <w:jc w:val="both"/>
              <w:rPr>
                <w:rFonts w:ascii="Cambria" w:hAnsi="Cambria"/>
              </w:rPr>
            </w:pPr>
            <w:r w:rsidRPr="00524435">
              <w:rPr>
                <w:rStyle w:val="None"/>
                <w:rFonts w:ascii="Cambria" w:hAnsi="Cambria"/>
                <w:bCs/>
                <w:sz w:val="20"/>
              </w:rPr>
              <w:t>21</w:t>
            </w:r>
          </w:p>
        </w:tc>
        <w:tc>
          <w:tcPr>
            <w:tcW w:w="153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138743C3" w14:textId="77777777" w:rsidR="00842401" w:rsidRPr="00524435" w:rsidRDefault="00842401" w:rsidP="00C33359">
            <w:pPr>
              <w:pStyle w:val="Body"/>
              <w:rPr>
                <w:rFonts w:ascii="Cambria" w:hAnsi="Cambria"/>
              </w:rPr>
            </w:pPr>
            <w:r w:rsidRPr="00524435">
              <w:rPr>
                <w:rStyle w:val="None"/>
                <w:rFonts w:ascii="Cambria" w:hAnsi="Cambria"/>
                <w:sz w:val="20"/>
              </w:rPr>
              <w:t>370-12</w:t>
            </w:r>
          </w:p>
        </w:tc>
        <w:tc>
          <w:tcPr>
            <w:tcW w:w="52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73F3B99" w14:textId="77777777" w:rsidR="00842401" w:rsidRPr="00524435" w:rsidRDefault="00842401" w:rsidP="00C33359">
            <w:pPr>
              <w:pStyle w:val="Body"/>
              <w:jc w:val="both"/>
              <w:rPr>
                <w:rFonts w:ascii="Cambria" w:hAnsi="Cambria"/>
              </w:rPr>
            </w:pPr>
            <w:r w:rsidRPr="00524435">
              <w:rPr>
                <w:rStyle w:val="None"/>
                <w:rFonts w:ascii="Cambria" w:hAnsi="Cambria"/>
                <w:sz w:val="20"/>
              </w:rPr>
              <w:t>334 patients from the Federico Mora Hospital,</w:t>
            </w:r>
          </w:p>
        </w:tc>
        <w:tc>
          <w:tcPr>
            <w:tcW w:w="19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5FDE396B" w14:textId="77777777" w:rsidR="00842401" w:rsidRPr="00524435" w:rsidRDefault="00842401" w:rsidP="00C33359">
            <w:pPr>
              <w:pStyle w:val="Body"/>
              <w:jc w:val="both"/>
              <w:rPr>
                <w:rFonts w:ascii="Cambria" w:hAnsi="Cambria"/>
              </w:rPr>
            </w:pPr>
            <w:r w:rsidRPr="00524435">
              <w:rPr>
                <w:rStyle w:val="None"/>
                <w:rFonts w:ascii="Cambria" w:hAnsi="Cambria"/>
                <w:sz w:val="20"/>
              </w:rPr>
              <w:t>Guatemala</w:t>
            </w:r>
          </w:p>
        </w:tc>
      </w:tr>
      <w:tr w:rsidR="00842401" w:rsidRPr="00524435" w14:paraId="29646F40" w14:textId="77777777" w:rsidTr="00C33359">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B0F8F4D" w14:textId="77777777" w:rsidR="00842401" w:rsidRPr="00524435" w:rsidRDefault="00842401" w:rsidP="00C33359">
            <w:pPr>
              <w:pStyle w:val="Body"/>
              <w:jc w:val="both"/>
              <w:rPr>
                <w:rFonts w:ascii="Cambria" w:hAnsi="Cambria"/>
              </w:rPr>
            </w:pPr>
            <w:r w:rsidRPr="00524435">
              <w:rPr>
                <w:rStyle w:val="None"/>
                <w:rFonts w:ascii="Cambria" w:hAnsi="Cambria"/>
                <w:bCs/>
                <w:sz w:val="20"/>
              </w:rPr>
              <w:t>22</w:t>
            </w:r>
          </w:p>
        </w:tc>
        <w:tc>
          <w:tcPr>
            <w:tcW w:w="153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3EF933E5" w14:textId="77777777" w:rsidR="00842401" w:rsidRPr="00524435" w:rsidRDefault="00842401" w:rsidP="00C33359">
            <w:pPr>
              <w:pStyle w:val="Body"/>
              <w:rPr>
                <w:rFonts w:ascii="Cambria" w:hAnsi="Cambria"/>
              </w:rPr>
            </w:pPr>
            <w:r w:rsidRPr="00524435">
              <w:rPr>
                <w:rStyle w:val="None"/>
                <w:rFonts w:ascii="Cambria" w:hAnsi="Cambria"/>
                <w:sz w:val="20"/>
              </w:rPr>
              <w:t>887-19</w:t>
            </w:r>
          </w:p>
        </w:tc>
        <w:tc>
          <w:tcPr>
            <w:tcW w:w="52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7948B77F" w14:textId="77777777" w:rsidR="00842401" w:rsidRPr="00524435" w:rsidRDefault="00842401" w:rsidP="00C33359">
            <w:pPr>
              <w:pStyle w:val="Body"/>
              <w:jc w:val="both"/>
              <w:rPr>
                <w:rFonts w:ascii="Cambria" w:hAnsi="Cambria"/>
              </w:rPr>
            </w:pPr>
            <w:r w:rsidRPr="00524435">
              <w:rPr>
                <w:rStyle w:val="None"/>
                <w:rFonts w:ascii="Cambria" w:hAnsi="Cambria"/>
                <w:sz w:val="20"/>
              </w:rPr>
              <w:t>Families from the Nueva Austria del Sira Community</w:t>
            </w:r>
          </w:p>
        </w:tc>
        <w:tc>
          <w:tcPr>
            <w:tcW w:w="19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75B48522" w14:textId="77777777" w:rsidR="00842401" w:rsidRPr="00524435" w:rsidRDefault="00842401" w:rsidP="00C33359">
            <w:pPr>
              <w:pStyle w:val="Body"/>
              <w:jc w:val="both"/>
              <w:rPr>
                <w:rFonts w:ascii="Cambria" w:hAnsi="Cambria"/>
              </w:rPr>
            </w:pPr>
            <w:r w:rsidRPr="00524435">
              <w:rPr>
                <w:rStyle w:val="None"/>
                <w:rFonts w:ascii="Cambria" w:hAnsi="Cambria"/>
                <w:sz w:val="20"/>
              </w:rPr>
              <w:t>Peru</w:t>
            </w:r>
          </w:p>
        </w:tc>
      </w:tr>
      <w:tr w:rsidR="00842401" w:rsidRPr="00524435" w14:paraId="3E56A9B9" w14:textId="77777777" w:rsidTr="00C33359">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0D0CB482" w14:textId="77777777" w:rsidR="00842401" w:rsidRPr="00524435" w:rsidRDefault="00842401" w:rsidP="00C33359">
            <w:pPr>
              <w:pStyle w:val="Body"/>
              <w:jc w:val="both"/>
              <w:rPr>
                <w:rFonts w:ascii="Cambria" w:hAnsi="Cambria"/>
              </w:rPr>
            </w:pPr>
            <w:r w:rsidRPr="00524435">
              <w:rPr>
                <w:rStyle w:val="None"/>
                <w:rFonts w:ascii="Cambria" w:hAnsi="Cambria"/>
                <w:bCs/>
                <w:sz w:val="20"/>
              </w:rPr>
              <w:t>23</w:t>
            </w:r>
          </w:p>
        </w:tc>
        <w:tc>
          <w:tcPr>
            <w:tcW w:w="153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B7592ED" w14:textId="77777777" w:rsidR="00842401" w:rsidRPr="00524435" w:rsidRDefault="00842401" w:rsidP="00C33359">
            <w:pPr>
              <w:pStyle w:val="Body"/>
              <w:rPr>
                <w:rFonts w:ascii="Cambria" w:hAnsi="Cambria"/>
              </w:rPr>
            </w:pPr>
            <w:r w:rsidRPr="00524435">
              <w:rPr>
                <w:rStyle w:val="None"/>
                <w:rFonts w:ascii="Cambria" w:hAnsi="Cambria"/>
                <w:sz w:val="20"/>
              </w:rPr>
              <w:t>505-18</w:t>
            </w:r>
          </w:p>
        </w:tc>
        <w:tc>
          <w:tcPr>
            <w:tcW w:w="52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289274AD" w14:textId="77777777" w:rsidR="00842401" w:rsidRPr="00E42B49" w:rsidRDefault="00842401" w:rsidP="00C33359">
            <w:pPr>
              <w:pStyle w:val="Body"/>
              <w:jc w:val="both"/>
              <w:rPr>
                <w:rFonts w:ascii="Cambria" w:hAnsi="Cambria"/>
                <w:lang w:val="es-US"/>
              </w:rPr>
            </w:pPr>
            <w:r w:rsidRPr="00E42B49">
              <w:rPr>
                <w:rStyle w:val="None"/>
                <w:rFonts w:ascii="Cambria" w:hAnsi="Cambria"/>
                <w:sz w:val="20"/>
                <w:lang w:val="es-US"/>
              </w:rPr>
              <w:t xml:space="preserve">Vilma Aracely López </w:t>
            </w:r>
            <w:proofErr w:type="spellStart"/>
            <w:r w:rsidRPr="00E42B49">
              <w:rPr>
                <w:rStyle w:val="None"/>
                <w:rFonts w:ascii="Cambria" w:hAnsi="Cambria"/>
                <w:sz w:val="20"/>
                <w:lang w:val="es-US"/>
              </w:rPr>
              <w:t>Juc</w:t>
            </w:r>
            <w:proofErr w:type="spellEnd"/>
            <w:r w:rsidRPr="00E42B49">
              <w:rPr>
                <w:rStyle w:val="None"/>
                <w:rFonts w:ascii="Cambria" w:hAnsi="Cambria"/>
                <w:sz w:val="20"/>
                <w:lang w:val="es-US"/>
              </w:rPr>
              <w:t xml:space="preserve"> de </w:t>
            </w:r>
            <w:proofErr w:type="spellStart"/>
            <w:r w:rsidRPr="00E42B49">
              <w:rPr>
                <w:rStyle w:val="None"/>
                <w:rFonts w:ascii="Cambria" w:hAnsi="Cambria"/>
                <w:sz w:val="20"/>
                <w:lang w:val="es-US"/>
              </w:rPr>
              <w:t>Coc</w:t>
            </w:r>
            <w:proofErr w:type="spellEnd"/>
            <w:r w:rsidRPr="00E42B49">
              <w:rPr>
                <w:rStyle w:val="None"/>
                <w:rFonts w:ascii="Cambria" w:hAnsi="Cambria"/>
                <w:sz w:val="20"/>
                <w:lang w:val="es-US"/>
              </w:rPr>
              <w:t xml:space="preserve"> et al.</w:t>
            </w:r>
          </w:p>
        </w:tc>
        <w:tc>
          <w:tcPr>
            <w:tcW w:w="19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1592DDE0"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United States </w:t>
            </w:r>
          </w:p>
        </w:tc>
      </w:tr>
      <w:tr w:rsidR="00842401" w:rsidRPr="00524435" w14:paraId="1C6E9906" w14:textId="77777777" w:rsidTr="00C33359">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DBA05C3" w14:textId="77777777" w:rsidR="00842401" w:rsidRPr="00524435" w:rsidRDefault="00842401" w:rsidP="00C33359">
            <w:pPr>
              <w:pStyle w:val="Body"/>
              <w:jc w:val="both"/>
              <w:rPr>
                <w:rFonts w:ascii="Cambria" w:hAnsi="Cambria"/>
              </w:rPr>
            </w:pPr>
            <w:r w:rsidRPr="00524435">
              <w:rPr>
                <w:rStyle w:val="None"/>
                <w:rFonts w:ascii="Cambria" w:hAnsi="Cambria"/>
                <w:bCs/>
                <w:sz w:val="20"/>
              </w:rPr>
              <w:t>24</w:t>
            </w:r>
          </w:p>
        </w:tc>
        <w:tc>
          <w:tcPr>
            <w:tcW w:w="153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047BBE5E" w14:textId="77777777" w:rsidR="00842401" w:rsidRPr="00524435" w:rsidRDefault="00842401" w:rsidP="00C33359">
            <w:pPr>
              <w:pStyle w:val="Body"/>
              <w:rPr>
                <w:rFonts w:ascii="Cambria" w:hAnsi="Cambria"/>
              </w:rPr>
            </w:pPr>
            <w:r w:rsidRPr="00524435">
              <w:rPr>
                <w:rStyle w:val="None"/>
                <w:rFonts w:ascii="Cambria" w:hAnsi="Cambria"/>
                <w:sz w:val="20"/>
              </w:rPr>
              <w:t>506-14</w:t>
            </w:r>
          </w:p>
        </w:tc>
        <w:tc>
          <w:tcPr>
            <w:tcW w:w="52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A42DC4A" w14:textId="77777777" w:rsidR="00842401" w:rsidRPr="00E42B49" w:rsidRDefault="00842401" w:rsidP="00C33359">
            <w:pPr>
              <w:pStyle w:val="Body"/>
              <w:jc w:val="both"/>
              <w:rPr>
                <w:rFonts w:ascii="Cambria" w:hAnsi="Cambria"/>
                <w:lang w:val="es-US"/>
              </w:rPr>
            </w:pPr>
            <w:r w:rsidRPr="00E42B49">
              <w:rPr>
                <w:rStyle w:val="None"/>
                <w:rFonts w:ascii="Cambria" w:hAnsi="Cambria"/>
                <w:sz w:val="20"/>
                <w:lang w:val="es-US"/>
              </w:rPr>
              <w:t xml:space="preserve">Marcelo Pérez </w:t>
            </w:r>
            <w:proofErr w:type="spellStart"/>
            <w:r w:rsidRPr="00E42B49">
              <w:rPr>
                <w:rStyle w:val="None"/>
                <w:rFonts w:ascii="Cambria" w:hAnsi="Cambria"/>
                <w:sz w:val="20"/>
                <w:lang w:val="es-US"/>
              </w:rPr>
              <w:t>Pérez</w:t>
            </w:r>
            <w:proofErr w:type="spellEnd"/>
            <w:r w:rsidRPr="00E42B49">
              <w:rPr>
                <w:rStyle w:val="None"/>
                <w:rFonts w:ascii="Cambria" w:hAnsi="Cambria"/>
                <w:sz w:val="20"/>
                <w:lang w:val="es-US"/>
              </w:rPr>
              <w:t xml:space="preserve"> and Isidro Hernández Gutiérrez</w:t>
            </w:r>
          </w:p>
        </w:tc>
        <w:tc>
          <w:tcPr>
            <w:tcW w:w="19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209C8F2"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Mexico </w:t>
            </w:r>
          </w:p>
        </w:tc>
      </w:tr>
      <w:tr w:rsidR="00842401" w:rsidRPr="00524435" w14:paraId="1CD6BD8A" w14:textId="77777777" w:rsidTr="00C33359">
        <w:trPr>
          <w:trHeight w:val="25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59F13BFE" w14:textId="77777777" w:rsidR="00842401" w:rsidRPr="00524435" w:rsidRDefault="00842401" w:rsidP="00C33359">
            <w:pPr>
              <w:pStyle w:val="Body"/>
              <w:jc w:val="both"/>
              <w:rPr>
                <w:rFonts w:ascii="Cambria" w:hAnsi="Cambria"/>
              </w:rPr>
            </w:pPr>
            <w:r w:rsidRPr="00524435">
              <w:rPr>
                <w:rStyle w:val="None"/>
                <w:rFonts w:ascii="Cambria" w:hAnsi="Cambria"/>
                <w:bCs/>
                <w:sz w:val="20"/>
              </w:rPr>
              <w:lastRenderedPageBreak/>
              <w:t>25</w:t>
            </w:r>
          </w:p>
        </w:tc>
        <w:tc>
          <w:tcPr>
            <w:tcW w:w="153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16975DB0" w14:textId="77777777" w:rsidR="00842401" w:rsidRPr="00524435" w:rsidRDefault="00842401" w:rsidP="00C33359">
            <w:pPr>
              <w:pStyle w:val="Body"/>
              <w:rPr>
                <w:rFonts w:ascii="Cambria" w:hAnsi="Cambria"/>
              </w:rPr>
            </w:pPr>
            <w:r w:rsidRPr="00524435">
              <w:rPr>
                <w:rStyle w:val="None"/>
                <w:rFonts w:ascii="Cambria" w:hAnsi="Cambria"/>
                <w:sz w:val="20"/>
              </w:rPr>
              <w:t>104-19</w:t>
            </w:r>
          </w:p>
        </w:tc>
        <w:tc>
          <w:tcPr>
            <w:tcW w:w="52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7F1D751" w14:textId="77777777" w:rsidR="00842401" w:rsidRPr="00524435" w:rsidRDefault="00842401" w:rsidP="00C33359">
            <w:pPr>
              <w:pStyle w:val="Body"/>
              <w:jc w:val="both"/>
              <w:rPr>
                <w:rFonts w:ascii="Cambria" w:hAnsi="Cambria"/>
              </w:rPr>
            </w:pPr>
            <w:r w:rsidRPr="00524435">
              <w:rPr>
                <w:rStyle w:val="None"/>
                <w:rFonts w:ascii="Cambria" w:hAnsi="Cambria"/>
                <w:sz w:val="20"/>
              </w:rPr>
              <w:t>29 displaced families from the municipality of Argelia</w:t>
            </w:r>
          </w:p>
        </w:tc>
        <w:tc>
          <w:tcPr>
            <w:tcW w:w="19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23DE28FA"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Colombia </w:t>
            </w:r>
          </w:p>
        </w:tc>
      </w:tr>
      <w:tr w:rsidR="00842401" w:rsidRPr="00524435" w14:paraId="10E87339" w14:textId="77777777" w:rsidTr="00C33359">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75320BE1" w14:textId="77777777" w:rsidR="00842401" w:rsidRPr="00524435" w:rsidRDefault="00842401" w:rsidP="00C33359">
            <w:pPr>
              <w:pStyle w:val="Body"/>
              <w:jc w:val="both"/>
              <w:rPr>
                <w:rStyle w:val="None"/>
                <w:rFonts w:ascii="Cambria" w:hAnsi="Cambria"/>
                <w:b/>
                <w:bCs/>
                <w:sz w:val="20"/>
              </w:rPr>
            </w:pPr>
            <w:r w:rsidRPr="00524435">
              <w:rPr>
                <w:rStyle w:val="None"/>
                <w:rFonts w:ascii="Cambria" w:hAnsi="Cambria"/>
                <w:bCs/>
                <w:sz w:val="20"/>
              </w:rPr>
              <w:t>26</w:t>
            </w:r>
          </w:p>
        </w:tc>
        <w:tc>
          <w:tcPr>
            <w:tcW w:w="153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BFEB226" w14:textId="77777777" w:rsidR="00842401" w:rsidRPr="00524435" w:rsidRDefault="00842401" w:rsidP="00C33359">
            <w:pPr>
              <w:pStyle w:val="Body"/>
              <w:rPr>
                <w:rFonts w:ascii="Cambria" w:hAnsi="Cambria"/>
              </w:rPr>
            </w:pPr>
            <w:r w:rsidRPr="00524435">
              <w:rPr>
                <w:rStyle w:val="None"/>
                <w:rFonts w:ascii="Cambria" w:hAnsi="Cambria"/>
                <w:sz w:val="20"/>
              </w:rPr>
              <w:t>535-14</w:t>
            </w:r>
          </w:p>
        </w:tc>
        <w:tc>
          <w:tcPr>
            <w:tcW w:w="52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5051594" w14:textId="77777777" w:rsidR="00842401" w:rsidRPr="00524435" w:rsidRDefault="00842401" w:rsidP="00C33359">
            <w:pPr>
              <w:pStyle w:val="Body"/>
              <w:jc w:val="both"/>
              <w:rPr>
                <w:rFonts w:ascii="Cambria" w:hAnsi="Cambria"/>
              </w:rPr>
            </w:pPr>
            <w:r w:rsidRPr="00524435">
              <w:rPr>
                <w:rStyle w:val="None"/>
                <w:rFonts w:ascii="Cambria" w:hAnsi="Cambria"/>
                <w:sz w:val="20"/>
              </w:rPr>
              <w:t>Migrants confined to the Carmichael Road Detention Center</w:t>
            </w:r>
          </w:p>
        </w:tc>
        <w:tc>
          <w:tcPr>
            <w:tcW w:w="19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7F1983F6"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Bahamas </w:t>
            </w:r>
          </w:p>
        </w:tc>
      </w:tr>
      <w:tr w:rsidR="00842401" w:rsidRPr="00524435" w14:paraId="76D73B38" w14:textId="77777777" w:rsidTr="00C33359">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099191D" w14:textId="77777777" w:rsidR="00842401" w:rsidRPr="00524435" w:rsidRDefault="00842401" w:rsidP="00C33359">
            <w:pPr>
              <w:pStyle w:val="Body"/>
              <w:jc w:val="both"/>
              <w:rPr>
                <w:rStyle w:val="None"/>
                <w:rFonts w:ascii="Cambria" w:hAnsi="Cambria"/>
                <w:b/>
                <w:bCs/>
                <w:sz w:val="20"/>
              </w:rPr>
            </w:pPr>
            <w:r w:rsidRPr="00524435">
              <w:rPr>
                <w:rStyle w:val="None"/>
                <w:rFonts w:ascii="Cambria" w:hAnsi="Cambria"/>
                <w:bCs/>
                <w:sz w:val="20"/>
              </w:rPr>
              <w:t>27</w:t>
            </w:r>
          </w:p>
        </w:tc>
        <w:tc>
          <w:tcPr>
            <w:tcW w:w="153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C654B58" w14:textId="77777777" w:rsidR="00842401" w:rsidRPr="00524435" w:rsidRDefault="00842401" w:rsidP="00C33359">
            <w:pPr>
              <w:pStyle w:val="Body"/>
              <w:rPr>
                <w:rFonts w:ascii="Cambria" w:hAnsi="Cambria"/>
              </w:rPr>
            </w:pPr>
            <w:r w:rsidRPr="00524435">
              <w:rPr>
                <w:rStyle w:val="None"/>
                <w:rFonts w:ascii="Cambria" w:hAnsi="Cambria"/>
                <w:sz w:val="20"/>
              </w:rPr>
              <w:t>458-19</w:t>
            </w:r>
          </w:p>
        </w:tc>
        <w:tc>
          <w:tcPr>
            <w:tcW w:w="52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650858B1"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Members of la </w:t>
            </w:r>
            <w:proofErr w:type="spellStart"/>
            <w:r w:rsidRPr="00524435">
              <w:rPr>
                <w:rStyle w:val="None"/>
                <w:rFonts w:ascii="Cambria" w:hAnsi="Cambria"/>
                <w:sz w:val="20"/>
              </w:rPr>
              <w:t>Guyraroká</w:t>
            </w:r>
            <w:proofErr w:type="spellEnd"/>
            <w:r w:rsidRPr="00524435">
              <w:rPr>
                <w:rStyle w:val="None"/>
                <w:rFonts w:ascii="Cambria" w:hAnsi="Cambria"/>
                <w:sz w:val="20"/>
              </w:rPr>
              <w:t xml:space="preserve"> community of the indigenous Guarani </w:t>
            </w:r>
            <w:proofErr w:type="spellStart"/>
            <w:r w:rsidRPr="00524435">
              <w:rPr>
                <w:rStyle w:val="None"/>
                <w:rFonts w:ascii="Cambria" w:hAnsi="Cambria"/>
                <w:sz w:val="20"/>
              </w:rPr>
              <w:t>Kaiowá</w:t>
            </w:r>
            <w:proofErr w:type="spellEnd"/>
            <w:r w:rsidRPr="00524435">
              <w:rPr>
                <w:rStyle w:val="None"/>
                <w:rFonts w:ascii="Cambria" w:hAnsi="Cambria"/>
                <w:sz w:val="20"/>
              </w:rPr>
              <w:t xml:space="preserve"> People</w:t>
            </w:r>
          </w:p>
        </w:tc>
        <w:tc>
          <w:tcPr>
            <w:tcW w:w="19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0C3F6375" w14:textId="77777777" w:rsidR="00842401" w:rsidRPr="00524435" w:rsidRDefault="00842401" w:rsidP="00C33359">
            <w:pPr>
              <w:pStyle w:val="Body"/>
              <w:jc w:val="both"/>
              <w:rPr>
                <w:rFonts w:ascii="Cambria" w:hAnsi="Cambria"/>
              </w:rPr>
            </w:pPr>
            <w:r w:rsidRPr="00524435">
              <w:rPr>
                <w:rStyle w:val="None"/>
                <w:rFonts w:ascii="Cambria" w:hAnsi="Cambria"/>
                <w:sz w:val="20"/>
              </w:rPr>
              <w:t xml:space="preserve">Brazil </w:t>
            </w:r>
          </w:p>
        </w:tc>
      </w:tr>
    </w:tbl>
    <w:p w14:paraId="3A07CAA1" w14:textId="77777777" w:rsidR="00842401" w:rsidRPr="00524435" w:rsidRDefault="00842401" w:rsidP="00842401">
      <w:pPr>
        <w:pStyle w:val="Body"/>
        <w:widowControl w:val="0"/>
        <w:jc w:val="both"/>
        <w:rPr>
          <w:rStyle w:val="None"/>
          <w:rFonts w:ascii="Cambria" w:eastAsia="Cambria" w:hAnsi="Cambria" w:cs="Cambria"/>
          <w:sz w:val="20"/>
        </w:rPr>
      </w:pPr>
    </w:p>
    <w:p w14:paraId="57F562EB" w14:textId="77777777" w:rsidR="00842401" w:rsidRPr="00524435" w:rsidRDefault="00842401" w:rsidP="00842401">
      <w:pPr>
        <w:rPr>
          <w:rStyle w:val="None"/>
          <w:rFonts w:ascii="Cambria" w:eastAsia="Cambria" w:hAnsi="Cambria" w:cs="Cambria"/>
          <w:color w:val="000000"/>
          <w:sz w:val="20"/>
          <w:u w:color="000000"/>
        </w:rPr>
      </w:pPr>
    </w:p>
    <w:tbl>
      <w:tblPr>
        <w:tblW w:w="0" w:type="auto"/>
        <w:tblInd w:w="105" w:type="dxa"/>
        <w:tblLayout w:type="fixed"/>
        <w:tblLook w:val="04A0" w:firstRow="1" w:lastRow="0" w:firstColumn="1" w:lastColumn="0" w:noHBand="0" w:noVBand="1"/>
      </w:tblPr>
      <w:tblGrid>
        <w:gridCol w:w="615"/>
        <w:gridCol w:w="1530"/>
        <w:gridCol w:w="5220"/>
        <w:gridCol w:w="1980"/>
      </w:tblGrid>
      <w:tr w:rsidR="00842401" w:rsidRPr="00524435" w14:paraId="79847534" w14:textId="77777777" w:rsidTr="00C33359">
        <w:trPr>
          <w:trHeight w:val="450"/>
        </w:trPr>
        <w:tc>
          <w:tcPr>
            <w:tcW w:w="9345" w:type="dxa"/>
            <w:gridSpan w:val="4"/>
            <w:tcBorders>
              <w:top w:val="single" w:sz="6" w:space="0" w:color="4472C4" w:themeColor="accent5"/>
              <w:left w:val="single" w:sz="6" w:space="0" w:color="4472C4" w:themeColor="accent5"/>
              <w:bottom w:val="single" w:sz="6" w:space="0" w:color="8EAADB" w:themeColor="accent5" w:themeTint="99"/>
              <w:right w:val="single" w:sz="6" w:space="0" w:color="4472C4" w:themeColor="accent5"/>
            </w:tcBorders>
            <w:vAlign w:val="center"/>
          </w:tcPr>
          <w:p w14:paraId="7BE0C8CE" w14:textId="77777777" w:rsidR="00842401" w:rsidRPr="00524435" w:rsidRDefault="00842401" w:rsidP="00C33359">
            <w:pPr>
              <w:jc w:val="center"/>
              <w:rPr>
                <w:rFonts w:ascii="Cambria" w:eastAsia="Cambria" w:hAnsi="Cambria" w:cs="Cambria"/>
                <w:sz w:val="20"/>
                <w:szCs w:val="20"/>
              </w:rPr>
            </w:pPr>
            <w:r w:rsidRPr="00524435">
              <w:rPr>
                <w:rStyle w:val="None"/>
                <w:rFonts w:ascii="Cambria" w:eastAsia="Cambria" w:hAnsi="Cambria" w:cs="Cambria"/>
                <w:bCs/>
                <w:sz w:val="20"/>
              </w:rPr>
              <w:t>182nd period of sessions – December 6-17, 2021</w:t>
            </w:r>
          </w:p>
        </w:tc>
      </w:tr>
      <w:tr w:rsidR="00842401" w:rsidRPr="00524435" w14:paraId="039763B2" w14:textId="77777777" w:rsidTr="00C33359">
        <w:trPr>
          <w:trHeight w:val="450"/>
        </w:trPr>
        <w:tc>
          <w:tcPr>
            <w:tcW w:w="9345" w:type="dxa"/>
            <w:gridSpan w:val="4"/>
            <w:tcBorders>
              <w:top w:val="single" w:sz="6" w:space="0" w:color="4472C4" w:themeColor="accent5"/>
              <w:left w:val="single" w:sz="6" w:space="0" w:color="4472C4" w:themeColor="accent5"/>
              <w:bottom w:val="single" w:sz="6" w:space="0" w:color="8EAADB" w:themeColor="accent5" w:themeTint="99"/>
              <w:right w:val="single" w:sz="6" w:space="0" w:color="4472C4" w:themeColor="accent5"/>
            </w:tcBorders>
            <w:vAlign w:val="center"/>
          </w:tcPr>
          <w:p w14:paraId="69913B28" w14:textId="77777777" w:rsidR="00842401" w:rsidRPr="00524435" w:rsidRDefault="00842401" w:rsidP="00C33359">
            <w:pPr>
              <w:jc w:val="center"/>
              <w:rPr>
                <w:rStyle w:val="None"/>
                <w:rFonts w:ascii="Cambria" w:eastAsia="Cambria" w:hAnsi="Cambria" w:cs="Cambria"/>
                <w:b/>
                <w:bCs/>
              </w:rPr>
            </w:pPr>
            <w:r w:rsidRPr="00524435">
              <w:rPr>
                <w:rStyle w:val="None"/>
                <w:rFonts w:ascii="Cambria" w:eastAsia="Cambria" w:hAnsi="Cambria" w:cs="Cambria"/>
                <w:bCs/>
                <w:sz w:val="20"/>
              </w:rPr>
              <w:t>Working meetings</w:t>
            </w:r>
          </w:p>
        </w:tc>
      </w:tr>
      <w:tr w:rsidR="00842401" w:rsidRPr="00524435" w14:paraId="51639696" w14:textId="77777777" w:rsidTr="00C33359">
        <w:trPr>
          <w:trHeight w:val="435"/>
        </w:trPr>
        <w:tc>
          <w:tcPr>
            <w:tcW w:w="615"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61D8684C" w14:textId="77777777" w:rsidR="00842401" w:rsidRPr="00524435" w:rsidRDefault="00842401" w:rsidP="00C33359">
            <w:pPr>
              <w:jc w:val="center"/>
              <w:rPr>
                <w:rFonts w:ascii="Cambria" w:eastAsia="Cambria" w:hAnsi="Cambria" w:cs="Cambria"/>
                <w:sz w:val="20"/>
                <w:szCs w:val="20"/>
              </w:rPr>
            </w:pPr>
          </w:p>
        </w:tc>
        <w:tc>
          <w:tcPr>
            <w:tcW w:w="153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46261422" w14:textId="77777777" w:rsidR="00842401" w:rsidRPr="00524435" w:rsidRDefault="00842401" w:rsidP="00C33359">
            <w:pPr>
              <w:jc w:val="center"/>
              <w:rPr>
                <w:rFonts w:ascii="Cambria" w:eastAsia="Cambria" w:hAnsi="Cambria" w:cs="Cambria"/>
                <w:sz w:val="20"/>
                <w:szCs w:val="20"/>
              </w:rPr>
            </w:pPr>
            <w:r w:rsidRPr="00524435">
              <w:rPr>
                <w:rStyle w:val="None"/>
                <w:rFonts w:ascii="Cambria" w:eastAsia="Cambria" w:hAnsi="Cambria" w:cs="Cambria"/>
                <w:bCs/>
                <w:sz w:val="20"/>
              </w:rPr>
              <w:t>MC</w:t>
            </w:r>
          </w:p>
        </w:tc>
        <w:tc>
          <w:tcPr>
            <w:tcW w:w="522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3DDF451A" w14:textId="77777777" w:rsidR="00842401" w:rsidRPr="00524435" w:rsidRDefault="00842401" w:rsidP="00C33359">
            <w:pPr>
              <w:jc w:val="center"/>
              <w:rPr>
                <w:rFonts w:ascii="Cambria" w:eastAsia="Cambria" w:hAnsi="Cambria" w:cs="Cambria"/>
                <w:sz w:val="20"/>
                <w:szCs w:val="20"/>
              </w:rPr>
            </w:pPr>
            <w:r w:rsidRPr="00524435">
              <w:rPr>
                <w:rStyle w:val="None"/>
                <w:rFonts w:ascii="Cambria" w:eastAsia="Cambria" w:hAnsi="Cambria" w:cs="Cambria"/>
                <w:bCs/>
                <w:sz w:val="20"/>
              </w:rPr>
              <w:t>Beneficiaries</w:t>
            </w:r>
          </w:p>
        </w:tc>
        <w:tc>
          <w:tcPr>
            <w:tcW w:w="198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396ACDBD" w14:textId="77777777" w:rsidR="00842401" w:rsidRPr="00524435" w:rsidRDefault="00842401" w:rsidP="00C33359">
            <w:pPr>
              <w:jc w:val="center"/>
              <w:rPr>
                <w:rFonts w:ascii="Cambria" w:eastAsia="Cambria" w:hAnsi="Cambria" w:cs="Cambria"/>
                <w:sz w:val="20"/>
                <w:szCs w:val="20"/>
              </w:rPr>
            </w:pPr>
            <w:r w:rsidRPr="00524435">
              <w:rPr>
                <w:rStyle w:val="None"/>
                <w:rFonts w:ascii="Cambria" w:eastAsia="Cambria" w:hAnsi="Cambria" w:cs="Cambria"/>
                <w:bCs/>
                <w:sz w:val="20"/>
              </w:rPr>
              <w:t>Estado</w:t>
            </w:r>
          </w:p>
        </w:tc>
      </w:tr>
      <w:tr w:rsidR="00842401" w:rsidRPr="00524435" w14:paraId="7634FDE7" w14:textId="77777777" w:rsidTr="00C33359">
        <w:trPr>
          <w:trHeight w:val="720"/>
        </w:trPr>
        <w:tc>
          <w:tcPr>
            <w:tcW w:w="615"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7494EAE8" w14:textId="77777777" w:rsidR="00842401" w:rsidRPr="00524435" w:rsidRDefault="00842401" w:rsidP="00C33359">
            <w:pPr>
              <w:pStyle w:val="Body"/>
              <w:jc w:val="both"/>
              <w:rPr>
                <w:rFonts w:ascii="Cambria" w:eastAsia="Cambria" w:hAnsi="Cambria" w:cs="Cambria"/>
                <w:color w:val="auto"/>
                <w:sz w:val="20"/>
                <w:szCs w:val="20"/>
              </w:rPr>
            </w:pPr>
            <w:r w:rsidRPr="00524435">
              <w:rPr>
                <w:rFonts w:ascii="Cambria" w:eastAsia="Cambria" w:hAnsi="Cambria" w:cs="Cambria"/>
                <w:color w:val="auto"/>
                <w:sz w:val="20"/>
                <w:szCs w:val="20"/>
              </w:rPr>
              <w:t>28</w:t>
            </w:r>
          </w:p>
        </w:tc>
        <w:tc>
          <w:tcPr>
            <w:tcW w:w="153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1004AE23" w14:textId="77777777" w:rsidR="00842401" w:rsidRPr="00524435" w:rsidRDefault="00842401" w:rsidP="00C33359">
            <w:pPr>
              <w:rPr>
                <w:rFonts w:ascii="Cambria" w:eastAsia="Cambria" w:hAnsi="Cambria" w:cs="Cambria"/>
                <w:sz w:val="20"/>
                <w:szCs w:val="20"/>
              </w:rPr>
            </w:pPr>
            <w:r w:rsidRPr="00524435">
              <w:rPr>
                <w:rStyle w:val="None"/>
                <w:rFonts w:ascii="Cambria" w:eastAsia="Cambria" w:hAnsi="Cambria" w:cs="Cambria"/>
                <w:sz w:val="20"/>
              </w:rPr>
              <w:t>409-14</w:t>
            </w:r>
          </w:p>
        </w:tc>
        <w:tc>
          <w:tcPr>
            <w:tcW w:w="522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1E991EE7" w14:textId="77777777" w:rsidR="00842401" w:rsidRPr="00524435" w:rsidRDefault="00842401" w:rsidP="00C33359">
            <w:pPr>
              <w:jc w:val="both"/>
              <w:rPr>
                <w:rStyle w:val="None"/>
                <w:rFonts w:ascii="Cambria" w:eastAsia="Cambria" w:hAnsi="Cambria" w:cs="Cambria"/>
              </w:rPr>
            </w:pPr>
            <w:r w:rsidRPr="00524435">
              <w:rPr>
                <w:rStyle w:val="None"/>
                <w:rFonts w:ascii="Cambria" w:eastAsia="Cambria" w:hAnsi="Cambria" w:cs="Cambria"/>
                <w:sz w:val="20"/>
              </w:rPr>
              <w:t>43 students missing or unaccounted for</w:t>
            </w:r>
          </w:p>
        </w:tc>
        <w:tc>
          <w:tcPr>
            <w:tcW w:w="198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73434182" w14:textId="77777777" w:rsidR="00842401" w:rsidRPr="00524435" w:rsidRDefault="00842401" w:rsidP="00C33359">
            <w:pPr>
              <w:jc w:val="both"/>
              <w:rPr>
                <w:rFonts w:ascii="Cambria" w:eastAsia="Cambria" w:hAnsi="Cambria" w:cs="Cambria"/>
                <w:sz w:val="20"/>
                <w:szCs w:val="20"/>
              </w:rPr>
            </w:pPr>
            <w:r w:rsidRPr="00524435">
              <w:rPr>
                <w:rStyle w:val="None"/>
                <w:rFonts w:ascii="Cambria" w:eastAsia="Cambria" w:hAnsi="Cambria" w:cs="Cambria"/>
                <w:sz w:val="20"/>
              </w:rPr>
              <w:t>Mexico</w:t>
            </w:r>
          </w:p>
        </w:tc>
      </w:tr>
      <w:tr w:rsidR="00842401" w:rsidRPr="00524435" w14:paraId="3FBCFD88" w14:textId="77777777" w:rsidTr="00C33359">
        <w:trPr>
          <w:trHeight w:val="720"/>
        </w:trPr>
        <w:tc>
          <w:tcPr>
            <w:tcW w:w="615"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69FD737D" w14:textId="77777777" w:rsidR="00842401" w:rsidRPr="00524435" w:rsidRDefault="00842401" w:rsidP="00C33359">
            <w:pPr>
              <w:pStyle w:val="Body"/>
              <w:jc w:val="both"/>
              <w:rPr>
                <w:rFonts w:ascii="Cambria" w:eastAsia="Cambria" w:hAnsi="Cambria" w:cs="Cambria"/>
                <w:color w:val="auto"/>
                <w:sz w:val="20"/>
                <w:szCs w:val="20"/>
              </w:rPr>
            </w:pPr>
            <w:r w:rsidRPr="00524435">
              <w:rPr>
                <w:rFonts w:ascii="Cambria" w:eastAsia="Cambria" w:hAnsi="Cambria" w:cs="Cambria"/>
                <w:color w:val="auto"/>
                <w:sz w:val="20"/>
                <w:szCs w:val="20"/>
              </w:rPr>
              <w:t>29</w:t>
            </w:r>
          </w:p>
        </w:tc>
        <w:tc>
          <w:tcPr>
            <w:tcW w:w="153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3B4463E4" w14:textId="77777777" w:rsidR="00842401" w:rsidRPr="00524435" w:rsidRDefault="00842401" w:rsidP="00C33359">
            <w:pPr>
              <w:rPr>
                <w:rFonts w:ascii="Cambria" w:eastAsia="Cambria" w:hAnsi="Cambria" w:cs="Cambria"/>
                <w:sz w:val="20"/>
                <w:szCs w:val="20"/>
              </w:rPr>
            </w:pPr>
            <w:r w:rsidRPr="00524435">
              <w:rPr>
                <w:rStyle w:val="None"/>
                <w:rFonts w:ascii="Cambria" w:eastAsia="Cambria" w:hAnsi="Cambria" w:cs="Cambria"/>
                <w:sz w:val="20"/>
              </w:rPr>
              <w:t>649-20</w:t>
            </w:r>
          </w:p>
        </w:tc>
        <w:tc>
          <w:tcPr>
            <w:tcW w:w="522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49B907BB" w14:textId="77777777" w:rsidR="00842401" w:rsidRPr="00E42B49" w:rsidRDefault="00842401" w:rsidP="00C33359">
            <w:pPr>
              <w:jc w:val="both"/>
              <w:rPr>
                <w:rFonts w:ascii="Cambria" w:eastAsia="Cambria" w:hAnsi="Cambria" w:cs="Cambria"/>
                <w:sz w:val="20"/>
                <w:szCs w:val="20"/>
                <w:lang w:val="es-US"/>
              </w:rPr>
            </w:pPr>
            <w:proofErr w:type="spellStart"/>
            <w:r w:rsidRPr="00E42B49">
              <w:rPr>
                <w:rStyle w:val="None"/>
                <w:rFonts w:ascii="Cambria" w:eastAsia="Cambria" w:hAnsi="Cambria" w:cs="Cambria"/>
                <w:sz w:val="20"/>
                <w:lang w:val="es-US"/>
              </w:rPr>
              <w:t>Leyner</w:t>
            </w:r>
            <w:proofErr w:type="spellEnd"/>
            <w:r w:rsidRPr="00E42B49">
              <w:rPr>
                <w:rStyle w:val="None"/>
                <w:rFonts w:ascii="Cambria" w:eastAsia="Cambria" w:hAnsi="Cambria" w:cs="Cambria"/>
                <w:sz w:val="20"/>
                <w:lang w:val="es-US"/>
              </w:rPr>
              <w:t xml:space="preserve"> Palacios </w:t>
            </w:r>
            <w:proofErr w:type="spellStart"/>
            <w:r w:rsidRPr="00E42B49">
              <w:rPr>
                <w:rStyle w:val="None"/>
                <w:rFonts w:ascii="Cambria" w:eastAsia="Cambria" w:hAnsi="Cambria" w:cs="Cambria"/>
                <w:sz w:val="20"/>
                <w:lang w:val="es-US"/>
              </w:rPr>
              <w:t>Aspirilla</w:t>
            </w:r>
            <w:proofErr w:type="spellEnd"/>
            <w:r w:rsidRPr="00E42B49">
              <w:rPr>
                <w:rStyle w:val="None"/>
                <w:rFonts w:ascii="Cambria" w:eastAsia="Cambria" w:hAnsi="Cambria" w:cs="Cambria"/>
                <w:sz w:val="20"/>
                <w:lang w:val="es-US"/>
              </w:rPr>
              <w:t xml:space="preserve"> </w:t>
            </w:r>
            <w:r w:rsidRPr="00E42B49">
              <w:rPr>
                <w:rStyle w:val="None"/>
                <w:rFonts w:ascii="Cambria" w:eastAsia="Cambria" w:hAnsi="Cambria" w:cs="Cambria"/>
                <w:i/>
                <w:iCs/>
                <w:sz w:val="20"/>
                <w:lang w:val="es-US"/>
              </w:rPr>
              <w:t>et al</w:t>
            </w:r>
            <w:r w:rsidRPr="00E42B49">
              <w:rPr>
                <w:rStyle w:val="None"/>
                <w:rFonts w:ascii="Cambria" w:eastAsia="Cambria" w:hAnsi="Cambria" w:cs="Cambria"/>
                <w:sz w:val="20"/>
                <w:lang w:val="es-US"/>
              </w:rPr>
              <w:t>.</w:t>
            </w:r>
          </w:p>
        </w:tc>
        <w:tc>
          <w:tcPr>
            <w:tcW w:w="198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5A6A6BF8" w14:textId="77777777" w:rsidR="00842401" w:rsidRPr="00524435" w:rsidRDefault="00842401" w:rsidP="00C33359">
            <w:pPr>
              <w:jc w:val="both"/>
              <w:rPr>
                <w:rFonts w:ascii="Cambria" w:eastAsia="Cambria" w:hAnsi="Cambria" w:cs="Cambria"/>
                <w:sz w:val="20"/>
                <w:szCs w:val="20"/>
              </w:rPr>
            </w:pPr>
            <w:r w:rsidRPr="00524435">
              <w:rPr>
                <w:rStyle w:val="None"/>
                <w:rFonts w:ascii="Cambria" w:eastAsia="Cambria" w:hAnsi="Cambria" w:cs="Cambria"/>
                <w:sz w:val="20"/>
              </w:rPr>
              <w:t>Colombia</w:t>
            </w:r>
          </w:p>
        </w:tc>
      </w:tr>
      <w:tr w:rsidR="00842401" w:rsidRPr="00524435" w14:paraId="69225833" w14:textId="77777777" w:rsidTr="00C33359">
        <w:trPr>
          <w:trHeight w:val="480"/>
        </w:trPr>
        <w:tc>
          <w:tcPr>
            <w:tcW w:w="615"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50572E96" w14:textId="77777777" w:rsidR="00842401" w:rsidRPr="00524435" w:rsidRDefault="00842401" w:rsidP="00C33359">
            <w:pPr>
              <w:pStyle w:val="Body"/>
              <w:jc w:val="both"/>
              <w:rPr>
                <w:rFonts w:ascii="Cambria" w:eastAsia="Cambria" w:hAnsi="Cambria" w:cs="Cambria"/>
                <w:color w:val="auto"/>
                <w:sz w:val="20"/>
                <w:szCs w:val="20"/>
              </w:rPr>
            </w:pPr>
            <w:r w:rsidRPr="00524435">
              <w:rPr>
                <w:rFonts w:ascii="Cambria" w:eastAsia="Cambria" w:hAnsi="Cambria" w:cs="Cambria"/>
                <w:color w:val="auto"/>
                <w:sz w:val="20"/>
                <w:szCs w:val="20"/>
              </w:rPr>
              <w:t>30</w:t>
            </w:r>
          </w:p>
        </w:tc>
        <w:tc>
          <w:tcPr>
            <w:tcW w:w="153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3BA304B6" w14:textId="77777777" w:rsidR="00842401" w:rsidRPr="00524435" w:rsidRDefault="00842401" w:rsidP="00C33359">
            <w:pPr>
              <w:rPr>
                <w:rFonts w:ascii="Cambria" w:eastAsia="Cambria" w:hAnsi="Cambria" w:cs="Cambria"/>
                <w:sz w:val="20"/>
                <w:szCs w:val="20"/>
              </w:rPr>
            </w:pPr>
            <w:r w:rsidRPr="00524435">
              <w:rPr>
                <w:rStyle w:val="None"/>
                <w:rFonts w:ascii="Cambria" w:eastAsia="Cambria" w:hAnsi="Cambria" w:cs="Cambria"/>
                <w:sz w:val="20"/>
              </w:rPr>
              <w:t>382-10</w:t>
            </w:r>
          </w:p>
        </w:tc>
        <w:tc>
          <w:tcPr>
            <w:tcW w:w="522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77F89A3F" w14:textId="77777777" w:rsidR="00842401" w:rsidRPr="00524435" w:rsidRDefault="00842401" w:rsidP="00C33359">
            <w:pPr>
              <w:jc w:val="both"/>
              <w:rPr>
                <w:rFonts w:ascii="Cambria" w:eastAsia="Cambria" w:hAnsi="Cambria" w:cs="Cambria"/>
                <w:sz w:val="20"/>
                <w:szCs w:val="20"/>
              </w:rPr>
            </w:pPr>
            <w:r w:rsidRPr="00524435">
              <w:rPr>
                <w:rStyle w:val="None"/>
                <w:rFonts w:ascii="Cambria" w:eastAsia="Cambria" w:hAnsi="Cambria" w:cs="Cambria"/>
                <w:sz w:val="20"/>
              </w:rPr>
              <w:t>Traditional communities of the Xingu River basin, Pará - Belo Monte</w:t>
            </w:r>
          </w:p>
        </w:tc>
        <w:tc>
          <w:tcPr>
            <w:tcW w:w="198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174264D1" w14:textId="77777777" w:rsidR="00842401" w:rsidRPr="00524435" w:rsidRDefault="00842401" w:rsidP="00C33359">
            <w:pPr>
              <w:jc w:val="both"/>
              <w:rPr>
                <w:rFonts w:ascii="Cambria" w:eastAsia="Cambria" w:hAnsi="Cambria" w:cs="Cambria"/>
                <w:sz w:val="20"/>
                <w:szCs w:val="20"/>
              </w:rPr>
            </w:pPr>
            <w:r w:rsidRPr="00524435">
              <w:rPr>
                <w:rStyle w:val="None"/>
                <w:rFonts w:ascii="Cambria" w:eastAsia="Cambria" w:hAnsi="Cambria" w:cs="Cambria"/>
                <w:sz w:val="20"/>
              </w:rPr>
              <w:t>Brazil</w:t>
            </w:r>
          </w:p>
        </w:tc>
      </w:tr>
      <w:tr w:rsidR="00842401" w:rsidRPr="00524435" w14:paraId="506E2EDB" w14:textId="77777777" w:rsidTr="00C33359">
        <w:trPr>
          <w:trHeight w:val="480"/>
        </w:trPr>
        <w:tc>
          <w:tcPr>
            <w:tcW w:w="615"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659E9828" w14:textId="77777777" w:rsidR="00842401" w:rsidRPr="00524435" w:rsidRDefault="00842401" w:rsidP="00C33359">
            <w:pPr>
              <w:pStyle w:val="Body"/>
              <w:jc w:val="both"/>
              <w:rPr>
                <w:rFonts w:ascii="Cambria" w:eastAsia="Cambria" w:hAnsi="Cambria" w:cs="Cambria"/>
                <w:color w:val="auto"/>
                <w:sz w:val="20"/>
                <w:szCs w:val="20"/>
              </w:rPr>
            </w:pPr>
            <w:r w:rsidRPr="00524435">
              <w:rPr>
                <w:rFonts w:ascii="Cambria" w:eastAsia="Cambria" w:hAnsi="Cambria" w:cs="Cambria"/>
                <w:color w:val="auto"/>
                <w:sz w:val="20"/>
                <w:szCs w:val="20"/>
              </w:rPr>
              <w:t>31</w:t>
            </w:r>
          </w:p>
        </w:tc>
        <w:tc>
          <w:tcPr>
            <w:tcW w:w="153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10402B7F" w14:textId="77777777" w:rsidR="00842401" w:rsidRPr="00524435" w:rsidRDefault="00842401" w:rsidP="00C33359">
            <w:pPr>
              <w:rPr>
                <w:rFonts w:ascii="Cambria" w:eastAsia="Cambria" w:hAnsi="Cambria" w:cs="Cambria"/>
                <w:sz w:val="20"/>
                <w:szCs w:val="20"/>
              </w:rPr>
            </w:pPr>
            <w:r w:rsidRPr="00524435">
              <w:rPr>
                <w:rStyle w:val="None"/>
                <w:rFonts w:ascii="Cambria" w:eastAsia="Cambria" w:hAnsi="Cambria" w:cs="Cambria"/>
                <w:sz w:val="20"/>
              </w:rPr>
              <w:t>607-21</w:t>
            </w:r>
          </w:p>
        </w:tc>
        <w:tc>
          <w:tcPr>
            <w:tcW w:w="522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08D16F5F" w14:textId="77777777" w:rsidR="00842401" w:rsidRPr="00524435" w:rsidRDefault="00842401" w:rsidP="00C33359">
            <w:pPr>
              <w:jc w:val="both"/>
              <w:rPr>
                <w:rStyle w:val="None"/>
                <w:rFonts w:ascii="Cambria" w:eastAsia="Cambria" w:hAnsi="Cambria" w:cs="Cambria"/>
                <w:sz w:val="20"/>
              </w:rPr>
            </w:pPr>
            <w:r w:rsidRPr="00524435">
              <w:rPr>
                <w:rStyle w:val="None"/>
                <w:rFonts w:ascii="Cambria" w:eastAsia="Cambria" w:hAnsi="Cambria" w:cs="Cambria"/>
                <w:sz w:val="20"/>
              </w:rPr>
              <w:t>Jorge Luis Salas Arenas and his nuclear family</w:t>
            </w:r>
          </w:p>
        </w:tc>
        <w:tc>
          <w:tcPr>
            <w:tcW w:w="198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65AA46E2" w14:textId="77777777" w:rsidR="00842401" w:rsidRPr="00524435" w:rsidRDefault="00842401" w:rsidP="00C33359">
            <w:pPr>
              <w:jc w:val="both"/>
              <w:rPr>
                <w:rFonts w:ascii="Cambria" w:eastAsia="Cambria" w:hAnsi="Cambria" w:cs="Cambria"/>
                <w:sz w:val="20"/>
                <w:szCs w:val="20"/>
              </w:rPr>
            </w:pPr>
            <w:r w:rsidRPr="00524435">
              <w:rPr>
                <w:rStyle w:val="None"/>
                <w:rFonts w:ascii="Cambria" w:eastAsia="Cambria" w:hAnsi="Cambria" w:cs="Cambria"/>
                <w:sz w:val="20"/>
              </w:rPr>
              <w:t>Peru</w:t>
            </w:r>
          </w:p>
        </w:tc>
      </w:tr>
      <w:tr w:rsidR="00842401" w:rsidRPr="00524435" w14:paraId="59892AFC" w14:textId="77777777" w:rsidTr="00C33359">
        <w:trPr>
          <w:trHeight w:val="480"/>
        </w:trPr>
        <w:tc>
          <w:tcPr>
            <w:tcW w:w="615"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2E0870D6" w14:textId="77777777" w:rsidR="00842401" w:rsidRPr="00524435" w:rsidRDefault="00842401" w:rsidP="00C33359">
            <w:pPr>
              <w:pStyle w:val="Body"/>
              <w:jc w:val="both"/>
              <w:rPr>
                <w:rFonts w:ascii="Cambria" w:eastAsia="Cambria" w:hAnsi="Cambria" w:cs="Cambria"/>
                <w:color w:val="auto"/>
                <w:sz w:val="20"/>
                <w:szCs w:val="20"/>
              </w:rPr>
            </w:pPr>
            <w:r w:rsidRPr="00524435">
              <w:rPr>
                <w:rFonts w:ascii="Cambria" w:eastAsia="Cambria" w:hAnsi="Cambria" w:cs="Cambria"/>
                <w:color w:val="auto"/>
                <w:sz w:val="20"/>
                <w:szCs w:val="20"/>
              </w:rPr>
              <w:t>32</w:t>
            </w:r>
          </w:p>
        </w:tc>
        <w:tc>
          <w:tcPr>
            <w:tcW w:w="153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14DD7D17" w14:textId="77777777" w:rsidR="00842401" w:rsidRPr="00524435" w:rsidRDefault="00842401" w:rsidP="00C33359">
            <w:pPr>
              <w:rPr>
                <w:rFonts w:ascii="Cambria" w:eastAsia="Cambria" w:hAnsi="Cambria" w:cs="Cambria"/>
                <w:sz w:val="20"/>
                <w:szCs w:val="20"/>
              </w:rPr>
            </w:pPr>
            <w:r w:rsidRPr="00524435">
              <w:rPr>
                <w:rStyle w:val="None"/>
                <w:rFonts w:ascii="Cambria" w:eastAsia="Cambria" w:hAnsi="Cambria" w:cs="Cambria"/>
                <w:sz w:val="20"/>
              </w:rPr>
              <w:t>954-19</w:t>
            </w:r>
          </w:p>
        </w:tc>
        <w:tc>
          <w:tcPr>
            <w:tcW w:w="522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10148971" w14:textId="77777777" w:rsidR="00842401" w:rsidRPr="00524435" w:rsidRDefault="00842401" w:rsidP="00C33359">
            <w:pPr>
              <w:jc w:val="both"/>
              <w:rPr>
                <w:rStyle w:val="None"/>
                <w:rFonts w:ascii="Cambria" w:eastAsia="Cambria" w:hAnsi="Cambria" w:cs="Cambria"/>
                <w:sz w:val="20"/>
              </w:rPr>
            </w:pPr>
            <w:proofErr w:type="spellStart"/>
            <w:r w:rsidRPr="00524435">
              <w:rPr>
                <w:rStyle w:val="None"/>
                <w:rFonts w:ascii="Cambria" w:eastAsia="Cambria" w:hAnsi="Cambria" w:cs="Cambria"/>
                <w:sz w:val="20"/>
              </w:rPr>
              <w:t>Lof</w:t>
            </w:r>
            <w:proofErr w:type="spellEnd"/>
            <w:r w:rsidRPr="00524435">
              <w:rPr>
                <w:rStyle w:val="None"/>
                <w:rFonts w:ascii="Cambria" w:eastAsia="Cambria" w:hAnsi="Cambria" w:cs="Cambria"/>
                <w:sz w:val="20"/>
              </w:rPr>
              <w:t xml:space="preserve"> </w:t>
            </w:r>
            <w:proofErr w:type="spellStart"/>
            <w:r w:rsidRPr="00524435">
              <w:rPr>
                <w:rStyle w:val="None"/>
                <w:rFonts w:ascii="Cambria" w:eastAsia="Cambria" w:hAnsi="Cambria" w:cs="Cambria"/>
                <w:sz w:val="20"/>
              </w:rPr>
              <w:t>Buenuleo</w:t>
            </w:r>
            <w:proofErr w:type="spellEnd"/>
            <w:r w:rsidRPr="00524435">
              <w:rPr>
                <w:rStyle w:val="None"/>
                <w:rFonts w:ascii="Cambria" w:eastAsia="Cambria" w:hAnsi="Cambria" w:cs="Cambria"/>
                <w:sz w:val="20"/>
              </w:rPr>
              <w:t xml:space="preserve"> </w:t>
            </w:r>
            <w:proofErr w:type="spellStart"/>
            <w:r w:rsidRPr="00524435">
              <w:rPr>
                <w:rStyle w:val="None"/>
                <w:rFonts w:ascii="Cambria" w:eastAsia="Cambria" w:hAnsi="Cambria" w:cs="Cambria"/>
                <w:sz w:val="20"/>
              </w:rPr>
              <w:t>Mapuche</w:t>
            </w:r>
            <w:proofErr w:type="spellEnd"/>
            <w:r w:rsidRPr="00524435">
              <w:rPr>
                <w:rStyle w:val="None"/>
                <w:rFonts w:ascii="Cambria" w:eastAsia="Cambria" w:hAnsi="Cambria" w:cs="Cambria"/>
                <w:sz w:val="20"/>
              </w:rPr>
              <w:t xml:space="preserve"> Community</w:t>
            </w:r>
          </w:p>
        </w:tc>
        <w:tc>
          <w:tcPr>
            <w:tcW w:w="198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7EE95C5C" w14:textId="77777777" w:rsidR="00842401" w:rsidRPr="00524435" w:rsidRDefault="00842401" w:rsidP="00C33359">
            <w:pPr>
              <w:jc w:val="both"/>
              <w:rPr>
                <w:rFonts w:ascii="Cambria" w:eastAsia="Cambria" w:hAnsi="Cambria" w:cs="Cambria"/>
                <w:sz w:val="20"/>
                <w:szCs w:val="20"/>
              </w:rPr>
            </w:pPr>
            <w:r w:rsidRPr="00524435">
              <w:rPr>
                <w:rStyle w:val="None"/>
                <w:rFonts w:ascii="Cambria" w:eastAsia="Cambria" w:hAnsi="Cambria" w:cs="Cambria"/>
                <w:sz w:val="20"/>
              </w:rPr>
              <w:t>Argentina</w:t>
            </w:r>
          </w:p>
        </w:tc>
      </w:tr>
      <w:tr w:rsidR="00842401" w:rsidRPr="00524435" w14:paraId="756BD4C8" w14:textId="77777777" w:rsidTr="00C33359">
        <w:trPr>
          <w:trHeight w:val="480"/>
        </w:trPr>
        <w:tc>
          <w:tcPr>
            <w:tcW w:w="615"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7E42DF3C" w14:textId="77777777" w:rsidR="00842401" w:rsidRPr="00524435" w:rsidRDefault="00842401" w:rsidP="00C33359">
            <w:pPr>
              <w:pStyle w:val="Body"/>
              <w:jc w:val="both"/>
              <w:rPr>
                <w:rFonts w:ascii="Cambria" w:eastAsia="Cambria" w:hAnsi="Cambria" w:cs="Cambria"/>
                <w:color w:val="auto"/>
                <w:sz w:val="20"/>
                <w:szCs w:val="20"/>
              </w:rPr>
            </w:pPr>
            <w:r w:rsidRPr="00524435">
              <w:rPr>
                <w:rFonts w:ascii="Cambria" w:eastAsia="Cambria" w:hAnsi="Cambria" w:cs="Cambria"/>
                <w:color w:val="auto"/>
                <w:sz w:val="20"/>
                <w:szCs w:val="20"/>
              </w:rPr>
              <w:t>33</w:t>
            </w:r>
          </w:p>
        </w:tc>
        <w:tc>
          <w:tcPr>
            <w:tcW w:w="153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667AEAE5" w14:textId="77777777" w:rsidR="00842401" w:rsidRPr="00524435" w:rsidRDefault="00842401" w:rsidP="00C33359">
            <w:pPr>
              <w:rPr>
                <w:rFonts w:ascii="Cambria" w:eastAsia="Cambria" w:hAnsi="Cambria" w:cs="Cambria"/>
                <w:sz w:val="20"/>
                <w:szCs w:val="20"/>
              </w:rPr>
            </w:pPr>
            <w:r w:rsidRPr="00524435">
              <w:rPr>
                <w:rStyle w:val="None"/>
                <w:rFonts w:ascii="Cambria" w:eastAsia="Cambria" w:hAnsi="Cambria" w:cs="Cambria"/>
                <w:sz w:val="20"/>
              </w:rPr>
              <w:t>259-02</w:t>
            </w:r>
          </w:p>
        </w:tc>
        <w:tc>
          <w:tcPr>
            <w:tcW w:w="522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149234D3" w14:textId="77777777" w:rsidR="00842401" w:rsidRPr="00524435" w:rsidRDefault="00842401" w:rsidP="00C33359">
            <w:pPr>
              <w:pStyle w:val="Body"/>
              <w:jc w:val="both"/>
              <w:rPr>
                <w:rFonts w:ascii="Cambria" w:eastAsia="Cambria" w:hAnsi="Cambria" w:cs="Cambria"/>
                <w:color w:val="auto"/>
                <w:sz w:val="20"/>
                <w:szCs w:val="20"/>
              </w:rPr>
            </w:pPr>
            <w:r w:rsidRPr="00524435">
              <w:rPr>
                <w:rFonts w:ascii="Cambria" w:eastAsia="Cambria" w:hAnsi="Cambria" w:cs="Cambria"/>
                <w:color w:val="auto"/>
                <w:sz w:val="20"/>
                <w:szCs w:val="20"/>
              </w:rPr>
              <w:t>Detainees in the Guantanamo Bay Military Base Cuba</w:t>
            </w:r>
            <w:r w:rsidRPr="00524435">
              <w:rPr>
                <w:rFonts w:ascii="Cambria" w:eastAsia="Cambria" w:hAnsi="Cambria" w:cs="Cambria"/>
                <w:color w:val="auto"/>
                <w:sz w:val="20"/>
                <w:szCs w:val="20"/>
                <w:u w:val="single"/>
              </w:rPr>
              <w:t xml:space="preserve"> </w:t>
            </w:r>
          </w:p>
        </w:tc>
        <w:tc>
          <w:tcPr>
            <w:tcW w:w="198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48015021" w14:textId="77777777" w:rsidR="00842401" w:rsidRPr="00524435" w:rsidRDefault="00842401" w:rsidP="00C33359">
            <w:pPr>
              <w:jc w:val="both"/>
              <w:rPr>
                <w:rStyle w:val="None"/>
                <w:rFonts w:ascii="Cambria" w:eastAsia="Cambria" w:hAnsi="Cambria" w:cs="Cambria"/>
              </w:rPr>
            </w:pPr>
            <w:r w:rsidRPr="00524435">
              <w:rPr>
                <w:rStyle w:val="None"/>
                <w:rFonts w:ascii="Cambria" w:eastAsia="Cambria" w:hAnsi="Cambria" w:cs="Cambria"/>
                <w:sz w:val="20"/>
              </w:rPr>
              <w:t>United States</w:t>
            </w:r>
          </w:p>
        </w:tc>
      </w:tr>
      <w:tr w:rsidR="00842401" w:rsidRPr="00524435" w14:paraId="70319710" w14:textId="77777777" w:rsidTr="00C33359">
        <w:trPr>
          <w:trHeight w:val="480"/>
        </w:trPr>
        <w:tc>
          <w:tcPr>
            <w:tcW w:w="615"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44CEF1D8" w14:textId="77777777" w:rsidR="00842401" w:rsidRPr="00524435" w:rsidRDefault="00842401" w:rsidP="00C33359">
            <w:pPr>
              <w:pStyle w:val="Body"/>
              <w:jc w:val="both"/>
              <w:rPr>
                <w:rFonts w:ascii="Cambria" w:eastAsia="Cambria" w:hAnsi="Cambria" w:cs="Cambria"/>
                <w:color w:val="auto"/>
                <w:sz w:val="20"/>
                <w:szCs w:val="20"/>
              </w:rPr>
            </w:pPr>
            <w:r w:rsidRPr="00524435">
              <w:rPr>
                <w:rFonts w:ascii="Cambria" w:eastAsia="Cambria" w:hAnsi="Cambria" w:cs="Cambria"/>
                <w:color w:val="auto"/>
                <w:sz w:val="20"/>
                <w:szCs w:val="20"/>
              </w:rPr>
              <w:t>34</w:t>
            </w:r>
          </w:p>
        </w:tc>
        <w:tc>
          <w:tcPr>
            <w:tcW w:w="153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5220C89B" w14:textId="77777777" w:rsidR="00842401" w:rsidRPr="00524435" w:rsidRDefault="00842401" w:rsidP="00C33359">
            <w:pPr>
              <w:rPr>
                <w:rFonts w:ascii="Cambria" w:eastAsia="Cambria" w:hAnsi="Cambria" w:cs="Cambria"/>
                <w:sz w:val="20"/>
                <w:szCs w:val="20"/>
              </w:rPr>
            </w:pPr>
            <w:r w:rsidRPr="00524435">
              <w:rPr>
                <w:rStyle w:val="None"/>
                <w:rFonts w:ascii="Cambria" w:eastAsia="Cambria" w:hAnsi="Cambria" w:cs="Cambria"/>
                <w:sz w:val="20"/>
              </w:rPr>
              <w:t>275-15</w:t>
            </w:r>
          </w:p>
        </w:tc>
        <w:tc>
          <w:tcPr>
            <w:tcW w:w="522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4EBCB3AE" w14:textId="77777777" w:rsidR="00842401" w:rsidRPr="00524435" w:rsidRDefault="00842401" w:rsidP="00C33359">
            <w:pPr>
              <w:jc w:val="both"/>
              <w:rPr>
                <w:rFonts w:ascii="Cambria" w:eastAsia="Cambria" w:hAnsi="Cambria" w:cs="Cambria"/>
                <w:sz w:val="20"/>
                <w:szCs w:val="20"/>
              </w:rPr>
            </w:pPr>
            <w:r w:rsidRPr="00524435">
              <w:rPr>
                <w:rStyle w:val="None"/>
                <w:rFonts w:ascii="Cambria" w:eastAsia="Cambria" w:hAnsi="Cambria" w:cs="Cambria"/>
                <w:sz w:val="20"/>
              </w:rPr>
              <w:t xml:space="preserve">David Boniface, </w:t>
            </w:r>
            <w:proofErr w:type="spellStart"/>
            <w:r w:rsidRPr="00524435">
              <w:rPr>
                <w:rStyle w:val="None"/>
                <w:rFonts w:ascii="Cambria" w:eastAsia="Cambria" w:hAnsi="Cambria" w:cs="Cambria"/>
                <w:sz w:val="20"/>
              </w:rPr>
              <w:t>Nissage</w:t>
            </w:r>
            <w:proofErr w:type="spellEnd"/>
            <w:r w:rsidRPr="00524435">
              <w:rPr>
                <w:rStyle w:val="None"/>
                <w:rFonts w:ascii="Cambria" w:eastAsia="Cambria" w:hAnsi="Cambria" w:cs="Cambria"/>
                <w:sz w:val="20"/>
              </w:rPr>
              <w:t xml:space="preserve"> Martyr, </w:t>
            </w:r>
            <w:proofErr w:type="spellStart"/>
            <w:r w:rsidRPr="00524435">
              <w:rPr>
                <w:rStyle w:val="None"/>
                <w:rFonts w:ascii="Cambria" w:eastAsia="Cambria" w:hAnsi="Cambria" w:cs="Cambria"/>
                <w:sz w:val="20"/>
              </w:rPr>
              <w:t>Juders</w:t>
            </w:r>
            <w:proofErr w:type="spellEnd"/>
            <w:r w:rsidRPr="00524435">
              <w:rPr>
                <w:rStyle w:val="None"/>
                <w:rFonts w:ascii="Cambria" w:eastAsia="Cambria" w:hAnsi="Cambria" w:cs="Cambria"/>
                <w:sz w:val="20"/>
              </w:rPr>
              <w:t xml:space="preserve"> </w:t>
            </w:r>
            <w:proofErr w:type="spellStart"/>
            <w:r w:rsidRPr="00524435">
              <w:rPr>
                <w:rStyle w:val="None"/>
                <w:rFonts w:ascii="Cambria" w:eastAsia="Cambria" w:hAnsi="Cambria" w:cs="Cambria"/>
                <w:sz w:val="20"/>
              </w:rPr>
              <w:t>Ysemé</w:t>
            </w:r>
            <w:proofErr w:type="spellEnd"/>
            <w:r w:rsidRPr="00524435">
              <w:rPr>
                <w:rStyle w:val="None"/>
                <w:rFonts w:ascii="Cambria" w:eastAsia="Cambria" w:hAnsi="Cambria" w:cs="Cambria"/>
                <w:sz w:val="20"/>
              </w:rPr>
              <w:t>, and their nuclear families</w:t>
            </w:r>
          </w:p>
        </w:tc>
        <w:tc>
          <w:tcPr>
            <w:tcW w:w="198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3845FE17" w14:textId="77777777" w:rsidR="00842401" w:rsidRPr="00524435" w:rsidRDefault="00842401" w:rsidP="00C33359">
            <w:pPr>
              <w:jc w:val="both"/>
              <w:rPr>
                <w:rStyle w:val="None"/>
                <w:rFonts w:ascii="Cambria" w:eastAsia="Cambria" w:hAnsi="Cambria" w:cs="Cambria"/>
                <w:sz w:val="20"/>
                <w:u w:val="single"/>
              </w:rPr>
            </w:pPr>
            <w:r w:rsidRPr="00524435">
              <w:rPr>
                <w:rStyle w:val="None"/>
                <w:rFonts w:ascii="Cambria" w:eastAsia="Cambria" w:hAnsi="Cambria" w:cs="Cambria"/>
                <w:sz w:val="20"/>
              </w:rPr>
              <w:t>Haiti</w:t>
            </w:r>
          </w:p>
        </w:tc>
      </w:tr>
      <w:tr w:rsidR="00842401" w:rsidRPr="00524435" w14:paraId="12DE231A" w14:textId="77777777" w:rsidTr="00C33359">
        <w:trPr>
          <w:trHeight w:val="240"/>
        </w:trPr>
        <w:tc>
          <w:tcPr>
            <w:tcW w:w="9345" w:type="dxa"/>
            <w:gridSpan w:val="4"/>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397D316E" w14:textId="77777777" w:rsidR="00842401" w:rsidRPr="00524435" w:rsidRDefault="00842401" w:rsidP="00C33359">
            <w:pPr>
              <w:jc w:val="center"/>
              <w:rPr>
                <w:rStyle w:val="None"/>
                <w:rFonts w:ascii="Cambria" w:eastAsia="Cambria" w:hAnsi="Cambria" w:cs="Cambria"/>
                <w:b/>
                <w:bCs/>
                <w:sz w:val="20"/>
              </w:rPr>
            </w:pPr>
            <w:r w:rsidRPr="00524435">
              <w:rPr>
                <w:rStyle w:val="None"/>
                <w:rFonts w:ascii="Cambria" w:eastAsia="Cambria" w:hAnsi="Cambria" w:cs="Cambria"/>
                <w:bCs/>
                <w:sz w:val="20"/>
              </w:rPr>
              <w:t>Public hearing</w:t>
            </w:r>
          </w:p>
        </w:tc>
      </w:tr>
      <w:tr w:rsidR="00842401" w:rsidRPr="00524435" w14:paraId="3AC62E4F" w14:textId="77777777" w:rsidTr="00C33359">
        <w:trPr>
          <w:trHeight w:val="480"/>
        </w:trPr>
        <w:tc>
          <w:tcPr>
            <w:tcW w:w="615" w:type="dxa"/>
            <w:vMerge w:val="restart"/>
            <w:tcBorders>
              <w:top w:val="single" w:sz="6" w:space="0" w:color="8EAADB" w:themeColor="accent5" w:themeTint="99"/>
              <w:left w:val="single" w:sz="6" w:space="0" w:color="8EAADB" w:themeColor="accent5" w:themeTint="99"/>
              <w:bottom w:val="single" w:sz="6" w:space="0" w:color="FFFFFF" w:themeColor="background1"/>
              <w:right w:val="single" w:sz="6" w:space="0" w:color="8EAADB" w:themeColor="accent5" w:themeTint="99"/>
            </w:tcBorders>
          </w:tcPr>
          <w:p w14:paraId="6EF563A0" w14:textId="77777777" w:rsidR="00842401" w:rsidRPr="00524435" w:rsidRDefault="00842401" w:rsidP="00C33359">
            <w:pPr>
              <w:pStyle w:val="Body"/>
              <w:jc w:val="both"/>
              <w:rPr>
                <w:rFonts w:ascii="Cambria" w:eastAsia="Cambria" w:hAnsi="Cambria" w:cs="Cambria"/>
                <w:color w:val="auto"/>
                <w:sz w:val="20"/>
                <w:szCs w:val="20"/>
              </w:rPr>
            </w:pPr>
            <w:r w:rsidRPr="00524435">
              <w:rPr>
                <w:rFonts w:ascii="Cambria" w:eastAsia="Cambria" w:hAnsi="Cambria" w:cs="Cambria"/>
                <w:color w:val="auto"/>
                <w:sz w:val="20"/>
                <w:szCs w:val="20"/>
              </w:rPr>
              <w:t>3</w:t>
            </w:r>
          </w:p>
        </w:tc>
        <w:tc>
          <w:tcPr>
            <w:tcW w:w="153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56FBE064" w14:textId="77777777" w:rsidR="00842401" w:rsidRPr="00524435" w:rsidRDefault="00842401" w:rsidP="00C33359">
            <w:pPr>
              <w:pStyle w:val="Body"/>
              <w:rPr>
                <w:rFonts w:ascii="Cambria" w:eastAsia="Cambria" w:hAnsi="Cambria" w:cs="Cambria"/>
                <w:color w:val="auto"/>
                <w:sz w:val="20"/>
                <w:szCs w:val="20"/>
              </w:rPr>
            </w:pPr>
            <w:r w:rsidRPr="00524435">
              <w:rPr>
                <w:rFonts w:ascii="Cambria" w:eastAsia="Cambria" w:hAnsi="Cambria" w:cs="Cambria"/>
                <w:color w:val="auto"/>
                <w:sz w:val="20"/>
                <w:szCs w:val="20"/>
              </w:rPr>
              <w:t>693-18</w:t>
            </w:r>
          </w:p>
        </w:tc>
        <w:tc>
          <w:tcPr>
            <w:tcW w:w="522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17DC527E" w14:textId="77777777" w:rsidR="00842401" w:rsidRPr="00E42B49" w:rsidRDefault="00842401" w:rsidP="00C33359">
            <w:pPr>
              <w:pStyle w:val="Body"/>
              <w:jc w:val="both"/>
              <w:rPr>
                <w:rFonts w:ascii="Cambria" w:eastAsia="Cambria" w:hAnsi="Cambria" w:cs="Cambria"/>
                <w:color w:val="auto"/>
                <w:sz w:val="20"/>
                <w:szCs w:val="20"/>
                <w:lang w:val="es-US"/>
              </w:rPr>
            </w:pPr>
            <w:r w:rsidRPr="00E42B49">
              <w:rPr>
                <w:rFonts w:ascii="Cambria" w:eastAsia="Cambria" w:hAnsi="Cambria" w:cs="Cambria"/>
                <w:color w:val="auto"/>
                <w:sz w:val="20"/>
                <w:szCs w:val="20"/>
                <w:lang w:val="es-US"/>
              </w:rPr>
              <w:t xml:space="preserve">Aníbal Toruño Jirón </w:t>
            </w:r>
            <w:r w:rsidRPr="00E42B49">
              <w:rPr>
                <w:rFonts w:ascii="Cambria" w:eastAsia="Cambria" w:hAnsi="Cambria" w:cs="Cambria"/>
                <w:i/>
                <w:iCs/>
                <w:color w:val="auto"/>
                <w:sz w:val="20"/>
                <w:szCs w:val="20"/>
                <w:lang w:val="es-US"/>
              </w:rPr>
              <w:t>et al</w:t>
            </w:r>
            <w:r w:rsidRPr="00E42B49">
              <w:rPr>
                <w:rFonts w:ascii="Cambria" w:eastAsia="Cambria" w:hAnsi="Cambria" w:cs="Cambria"/>
                <w:color w:val="auto"/>
                <w:sz w:val="20"/>
                <w:szCs w:val="20"/>
                <w:lang w:val="es-US"/>
              </w:rPr>
              <w:t>.</w:t>
            </w:r>
          </w:p>
        </w:tc>
        <w:tc>
          <w:tcPr>
            <w:tcW w:w="198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7A557068" w14:textId="77777777" w:rsidR="00842401" w:rsidRPr="00524435" w:rsidRDefault="00842401" w:rsidP="00C33359">
            <w:pPr>
              <w:pStyle w:val="Body"/>
              <w:jc w:val="both"/>
              <w:rPr>
                <w:rFonts w:ascii="Cambria" w:eastAsia="Cambria" w:hAnsi="Cambria" w:cs="Cambria"/>
                <w:color w:val="auto"/>
                <w:sz w:val="20"/>
                <w:szCs w:val="20"/>
              </w:rPr>
            </w:pPr>
            <w:r w:rsidRPr="00524435">
              <w:rPr>
                <w:rFonts w:ascii="Cambria" w:eastAsia="Cambria" w:hAnsi="Cambria" w:cs="Cambria"/>
                <w:color w:val="auto"/>
                <w:sz w:val="20"/>
                <w:szCs w:val="20"/>
              </w:rPr>
              <w:t>Nicaragua</w:t>
            </w:r>
          </w:p>
        </w:tc>
      </w:tr>
      <w:tr w:rsidR="00842401" w:rsidRPr="00524435" w14:paraId="17FE103D" w14:textId="77777777" w:rsidTr="00C33359">
        <w:trPr>
          <w:trHeight w:val="480"/>
        </w:trPr>
        <w:tc>
          <w:tcPr>
            <w:tcW w:w="615" w:type="dxa"/>
            <w:vMerge/>
            <w:tcBorders>
              <w:left w:val="single" w:sz="0" w:space="0" w:color="8EAADB" w:themeColor="accent5" w:themeTint="99"/>
              <w:right w:val="single" w:sz="0" w:space="0" w:color="8EAADB" w:themeColor="accent5" w:themeTint="99"/>
            </w:tcBorders>
            <w:vAlign w:val="center"/>
          </w:tcPr>
          <w:p w14:paraId="5FEB4F29" w14:textId="77777777" w:rsidR="00842401" w:rsidRPr="00524435" w:rsidRDefault="00842401" w:rsidP="00C33359">
            <w:pPr>
              <w:rPr>
                <w:rFonts w:ascii="Cambria" w:hAnsi="Cambria"/>
              </w:rPr>
            </w:pPr>
          </w:p>
        </w:tc>
        <w:tc>
          <w:tcPr>
            <w:tcW w:w="153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6148B627" w14:textId="77777777" w:rsidR="00842401" w:rsidRPr="00524435" w:rsidRDefault="00842401" w:rsidP="00C33359">
            <w:pPr>
              <w:pStyle w:val="Body"/>
              <w:rPr>
                <w:rFonts w:ascii="Cambria" w:eastAsia="Cambria" w:hAnsi="Cambria" w:cs="Cambria"/>
                <w:color w:val="auto"/>
                <w:sz w:val="20"/>
                <w:szCs w:val="20"/>
              </w:rPr>
            </w:pPr>
            <w:r w:rsidRPr="00524435">
              <w:rPr>
                <w:rFonts w:ascii="Cambria" w:eastAsia="Cambria" w:hAnsi="Cambria" w:cs="Cambria"/>
                <w:color w:val="auto"/>
                <w:sz w:val="20"/>
                <w:szCs w:val="20"/>
              </w:rPr>
              <w:t>1606-18</w:t>
            </w:r>
          </w:p>
        </w:tc>
        <w:tc>
          <w:tcPr>
            <w:tcW w:w="522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3D80E357" w14:textId="77777777" w:rsidR="00842401" w:rsidRPr="00E42B49" w:rsidRDefault="00842401" w:rsidP="00C33359">
            <w:pPr>
              <w:pStyle w:val="Body"/>
              <w:jc w:val="both"/>
              <w:rPr>
                <w:rFonts w:ascii="Cambria" w:eastAsia="Cambria" w:hAnsi="Cambria" w:cs="Cambria"/>
                <w:color w:val="auto"/>
                <w:sz w:val="20"/>
                <w:szCs w:val="20"/>
                <w:lang w:val="es-US"/>
              </w:rPr>
            </w:pPr>
            <w:r w:rsidRPr="00E42B49">
              <w:rPr>
                <w:rFonts w:ascii="Cambria" w:eastAsia="Cambria" w:hAnsi="Cambria" w:cs="Cambria"/>
                <w:color w:val="auto"/>
                <w:sz w:val="20"/>
                <w:szCs w:val="20"/>
                <w:lang w:val="es-US"/>
              </w:rPr>
              <w:t xml:space="preserve">Carlos Fernando Chamorro Barrios </w:t>
            </w:r>
            <w:r w:rsidRPr="00E42B49">
              <w:rPr>
                <w:rFonts w:ascii="Cambria" w:eastAsia="Cambria" w:hAnsi="Cambria" w:cs="Cambria"/>
                <w:i/>
                <w:iCs/>
                <w:color w:val="auto"/>
                <w:sz w:val="20"/>
                <w:szCs w:val="20"/>
                <w:lang w:val="es-US"/>
              </w:rPr>
              <w:t>et al</w:t>
            </w:r>
            <w:r w:rsidRPr="00E42B49">
              <w:rPr>
                <w:rFonts w:ascii="Cambria" w:eastAsia="Cambria" w:hAnsi="Cambria" w:cs="Cambria"/>
                <w:color w:val="auto"/>
                <w:sz w:val="20"/>
                <w:szCs w:val="20"/>
                <w:lang w:val="es-US"/>
              </w:rPr>
              <w:t>.</w:t>
            </w:r>
          </w:p>
        </w:tc>
        <w:tc>
          <w:tcPr>
            <w:tcW w:w="198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149E4D09" w14:textId="77777777" w:rsidR="00842401" w:rsidRPr="00524435" w:rsidRDefault="00842401" w:rsidP="00C33359">
            <w:pPr>
              <w:pStyle w:val="Body"/>
              <w:jc w:val="both"/>
              <w:rPr>
                <w:rFonts w:ascii="Cambria" w:eastAsia="Cambria" w:hAnsi="Cambria" w:cs="Cambria"/>
                <w:color w:val="auto"/>
                <w:sz w:val="20"/>
                <w:szCs w:val="20"/>
              </w:rPr>
            </w:pPr>
            <w:r w:rsidRPr="00524435">
              <w:rPr>
                <w:rFonts w:ascii="Cambria" w:eastAsia="Cambria" w:hAnsi="Cambria" w:cs="Cambria"/>
                <w:color w:val="auto"/>
                <w:sz w:val="20"/>
                <w:szCs w:val="20"/>
              </w:rPr>
              <w:t>Nicaragua</w:t>
            </w:r>
          </w:p>
        </w:tc>
      </w:tr>
      <w:tr w:rsidR="00842401" w:rsidRPr="00524435" w14:paraId="1E7E21BC" w14:textId="77777777" w:rsidTr="00C33359">
        <w:trPr>
          <w:trHeight w:val="480"/>
        </w:trPr>
        <w:tc>
          <w:tcPr>
            <w:tcW w:w="615" w:type="dxa"/>
            <w:vMerge/>
            <w:tcBorders>
              <w:left w:val="single" w:sz="0" w:space="0" w:color="8EAADB" w:themeColor="accent5" w:themeTint="99"/>
              <w:right w:val="single" w:sz="0" w:space="0" w:color="8EAADB" w:themeColor="accent5" w:themeTint="99"/>
            </w:tcBorders>
            <w:vAlign w:val="center"/>
          </w:tcPr>
          <w:p w14:paraId="08C1AFF5" w14:textId="77777777" w:rsidR="00842401" w:rsidRPr="00524435" w:rsidRDefault="00842401" w:rsidP="00C33359">
            <w:pPr>
              <w:rPr>
                <w:rFonts w:ascii="Cambria" w:hAnsi="Cambria"/>
              </w:rPr>
            </w:pPr>
          </w:p>
        </w:tc>
        <w:tc>
          <w:tcPr>
            <w:tcW w:w="153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0987FB89" w14:textId="77777777" w:rsidR="00842401" w:rsidRPr="00524435" w:rsidRDefault="00842401" w:rsidP="00C33359">
            <w:pPr>
              <w:pStyle w:val="Body"/>
              <w:rPr>
                <w:rFonts w:ascii="Cambria" w:eastAsia="Cambria" w:hAnsi="Cambria" w:cs="Cambria"/>
                <w:color w:val="auto"/>
                <w:sz w:val="20"/>
                <w:szCs w:val="20"/>
              </w:rPr>
            </w:pPr>
            <w:r w:rsidRPr="00524435">
              <w:rPr>
                <w:rFonts w:ascii="Cambria" w:eastAsia="Cambria" w:hAnsi="Cambria" w:cs="Cambria"/>
                <w:color w:val="auto"/>
                <w:sz w:val="20"/>
                <w:szCs w:val="20"/>
              </w:rPr>
              <w:t>399-19</w:t>
            </w:r>
          </w:p>
        </w:tc>
        <w:tc>
          <w:tcPr>
            <w:tcW w:w="522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40C96CB8" w14:textId="77777777" w:rsidR="00842401" w:rsidRPr="00E42B49" w:rsidRDefault="00842401" w:rsidP="00C33359">
            <w:pPr>
              <w:pStyle w:val="Body"/>
              <w:jc w:val="both"/>
              <w:rPr>
                <w:rFonts w:ascii="Cambria" w:eastAsia="Cambria" w:hAnsi="Cambria" w:cs="Cambria"/>
                <w:color w:val="auto"/>
                <w:sz w:val="20"/>
                <w:szCs w:val="20"/>
                <w:lang w:val="es-US"/>
              </w:rPr>
            </w:pPr>
            <w:r w:rsidRPr="00E42B49">
              <w:rPr>
                <w:rFonts w:ascii="Cambria" w:eastAsia="Cambria" w:hAnsi="Cambria" w:cs="Cambria"/>
                <w:color w:val="auto"/>
                <w:sz w:val="20"/>
                <w:szCs w:val="20"/>
                <w:lang w:val="es-US"/>
              </w:rPr>
              <w:t>Sergio Warren León Corea Sergio Yasir León Flores Kimberly Janice León Aguilar</w:t>
            </w:r>
          </w:p>
        </w:tc>
        <w:tc>
          <w:tcPr>
            <w:tcW w:w="198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0A5CA04B" w14:textId="77777777" w:rsidR="00842401" w:rsidRPr="00524435" w:rsidRDefault="00842401" w:rsidP="00C33359">
            <w:pPr>
              <w:pStyle w:val="Body"/>
              <w:jc w:val="both"/>
              <w:rPr>
                <w:rFonts w:ascii="Cambria" w:eastAsia="Cambria" w:hAnsi="Cambria" w:cs="Cambria"/>
                <w:color w:val="auto"/>
                <w:sz w:val="20"/>
                <w:szCs w:val="20"/>
              </w:rPr>
            </w:pPr>
            <w:r w:rsidRPr="00524435">
              <w:rPr>
                <w:rFonts w:ascii="Cambria" w:eastAsia="Cambria" w:hAnsi="Cambria" w:cs="Cambria"/>
                <w:color w:val="auto"/>
                <w:sz w:val="20"/>
                <w:szCs w:val="20"/>
              </w:rPr>
              <w:t>Nicaragua</w:t>
            </w:r>
          </w:p>
        </w:tc>
      </w:tr>
      <w:tr w:rsidR="00842401" w:rsidRPr="00524435" w14:paraId="35C4A00A" w14:textId="77777777" w:rsidTr="00C33359">
        <w:trPr>
          <w:trHeight w:val="480"/>
        </w:trPr>
        <w:tc>
          <w:tcPr>
            <w:tcW w:w="615" w:type="dxa"/>
            <w:vMerge/>
            <w:tcBorders>
              <w:top w:val="single" w:sz="0" w:space="0" w:color="8EAADB" w:themeColor="accent5" w:themeTint="99"/>
              <w:left w:val="single" w:sz="0" w:space="0" w:color="8EAADB" w:themeColor="accent5" w:themeTint="99"/>
              <w:bottom w:val="single" w:sz="0" w:space="0" w:color="FFFFFF" w:themeColor="background1"/>
              <w:right w:val="single" w:sz="0" w:space="0" w:color="8EAADB" w:themeColor="accent5" w:themeTint="99"/>
            </w:tcBorders>
            <w:vAlign w:val="center"/>
          </w:tcPr>
          <w:p w14:paraId="67E0DD85" w14:textId="77777777" w:rsidR="00842401" w:rsidRPr="00524435" w:rsidRDefault="00842401" w:rsidP="00C33359">
            <w:pPr>
              <w:rPr>
                <w:rFonts w:ascii="Cambria" w:hAnsi="Cambria"/>
              </w:rPr>
            </w:pPr>
          </w:p>
        </w:tc>
        <w:tc>
          <w:tcPr>
            <w:tcW w:w="153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389F284F" w14:textId="77777777" w:rsidR="00842401" w:rsidRPr="00524435" w:rsidRDefault="00842401" w:rsidP="00C33359">
            <w:pPr>
              <w:pStyle w:val="Body"/>
              <w:rPr>
                <w:rFonts w:ascii="Cambria" w:eastAsia="Cambria" w:hAnsi="Cambria" w:cs="Cambria"/>
                <w:color w:val="auto"/>
                <w:sz w:val="20"/>
                <w:szCs w:val="20"/>
              </w:rPr>
            </w:pPr>
            <w:r w:rsidRPr="00524435">
              <w:rPr>
                <w:rFonts w:ascii="Cambria" w:eastAsia="Cambria" w:hAnsi="Cambria" w:cs="Cambria"/>
                <w:color w:val="auto"/>
                <w:sz w:val="20"/>
                <w:szCs w:val="20"/>
              </w:rPr>
              <w:t>366-21</w:t>
            </w:r>
          </w:p>
        </w:tc>
        <w:tc>
          <w:tcPr>
            <w:tcW w:w="522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4CDA353E" w14:textId="77777777" w:rsidR="00842401" w:rsidRPr="00524435" w:rsidRDefault="00842401" w:rsidP="00C33359">
            <w:pPr>
              <w:pStyle w:val="Body"/>
              <w:jc w:val="both"/>
              <w:rPr>
                <w:rFonts w:ascii="Cambria" w:eastAsia="Cambria" w:hAnsi="Cambria" w:cs="Cambria"/>
                <w:color w:val="auto"/>
                <w:sz w:val="20"/>
                <w:szCs w:val="20"/>
              </w:rPr>
            </w:pPr>
            <w:r w:rsidRPr="00524435">
              <w:rPr>
                <w:rFonts w:ascii="Cambria" w:eastAsia="Cambria" w:hAnsi="Cambria" w:cs="Cambria"/>
                <w:color w:val="auto"/>
                <w:sz w:val="20"/>
                <w:szCs w:val="20"/>
              </w:rPr>
              <w:t>Kalua Salazar</w:t>
            </w:r>
          </w:p>
        </w:tc>
        <w:tc>
          <w:tcPr>
            <w:tcW w:w="1980" w:type="dxa"/>
            <w:tcBorders>
              <w:top w:val="single" w:sz="6" w:space="0" w:color="8EAADB" w:themeColor="accent5" w:themeTint="99"/>
              <w:left w:val="single" w:sz="6" w:space="0" w:color="8EAADB" w:themeColor="accent5" w:themeTint="99"/>
              <w:bottom w:val="single" w:sz="6" w:space="0" w:color="8EAADB" w:themeColor="accent5" w:themeTint="99"/>
              <w:right w:val="single" w:sz="6" w:space="0" w:color="8EAADB" w:themeColor="accent5" w:themeTint="99"/>
            </w:tcBorders>
          </w:tcPr>
          <w:p w14:paraId="6A395D7E" w14:textId="77777777" w:rsidR="00842401" w:rsidRPr="00524435" w:rsidRDefault="00842401" w:rsidP="00C33359">
            <w:pPr>
              <w:pStyle w:val="Body"/>
              <w:jc w:val="both"/>
              <w:rPr>
                <w:rFonts w:ascii="Cambria" w:eastAsia="Cambria" w:hAnsi="Cambria" w:cs="Cambria"/>
                <w:color w:val="auto"/>
                <w:sz w:val="20"/>
                <w:szCs w:val="20"/>
              </w:rPr>
            </w:pPr>
            <w:r w:rsidRPr="00524435">
              <w:rPr>
                <w:rFonts w:ascii="Cambria" w:eastAsia="Cambria" w:hAnsi="Cambria" w:cs="Cambria"/>
                <w:color w:val="auto"/>
                <w:sz w:val="20"/>
                <w:szCs w:val="20"/>
              </w:rPr>
              <w:t>Nicaragua</w:t>
            </w:r>
          </w:p>
        </w:tc>
      </w:tr>
    </w:tbl>
    <w:p w14:paraId="533C5D5F" w14:textId="718556C4" w:rsidR="00842401" w:rsidRPr="00524435" w:rsidRDefault="00842401" w:rsidP="00842401">
      <w:pPr>
        <w:pStyle w:val="Body"/>
        <w:jc w:val="both"/>
        <w:rPr>
          <w:rStyle w:val="None"/>
          <w:rFonts w:ascii="Cambria" w:hAnsi="Cambria"/>
          <w:color w:val="000000" w:themeColor="text1"/>
        </w:rPr>
      </w:pPr>
    </w:p>
    <w:p w14:paraId="235E9757" w14:textId="7EE09B13" w:rsidR="00005144" w:rsidRPr="00524435" w:rsidRDefault="00005144" w:rsidP="00842401">
      <w:pPr>
        <w:pStyle w:val="Body"/>
        <w:jc w:val="both"/>
        <w:rPr>
          <w:rStyle w:val="None"/>
          <w:rFonts w:ascii="Cambria" w:hAnsi="Cambria"/>
          <w:color w:val="000000" w:themeColor="text1"/>
        </w:rPr>
      </w:pPr>
    </w:p>
    <w:p w14:paraId="09AA2A22" w14:textId="5EA95B1A" w:rsidR="00005144" w:rsidRPr="00524435" w:rsidRDefault="00005144">
      <w:pPr>
        <w:rPr>
          <w:rStyle w:val="None"/>
          <w:rFonts w:ascii="Cambria" w:eastAsia="Calibri" w:hAnsi="Cambria" w:cs="Calibri"/>
          <w:color w:val="000000" w:themeColor="text1"/>
          <w:sz w:val="24"/>
          <w:szCs w:val="24"/>
          <w:u w:color="000000"/>
          <w:bdr w:val="nil"/>
        </w:rPr>
      </w:pPr>
      <w:r w:rsidRPr="00524435">
        <w:rPr>
          <w:rStyle w:val="None"/>
          <w:rFonts w:ascii="Cambria" w:hAnsi="Cambria"/>
          <w:color w:val="000000" w:themeColor="text1"/>
        </w:rPr>
        <w:br w:type="page"/>
      </w:r>
    </w:p>
    <w:p w14:paraId="4DD6F920" w14:textId="77777777" w:rsidR="00842401" w:rsidRPr="00524435" w:rsidRDefault="00842401" w:rsidP="00842401">
      <w:pPr>
        <w:pStyle w:val="Body"/>
        <w:jc w:val="both"/>
        <w:rPr>
          <w:rStyle w:val="None"/>
          <w:rFonts w:ascii="Cambria" w:hAnsi="Cambria"/>
          <w:color w:val="000000" w:themeColor="text1"/>
        </w:rPr>
      </w:pPr>
    </w:p>
    <w:tbl>
      <w:tblPr>
        <w:tblW w:w="9385"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DD4E9"/>
        <w:tblLayout w:type="fixed"/>
        <w:tblLook w:val="04A0" w:firstRow="1" w:lastRow="0" w:firstColumn="1" w:lastColumn="0" w:noHBand="0" w:noVBand="1"/>
      </w:tblPr>
      <w:tblGrid>
        <w:gridCol w:w="601"/>
        <w:gridCol w:w="1350"/>
        <w:gridCol w:w="4485"/>
        <w:gridCol w:w="915"/>
        <w:gridCol w:w="2034"/>
      </w:tblGrid>
      <w:tr w:rsidR="00842401" w:rsidRPr="00524435" w14:paraId="7797AE1B" w14:textId="77777777" w:rsidTr="00C33359">
        <w:trPr>
          <w:trHeight w:val="730"/>
        </w:trPr>
        <w:tc>
          <w:tcPr>
            <w:tcW w:w="9385" w:type="dxa"/>
            <w:gridSpan w:val="5"/>
            <w:tcBorders>
              <w:top w:val="single" w:sz="4" w:space="0" w:color="4472C4" w:themeColor="accent5"/>
              <w:left w:val="single" w:sz="4" w:space="0" w:color="4472C4" w:themeColor="accent5"/>
              <w:bottom w:val="single" w:sz="4" w:space="0" w:color="8EAADB" w:themeColor="accent5" w:themeTint="99"/>
              <w:right w:val="single" w:sz="4" w:space="0" w:color="4472C4" w:themeColor="accent5"/>
            </w:tcBorders>
            <w:shd w:val="clear" w:color="auto" w:fill="4472C4" w:themeFill="accent5"/>
            <w:tcMar>
              <w:top w:w="80" w:type="dxa"/>
              <w:left w:w="80" w:type="dxa"/>
              <w:bottom w:w="80" w:type="dxa"/>
              <w:right w:w="80" w:type="dxa"/>
            </w:tcMar>
            <w:vAlign w:val="center"/>
          </w:tcPr>
          <w:p w14:paraId="4B2024E1" w14:textId="77777777" w:rsidR="00842401" w:rsidRPr="00524435" w:rsidRDefault="00842401" w:rsidP="00C33359">
            <w:pPr>
              <w:pStyle w:val="Body"/>
              <w:jc w:val="center"/>
              <w:rPr>
                <w:rStyle w:val="None"/>
                <w:rFonts w:ascii="Cambria" w:eastAsia="Cambria" w:hAnsi="Cambria" w:cs="Cambria"/>
                <w:b/>
                <w:bCs/>
                <w:color w:val="FFFFFF"/>
                <w:sz w:val="20"/>
                <w:u w:color="FFFFFF"/>
              </w:rPr>
            </w:pPr>
          </w:p>
          <w:p w14:paraId="2B33A6ED" w14:textId="77777777" w:rsidR="00842401" w:rsidRPr="00524435" w:rsidRDefault="00842401" w:rsidP="00C33359">
            <w:pPr>
              <w:pStyle w:val="Body"/>
              <w:jc w:val="center"/>
              <w:rPr>
                <w:rFonts w:ascii="Cambria" w:hAnsi="Cambria"/>
                <w:b/>
              </w:rPr>
            </w:pPr>
            <w:r w:rsidRPr="00524435">
              <w:rPr>
                <w:rStyle w:val="None"/>
                <w:rFonts w:ascii="Cambria" w:hAnsi="Cambria"/>
                <w:b/>
                <w:color w:val="FFFFFF"/>
                <w:sz w:val="20"/>
                <w:u w:color="FFFFFF"/>
              </w:rPr>
              <w:t xml:space="preserve">Working Meetings held outside the Periods of Sessions </w:t>
            </w:r>
          </w:p>
        </w:tc>
      </w:tr>
      <w:tr w:rsidR="00842401" w:rsidRPr="00524435" w14:paraId="21007A13" w14:textId="77777777" w:rsidTr="00C33359">
        <w:trPr>
          <w:trHeight w:val="490"/>
        </w:trPr>
        <w:tc>
          <w:tcPr>
            <w:tcW w:w="60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10FF441D" w14:textId="77777777" w:rsidR="00842401" w:rsidRPr="00524435" w:rsidRDefault="00842401" w:rsidP="00C33359">
            <w:pPr>
              <w:pStyle w:val="Body"/>
              <w:jc w:val="center"/>
              <w:rPr>
                <w:rFonts w:ascii="Cambria" w:hAnsi="Cambria"/>
              </w:rPr>
            </w:pPr>
            <w:r w:rsidRPr="00524435">
              <w:rPr>
                <w:rStyle w:val="None"/>
                <w:rFonts w:ascii="Cambria" w:hAnsi="Cambria"/>
                <w:bCs/>
                <w:sz w:val="20"/>
              </w:rPr>
              <w:t>No</w:t>
            </w:r>
          </w:p>
        </w:tc>
        <w:tc>
          <w:tcPr>
            <w:tcW w:w="135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2BE4BB38" w14:textId="77777777" w:rsidR="00842401" w:rsidRPr="00524435" w:rsidRDefault="00842401" w:rsidP="00C33359">
            <w:pPr>
              <w:pStyle w:val="Body"/>
              <w:jc w:val="center"/>
              <w:rPr>
                <w:rFonts w:ascii="Cambria" w:hAnsi="Cambria"/>
              </w:rPr>
            </w:pPr>
            <w:r w:rsidRPr="00524435">
              <w:rPr>
                <w:rStyle w:val="None"/>
                <w:rFonts w:ascii="Cambria" w:hAnsi="Cambria"/>
                <w:bCs/>
                <w:sz w:val="20"/>
              </w:rPr>
              <w:t>MC</w:t>
            </w:r>
          </w:p>
        </w:tc>
        <w:tc>
          <w:tcPr>
            <w:tcW w:w="448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00EF0D0B" w14:textId="77777777" w:rsidR="00842401" w:rsidRPr="00524435" w:rsidRDefault="00842401" w:rsidP="00C33359">
            <w:pPr>
              <w:pStyle w:val="Body"/>
              <w:jc w:val="center"/>
              <w:rPr>
                <w:rFonts w:ascii="Cambria" w:hAnsi="Cambria"/>
              </w:rPr>
            </w:pPr>
            <w:r w:rsidRPr="00524435">
              <w:rPr>
                <w:rStyle w:val="None"/>
                <w:rFonts w:ascii="Cambria" w:hAnsi="Cambria"/>
                <w:bCs/>
                <w:sz w:val="20"/>
              </w:rPr>
              <w:t>Beneficiaries</w:t>
            </w:r>
          </w:p>
        </w:tc>
        <w:tc>
          <w:tcPr>
            <w:tcW w:w="91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6DD40D39" w14:textId="77777777" w:rsidR="00842401" w:rsidRPr="00524435" w:rsidRDefault="00842401" w:rsidP="00C33359">
            <w:pPr>
              <w:pStyle w:val="Body"/>
              <w:jc w:val="center"/>
              <w:rPr>
                <w:rFonts w:ascii="Cambria" w:hAnsi="Cambria"/>
              </w:rPr>
            </w:pPr>
            <w:r w:rsidRPr="00524435">
              <w:rPr>
                <w:rStyle w:val="None"/>
                <w:rFonts w:ascii="Cambria" w:hAnsi="Cambria"/>
                <w:bCs/>
                <w:sz w:val="20"/>
              </w:rPr>
              <w:t>State</w:t>
            </w:r>
          </w:p>
        </w:tc>
        <w:tc>
          <w:tcPr>
            <w:tcW w:w="203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7B0C46AE" w14:textId="77777777" w:rsidR="00842401" w:rsidRPr="00524435" w:rsidRDefault="00842401" w:rsidP="00C33359">
            <w:pPr>
              <w:pStyle w:val="Body"/>
              <w:jc w:val="center"/>
              <w:rPr>
                <w:rFonts w:ascii="Cambria" w:hAnsi="Cambria"/>
              </w:rPr>
            </w:pPr>
            <w:r w:rsidRPr="00524435">
              <w:rPr>
                <w:rStyle w:val="None"/>
                <w:rFonts w:ascii="Cambria" w:hAnsi="Cambria"/>
                <w:bCs/>
                <w:sz w:val="20"/>
              </w:rPr>
              <w:t>Date</w:t>
            </w:r>
          </w:p>
        </w:tc>
      </w:tr>
      <w:tr w:rsidR="00842401" w:rsidRPr="00524435" w14:paraId="2C8C7F5E" w14:textId="77777777" w:rsidTr="00C33359">
        <w:trPr>
          <w:trHeight w:val="250"/>
        </w:trPr>
        <w:tc>
          <w:tcPr>
            <w:tcW w:w="60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2A57DDEE" w14:textId="77777777" w:rsidR="00842401" w:rsidRPr="00524435" w:rsidRDefault="00842401" w:rsidP="00C33359">
            <w:pPr>
              <w:rPr>
                <w:rFonts w:ascii="Cambria" w:hAnsi="Cambria"/>
              </w:rPr>
            </w:pPr>
            <w:r w:rsidRPr="00524435">
              <w:rPr>
                <w:rFonts w:ascii="Cambria" w:eastAsia="Cambria" w:hAnsi="Cambria" w:cs="Cambria"/>
                <w:sz w:val="20"/>
                <w:szCs w:val="20"/>
              </w:rPr>
              <w:t>35</w:t>
            </w:r>
          </w:p>
        </w:tc>
        <w:tc>
          <w:tcPr>
            <w:tcW w:w="135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07E9C1B1" w14:textId="77777777" w:rsidR="00842401" w:rsidRPr="00524435" w:rsidRDefault="00842401" w:rsidP="00C33359">
            <w:pPr>
              <w:rPr>
                <w:rFonts w:ascii="Cambria" w:hAnsi="Cambria"/>
              </w:rPr>
            </w:pPr>
            <w:r w:rsidRPr="00524435">
              <w:rPr>
                <w:rFonts w:ascii="Cambria" w:eastAsia="Cambria" w:hAnsi="Cambria" w:cs="Cambria"/>
                <w:sz w:val="20"/>
                <w:szCs w:val="20"/>
              </w:rPr>
              <w:t>1211-19</w:t>
            </w:r>
          </w:p>
        </w:tc>
        <w:tc>
          <w:tcPr>
            <w:tcW w:w="448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2DB848B1" w14:textId="77777777" w:rsidR="00842401" w:rsidRPr="007A5442" w:rsidRDefault="00842401" w:rsidP="00C33359">
            <w:pPr>
              <w:rPr>
                <w:rFonts w:ascii="Cambria" w:hAnsi="Cambria"/>
                <w:lang w:val="pt-PT"/>
              </w:rPr>
            </w:pPr>
            <w:r w:rsidRPr="007A5442">
              <w:rPr>
                <w:rFonts w:ascii="Cambria" w:eastAsia="Cambria" w:hAnsi="Cambria" w:cs="Cambria"/>
                <w:sz w:val="20"/>
                <w:szCs w:val="20"/>
                <w:lang w:val="pt-PT"/>
              </w:rPr>
              <w:t>Remnants of the Rio dos Macacos Quilombo</w:t>
            </w:r>
          </w:p>
        </w:tc>
        <w:tc>
          <w:tcPr>
            <w:tcW w:w="91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1C97A48" w14:textId="77777777" w:rsidR="00842401" w:rsidRPr="00524435" w:rsidRDefault="00842401" w:rsidP="00C33359">
            <w:pPr>
              <w:rPr>
                <w:rFonts w:ascii="Cambria" w:hAnsi="Cambria"/>
              </w:rPr>
            </w:pPr>
            <w:r w:rsidRPr="00524435">
              <w:rPr>
                <w:rFonts w:ascii="Cambria" w:eastAsia="Cambria" w:hAnsi="Cambria" w:cs="Cambria"/>
                <w:sz w:val="20"/>
                <w:szCs w:val="20"/>
              </w:rPr>
              <w:t>Brazil</w:t>
            </w:r>
          </w:p>
        </w:tc>
        <w:tc>
          <w:tcPr>
            <w:tcW w:w="203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7964D6AC" w14:textId="77777777" w:rsidR="00842401" w:rsidRPr="00524435" w:rsidRDefault="00842401" w:rsidP="00C33359">
            <w:pPr>
              <w:rPr>
                <w:rFonts w:ascii="Cambria" w:hAnsi="Cambria"/>
              </w:rPr>
            </w:pPr>
            <w:r w:rsidRPr="00524435">
              <w:rPr>
                <w:rFonts w:ascii="Cambria" w:eastAsia="Cambria" w:hAnsi="Cambria" w:cs="Cambria"/>
                <w:sz w:val="20"/>
                <w:szCs w:val="20"/>
              </w:rPr>
              <w:t>October 6, 2021</w:t>
            </w:r>
          </w:p>
        </w:tc>
      </w:tr>
      <w:tr w:rsidR="00842401" w:rsidRPr="00524435" w14:paraId="3E09B278" w14:textId="77777777" w:rsidTr="00C33359">
        <w:trPr>
          <w:trHeight w:val="250"/>
        </w:trPr>
        <w:tc>
          <w:tcPr>
            <w:tcW w:w="60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24FF0ECB" w14:textId="77777777" w:rsidR="00842401" w:rsidRPr="00524435" w:rsidRDefault="00842401" w:rsidP="00C33359">
            <w:pPr>
              <w:rPr>
                <w:rFonts w:ascii="Cambria" w:eastAsia="Cambria" w:hAnsi="Cambria" w:cs="Cambria"/>
                <w:sz w:val="20"/>
                <w:szCs w:val="20"/>
              </w:rPr>
            </w:pPr>
            <w:r w:rsidRPr="00524435">
              <w:rPr>
                <w:rFonts w:ascii="Cambria" w:eastAsia="Cambria" w:hAnsi="Cambria" w:cs="Cambria"/>
                <w:sz w:val="20"/>
                <w:szCs w:val="20"/>
              </w:rPr>
              <w:t>36</w:t>
            </w:r>
          </w:p>
        </w:tc>
        <w:tc>
          <w:tcPr>
            <w:tcW w:w="135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67E74CD2" w14:textId="77777777" w:rsidR="00842401" w:rsidRPr="00524435" w:rsidRDefault="00842401" w:rsidP="00C33359">
            <w:pPr>
              <w:rPr>
                <w:rFonts w:ascii="Cambria" w:eastAsia="Cambria" w:hAnsi="Cambria" w:cs="Cambria"/>
                <w:sz w:val="20"/>
                <w:szCs w:val="20"/>
              </w:rPr>
            </w:pPr>
            <w:r w:rsidRPr="00524435">
              <w:rPr>
                <w:rFonts w:ascii="Cambria" w:eastAsia="Cambria" w:hAnsi="Cambria" w:cs="Cambria"/>
                <w:sz w:val="20"/>
                <w:szCs w:val="20"/>
              </w:rPr>
              <w:t>576-21</w:t>
            </w:r>
          </w:p>
        </w:tc>
        <w:tc>
          <w:tcPr>
            <w:tcW w:w="448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2F7B14A4" w14:textId="77777777" w:rsidR="00842401" w:rsidRPr="00524435" w:rsidRDefault="00842401" w:rsidP="00C33359">
            <w:pPr>
              <w:rPr>
                <w:rFonts w:ascii="Cambria" w:eastAsia="Cambria" w:hAnsi="Cambria" w:cs="Cambria"/>
                <w:sz w:val="20"/>
                <w:szCs w:val="20"/>
              </w:rPr>
            </w:pPr>
            <w:r w:rsidRPr="00524435">
              <w:rPr>
                <w:rFonts w:ascii="Cambria" w:eastAsia="Cambria" w:hAnsi="Cambria" w:cs="Cambria"/>
                <w:sz w:val="20"/>
                <w:szCs w:val="20"/>
              </w:rPr>
              <w:t>José Domingo Pérez Gómez and his nuclear family</w:t>
            </w:r>
          </w:p>
        </w:tc>
        <w:tc>
          <w:tcPr>
            <w:tcW w:w="91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FD3B730" w14:textId="77777777" w:rsidR="00842401" w:rsidRPr="00524435" w:rsidRDefault="00842401" w:rsidP="00C33359">
            <w:pPr>
              <w:rPr>
                <w:rFonts w:ascii="Cambria" w:eastAsia="Cambria" w:hAnsi="Cambria" w:cs="Cambria"/>
                <w:sz w:val="20"/>
                <w:szCs w:val="20"/>
              </w:rPr>
            </w:pPr>
            <w:r w:rsidRPr="00524435">
              <w:rPr>
                <w:rFonts w:ascii="Cambria" w:eastAsia="Cambria" w:hAnsi="Cambria" w:cs="Cambria"/>
                <w:sz w:val="20"/>
                <w:szCs w:val="20"/>
              </w:rPr>
              <w:t>Peru</w:t>
            </w:r>
          </w:p>
        </w:tc>
        <w:tc>
          <w:tcPr>
            <w:tcW w:w="203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8277D96" w14:textId="77777777" w:rsidR="00842401" w:rsidRPr="00524435" w:rsidRDefault="00842401" w:rsidP="00C33359">
            <w:pPr>
              <w:rPr>
                <w:rFonts w:ascii="Cambria" w:eastAsia="Cambria" w:hAnsi="Cambria" w:cs="Cambria"/>
                <w:sz w:val="20"/>
                <w:szCs w:val="20"/>
              </w:rPr>
            </w:pPr>
            <w:r w:rsidRPr="00524435">
              <w:rPr>
                <w:rFonts w:ascii="Cambria" w:eastAsia="Cambria" w:hAnsi="Cambria" w:cs="Cambria"/>
                <w:sz w:val="20"/>
                <w:szCs w:val="20"/>
              </w:rPr>
              <w:t>November 22, 2021</w:t>
            </w:r>
          </w:p>
        </w:tc>
      </w:tr>
    </w:tbl>
    <w:p w14:paraId="15106A4E" w14:textId="77777777" w:rsidR="00842401" w:rsidRPr="00524435" w:rsidRDefault="00842401" w:rsidP="00842401">
      <w:pPr>
        <w:pStyle w:val="Body"/>
        <w:jc w:val="both"/>
        <w:rPr>
          <w:rStyle w:val="None"/>
          <w:rFonts w:ascii="Cambria" w:hAnsi="Cambria"/>
          <w:color w:val="000000" w:themeColor="text1"/>
        </w:rPr>
      </w:pPr>
    </w:p>
    <w:p w14:paraId="531DE8DC" w14:textId="77777777" w:rsidR="00842401" w:rsidRPr="00524435" w:rsidRDefault="00842401" w:rsidP="00E82663">
      <w:pPr>
        <w:pStyle w:val="Heading3"/>
        <w:rPr>
          <w:rStyle w:val="None"/>
        </w:rPr>
      </w:pPr>
      <w:r w:rsidRPr="00524435">
        <w:rPr>
          <w:rStyle w:val="None"/>
        </w:rPr>
        <w:t>Provisional Measures</w:t>
      </w:r>
    </w:p>
    <w:p w14:paraId="3D7B1797" w14:textId="77777777" w:rsidR="00842401" w:rsidRPr="00524435" w:rsidRDefault="00842401" w:rsidP="00000BF8">
      <w:pPr>
        <w:pStyle w:val="ListParagraph"/>
      </w:pPr>
      <w:r w:rsidRPr="00524435">
        <w:t xml:space="preserve">Provisional measures are provided for in Article 63(2) of the American Convention on Human Rights, which states that in cases of extreme gravity and urgency, and when necessary to avoid irreparable damage to persons, the Inter-American Court of Human Rights shall adopt provisional measures. Upon the decision of the Inter-American Court to grant a provisional measure, monitoring of its implementation passes to the Court. </w:t>
      </w:r>
      <w:r w:rsidRPr="00524435">
        <w:rPr>
          <w:rStyle w:val="None"/>
        </w:rPr>
        <w:t>Furthermore</w:t>
      </w:r>
      <w:r w:rsidRPr="00524435">
        <w:t>, at the request of the Court, the Commission will continue to issue periodic comments and relevant information on implementation of the provisional measures.</w:t>
      </w:r>
    </w:p>
    <w:p w14:paraId="3644C343" w14:textId="77777777" w:rsidR="00842401" w:rsidRPr="00524435" w:rsidRDefault="00842401" w:rsidP="00000BF8">
      <w:pPr>
        <w:pStyle w:val="ListParagraph"/>
      </w:pPr>
      <w:r w:rsidRPr="00524435">
        <w:t xml:space="preserve">In 2021, the Commission submitted 80 briefs to the Inter-American Court on provisional measures in force. In addition, the IACHR presented its comments in seven public hearings convened by the Court on implementation of the provisional measures in force and requests for provisional measures.: </w:t>
      </w:r>
    </w:p>
    <w:p w14:paraId="0703BF27" w14:textId="77777777" w:rsidR="00842401" w:rsidRPr="00524435" w:rsidRDefault="00842401" w:rsidP="0009324C">
      <w:pPr>
        <w:numPr>
          <w:ilvl w:val="0"/>
          <w:numId w:val="42"/>
        </w:numPr>
        <w:spacing w:after="0" w:line="240" w:lineRule="auto"/>
        <w:jc w:val="both"/>
        <w:rPr>
          <w:rFonts w:ascii="Cambria" w:eastAsia="Cambria" w:hAnsi="Cambria" w:cs="Cambria"/>
          <w:sz w:val="20"/>
          <w:szCs w:val="20"/>
        </w:rPr>
      </w:pPr>
      <w:r w:rsidRPr="00524435">
        <w:rPr>
          <w:rFonts w:ascii="Cambria" w:eastAsia="Cambria" w:hAnsi="Cambria" w:cs="Cambria"/>
          <w:sz w:val="20"/>
          <w:szCs w:val="20"/>
        </w:rPr>
        <w:t xml:space="preserve">March 4, 2021, in the 140th POS of the Inter-American Court, concerning the provisional measures in the Cases of the </w:t>
      </w:r>
      <w:proofErr w:type="spellStart"/>
      <w:r w:rsidRPr="00524435">
        <w:rPr>
          <w:rFonts w:ascii="Cambria" w:eastAsia="Cambria" w:hAnsi="Cambria" w:cs="Cambria"/>
          <w:sz w:val="20"/>
          <w:szCs w:val="20"/>
        </w:rPr>
        <w:t>Garífuna</w:t>
      </w:r>
      <w:proofErr w:type="spellEnd"/>
      <w:r w:rsidRPr="00524435">
        <w:rPr>
          <w:rFonts w:ascii="Cambria" w:eastAsia="Cambria" w:hAnsi="Cambria" w:cs="Cambria"/>
          <w:sz w:val="20"/>
          <w:szCs w:val="20"/>
        </w:rPr>
        <w:t xml:space="preserve"> Communities of </w:t>
      </w:r>
      <w:proofErr w:type="spellStart"/>
      <w:r w:rsidRPr="00524435">
        <w:rPr>
          <w:rFonts w:ascii="Cambria" w:eastAsia="Cambria" w:hAnsi="Cambria" w:cs="Cambria"/>
          <w:sz w:val="20"/>
          <w:szCs w:val="20"/>
        </w:rPr>
        <w:t>Triunfo</w:t>
      </w:r>
      <w:proofErr w:type="spellEnd"/>
      <w:r w:rsidRPr="00524435">
        <w:rPr>
          <w:rFonts w:ascii="Cambria" w:eastAsia="Cambria" w:hAnsi="Cambria" w:cs="Cambria"/>
          <w:sz w:val="20"/>
          <w:szCs w:val="20"/>
        </w:rPr>
        <w:t xml:space="preserve"> de la Cruz and Punta Piedra v. Honduras</w:t>
      </w:r>
      <w:r w:rsidRPr="00524435">
        <w:rPr>
          <w:rFonts w:ascii="Cambria" w:eastAsia="Cambria" w:hAnsi="Cambria" w:cs="Cambria"/>
          <w:sz w:val="20"/>
          <w:szCs w:val="20"/>
          <w:vertAlign w:val="superscript"/>
        </w:rPr>
        <w:footnoteReference w:id="154"/>
      </w:r>
      <w:r w:rsidRPr="00524435">
        <w:rPr>
          <w:rFonts w:ascii="Cambria" w:eastAsia="Cambria" w:hAnsi="Cambria" w:cs="Cambria"/>
          <w:sz w:val="20"/>
          <w:szCs w:val="20"/>
        </w:rPr>
        <w:t>;</w:t>
      </w:r>
    </w:p>
    <w:p w14:paraId="35C8FE88" w14:textId="77777777" w:rsidR="00842401" w:rsidRPr="00524435" w:rsidRDefault="00842401" w:rsidP="0009324C">
      <w:pPr>
        <w:numPr>
          <w:ilvl w:val="0"/>
          <w:numId w:val="42"/>
        </w:numPr>
        <w:spacing w:after="0" w:line="240" w:lineRule="auto"/>
        <w:jc w:val="both"/>
        <w:rPr>
          <w:rFonts w:ascii="Cambria" w:eastAsia="Cambria" w:hAnsi="Cambria" w:cs="Cambria"/>
          <w:sz w:val="20"/>
          <w:szCs w:val="20"/>
        </w:rPr>
      </w:pPr>
      <w:r w:rsidRPr="00524435">
        <w:rPr>
          <w:rFonts w:ascii="Cambria" w:eastAsia="Cambria" w:hAnsi="Cambria" w:cs="Cambria"/>
          <w:sz w:val="20"/>
          <w:szCs w:val="20"/>
        </w:rPr>
        <w:t>May 6, 2021, in the 141st POS of the Inter-American Court, concerning the provisional measures in the Matter of the Nicaraguan Center for Human Rights and the Permanent Commission on Human Rights (CENIDH-CPDH)</w:t>
      </w:r>
      <w:r w:rsidRPr="00524435">
        <w:rPr>
          <w:rFonts w:ascii="Cambria" w:eastAsia="Cambria" w:hAnsi="Cambria" w:cs="Cambria"/>
          <w:sz w:val="20"/>
          <w:szCs w:val="20"/>
          <w:vertAlign w:val="superscript"/>
        </w:rPr>
        <w:footnoteReference w:id="155"/>
      </w:r>
      <w:r w:rsidRPr="00524435">
        <w:rPr>
          <w:rFonts w:ascii="Cambria" w:eastAsia="Cambria" w:hAnsi="Cambria" w:cs="Cambria"/>
          <w:sz w:val="20"/>
          <w:szCs w:val="20"/>
        </w:rPr>
        <w:t>;</w:t>
      </w:r>
    </w:p>
    <w:p w14:paraId="7AD96631" w14:textId="77777777" w:rsidR="00842401" w:rsidRPr="00524435" w:rsidRDefault="00842401" w:rsidP="0009324C">
      <w:pPr>
        <w:numPr>
          <w:ilvl w:val="0"/>
          <w:numId w:val="42"/>
        </w:numPr>
        <w:spacing w:after="0" w:line="240" w:lineRule="auto"/>
        <w:contextualSpacing/>
        <w:jc w:val="both"/>
        <w:rPr>
          <w:rFonts w:ascii="Cambria" w:eastAsia="Cambria" w:hAnsi="Cambria" w:cs="Cambria"/>
          <w:sz w:val="20"/>
          <w:szCs w:val="20"/>
        </w:rPr>
      </w:pPr>
      <w:r w:rsidRPr="00524435">
        <w:rPr>
          <w:rFonts w:ascii="Cambria" w:eastAsia="Cambria" w:hAnsi="Cambria" w:cs="Cambria"/>
          <w:sz w:val="20"/>
          <w:szCs w:val="20"/>
        </w:rPr>
        <w:t xml:space="preserve">May 6, 2021, in the 141st POS of the Inter-American Court, concerning the provisional measures in the Case of </w:t>
      </w:r>
      <w:proofErr w:type="spellStart"/>
      <w:r w:rsidRPr="00524435">
        <w:rPr>
          <w:rFonts w:ascii="Cambria" w:eastAsia="Cambria" w:hAnsi="Cambria" w:cs="Cambria"/>
          <w:sz w:val="20"/>
          <w:szCs w:val="20"/>
        </w:rPr>
        <w:t>Vélez</w:t>
      </w:r>
      <w:proofErr w:type="spellEnd"/>
      <w:r w:rsidRPr="00524435">
        <w:rPr>
          <w:rFonts w:ascii="Cambria" w:eastAsia="Cambria" w:hAnsi="Cambria" w:cs="Cambria"/>
          <w:sz w:val="20"/>
          <w:szCs w:val="20"/>
        </w:rPr>
        <w:t xml:space="preserve"> </w:t>
      </w:r>
      <w:proofErr w:type="spellStart"/>
      <w:r w:rsidRPr="00524435">
        <w:rPr>
          <w:rFonts w:ascii="Cambria" w:eastAsia="Cambria" w:hAnsi="Cambria" w:cs="Cambria"/>
          <w:sz w:val="20"/>
          <w:szCs w:val="20"/>
        </w:rPr>
        <w:t>Loor</w:t>
      </w:r>
      <w:proofErr w:type="spellEnd"/>
      <w:r w:rsidRPr="00524435">
        <w:rPr>
          <w:rFonts w:ascii="Cambria" w:eastAsia="Cambria" w:hAnsi="Cambria" w:cs="Cambria"/>
          <w:sz w:val="20"/>
          <w:szCs w:val="20"/>
        </w:rPr>
        <w:t xml:space="preserve"> v. Panama</w:t>
      </w:r>
      <w:r w:rsidRPr="00524435">
        <w:rPr>
          <w:rFonts w:ascii="Cambria" w:eastAsia="Cambria" w:hAnsi="Cambria" w:cs="Cambria"/>
          <w:sz w:val="20"/>
          <w:szCs w:val="20"/>
          <w:vertAlign w:val="superscript"/>
        </w:rPr>
        <w:footnoteReference w:id="156"/>
      </w:r>
    </w:p>
    <w:p w14:paraId="01326E40" w14:textId="77777777" w:rsidR="00842401" w:rsidRPr="00524435" w:rsidRDefault="00842401" w:rsidP="0009324C">
      <w:pPr>
        <w:numPr>
          <w:ilvl w:val="0"/>
          <w:numId w:val="42"/>
        </w:numPr>
        <w:spacing w:after="0" w:line="240" w:lineRule="auto"/>
        <w:contextualSpacing/>
        <w:jc w:val="both"/>
        <w:rPr>
          <w:rFonts w:ascii="Cambria" w:eastAsia="Cambria" w:hAnsi="Cambria" w:cs="Cambria"/>
          <w:sz w:val="20"/>
          <w:szCs w:val="20"/>
        </w:rPr>
      </w:pPr>
      <w:r w:rsidRPr="00524435">
        <w:rPr>
          <w:rFonts w:ascii="Cambria" w:eastAsia="Cambria" w:hAnsi="Cambria" w:cs="Cambria"/>
          <w:sz w:val="20"/>
          <w:szCs w:val="20"/>
        </w:rPr>
        <w:t xml:space="preserve">June 2, 2021, in the 142nd POS of the Inter-American Court, concerning the provisional measures in the Matters of Unidad de </w:t>
      </w:r>
      <w:proofErr w:type="spellStart"/>
      <w:r w:rsidRPr="00524435">
        <w:rPr>
          <w:rFonts w:ascii="Cambria" w:eastAsia="Cambria" w:hAnsi="Cambria" w:cs="Cambria"/>
          <w:sz w:val="20"/>
          <w:szCs w:val="20"/>
        </w:rPr>
        <w:t>Internación</w:t>
      </w:r>
      <w:proofErr w:type="spellEnd"/>
      <w:r w:rsidRPr="00524435">
        <w:rPr>
          <w:rFonts w:ascii="Cambria" w:eastAsia="Cambria" w:hAnsi="Cambria" w:cs="Cambria"/>
          <w:sz w:val="20"/>
          <w:szCs w:val="20"/>
        </w:rPr>
        <w:t xml:space="preserve"> </w:t>
      </w:r>
      <w:proofErr w:type="spellStart"/>
      <w:r w:rsidRPr="00524435">
        <w:rPr>
          <w:rFonts w:ascii="Cambria" w:eastAsia="Cambria" w:hAnsi="Cambria" w:cs="Cambria"/>
          <w:sz w:val="20"/>
          <w:szCs w:val="20"/>
        </w:rPr>
        <w:t>Socioeducativa</w:t>
      </w:r>
      <w:proofErr w:type="spellEnd"/>
      <w:r w:rsidRPr="00524435">
        <w:rPr>
          <w:rFonts w:ascii="Cambria" w:eastAsia="Cambria" w:hAnsi="Cambria" w:cs="Cambria"/>
          <w:sz w:val="20"/>
          <w:szCs w:val="20"/>
        </w:rPr>
        <w:t xml:space="preserve">, </w:t>
      </w:r>
      <w:proofErr w:type="spellStart"/>
      <w:r w:rsidRPr="00524435">
        <w:rPr>
          <w:rFonts w:ascii="Cambria" w:eastAsia="Cambria" w:hAnsi="Cambria" w:cs="Cambria"/>
          <w:sz w:val="20"/>
          <w:szCs w:val="20"/>
        </w:rPr>
        <w:t>Complejo</w:t>
      </w:r>
      <w:proofErr w:type="spellEnd"/>
      <w:r w:rsidRPr="00524435">
        <w:rPr>
          <w:rFonts w:ascii="Cambria" w:eastAsia="Cambria" w:hAnsi="Cambria" w:cs="Cambria"/>
          <w:sz w:val="20"/>
          <w:szCs w:val="20"/>
        </w:rPr>
        <w:t xml:space="preserve"> Penitenciario de </w:t>
      </w:r>
      <w:proofErr w:type="spellStart"/>
      <w:r w:rsidRPr="00524435">
        <w:rPr>
          <w:rFonts w:ascii="Cambria" w:eastAsia="Cambria" w:hAnsi="Cambria" w:cs="Cambria"/>
          <w:sz w:val="20"/>
          <w:szCs w:val="20"/>
        </w:rPr>
        <w:t>Curado</w:t>
      </w:r>
      <w:proofErr w:type="spellEnd"/>
      <w:r w:rsidRPr="00524435">
        <w:rPr>
          <w:rFonts w:ascii="Cambria" w:eastAsia="Cambria" w:hAnsi="Cambria" w:cs="Cambria"/>
          <w:sz w:val="20"/>
          <w:szCs w:val="20"/>
        </w:rPr>
        <w:t xml:space="preserve">, </w:t>
      </w:r>
      <w:proofErr w:type="spellStart"/>
      <w:r w:rsidRPr="00524435">
        <w:rPr>
          <w:rFonts w:ascii="Cambria" w:eastAsia="Cambria" w:hAnsi="Cambria" w:cs="Cambria"/>
          <w:sz w:val="20"/>
          <w:szCs w:val="20"/>
        </w:rPr>
        <w:t>Complejo</w:t>
      </w:r>
      <w:proofErr w:type="spellEnd"/>
      <w:r w:rsidRPr="00524435">
        <w:rPr>
          <w:rFonts w:ascii="Cambria" w:eastAsia="Cambria" w:hAnsi="Cambria" w:cs="Cambria"/>
          <w:sz w:val="20"/>
          <w:szCs w:val="20"/>
        </w:rPr>
        <w:t xml:space="preserve"> Penitenciario de </w:t>
      </w:r>
      <w:proofErr w:type="spellStart"/>
      <w:r w:rsidRPr="00524435">
        <w:rPr>
          <w:rFonts w:ascii="Cambria" w:eastAsia="Cambria" w:hAnsi="Cambria" w:cs="Cambria"/>
          <w:sz w:val="20"/>
          <w:szCs w:val="20"/>
        </w:rPr>
        <w:t>Pedrinhas</w:t>
      </w:r>
      <w:proofErr w:type="spellEnd"/>
      <w:r w:rsidRPr="00524435">
        <w:rPr>
          <w:rFonts w:ascii="Cambria" w:eastAsia="Cambria" w:hAnsi="Cambria" w:cs="Cambria"/>
          <w:sz w:val="20"/>
          <w:szCs w:val="20"/>
        </w:rPr>
        <w:t xml:space="preserve">, and Instituto Penal </w:t>
      </w:r>
      <w:proofErr w:type="spellStart"/>
      <w:r w:rsidRPr="00524435">
        <w:rPr>
          <w:rFonts w:ascii="Cambria" w:eastAsia="Cambria" w:hAnsi="Cambria" w:cs="Cambria"/>
          <w:sz w:val="20"/>
          <w:szCs w:val="20"/>
        </w:rPr>
        <w:t>Plácido</w:t>
      </w:r>
      <w:proofErr w:type="spellEnd"/>
      <w:r w:rsidRPr="00524435">
        <w:rPr>
          <w:rFonts w:ascii="Cambria" w:eastAsia="Cambria" w:hAnsi="Cambria" w:cs="Cambria"/>
          <w:sz w:val="20"/>
          <w:szCs w:val="20"/>
        </w:rPr>
        <w:t xml:space="preserve"> de Sá Carvalho</w:t>
      </w:r>
      <w:r w:rsidRPr="00524435">
        <w:rPr>
          <w:rFonts w:ascii="Cambria" w:eastAsia="Cambria" w:hAnsi="Cambria" w:cs="Cambria"/>
          <w:sz w:val="20"/>
          <w:szCs w:val="20"/>
          <w:vertAlign w:val="superscript"/>
        </w:rPr>
        <w:footnoteReference w:id="157"/>
      </w:r>
    </w:p>
    <w:p w14:paraId="06BC37E3" w14:textId="77777777" w:rsidR="00842401" w:rsidRPr="00524435" w:rsidRDefault="00842401" w:rsidP="0009324C">
      <w:pPr>
        <w:numPr>
          <w:ilvl w:val="0"/>
          <w:numId w:val="42"/>
        </w:numPr>
        <w:spacing w:after="0" w:line="240" w:lineRule="auto"/>
        <w:contextualSpacing/>
        <w:jc w:val="both"/>
        <w:rPr>
          <w:rFonts w:ascii="Cambria" w:eastAsia="Cambria" w:hAnsi="Cambria" w:cs="Cambria"/>
          <w:sz w:val="20"/>
          <w:szCs w:val="20"/>
        </w:rPr>
      </w:pPr>
      <w:r w:rsidRPr="00524435">
        <w:rPr>
          <w:rFonts w:ascii="Cambria" w:eastAsia="Cambria" w:hAnsi="Cambria" w:cs="Cambria"/>
          <w:sz w:val="20"/>
          <w:szCs w:val="20"/>
        </w:rPr>
        <w:t xml:space="preserve">June 11, 2021, in the 142nd POS of the Inter-American Court, concerning the provisional measures in the Matter of Members of the </w:t>
      </w:r>
      <w:proofErr w:type="spellStart"/>
      <w:r w:rsidRPr="00524435">
        <w:rPr>
          <w:rFonts w:ascii="Cambria" w:eastAsia="Cambria" w:hAnsi="Cambria" w:cs="Cambria"/>
          <w:sz w:val="20"/>
          <w:szCs w:val="20"/>
        </w:rPr>
        <w:t>Choréachi</w:t>
      </w:r>
      <w:proofErr w:type="spellEnd"/>
      <w:r w:rsidRPr="00524435">
        <w:rPr>
          <w:rFonts w:ascii="Cambria" w:eastAsia="Cambria" w:hAnsi="Cambria" w:cs="Cambria"/>
          <w:sz w:val="20"/>
          <w:szCs w:val="20"/>
        </w:rPr>
        <w:t xml:space="preserve"> Community, in reference to Mexico</w:t>
      </w:r>
      <w:r w:rsidRPr="00524435">
        <w:rPr>
          <w:rFonts w:ascii="Cambria" w:eastAsia="Cambria" w:hAnsi="Cambria" w:cs="Cambria"/>
          <w:sz w:val="20"/>
          <w:szCs w:val="20"/>
          <w:vertAlign w:val="superscript"/>
        </w:rPr>
        <w:footnoteReference w:id="158"/>
      </w:r>
    </w:p>
    <w:p w14:paraId="7DB8C080" w14:textId="77777777" w:rsidR="00842401" w:rsidRPr="00524435" w:rsidRDefault="00842401" w:rsidP="0009324C">
      <w:pPr>
        <w:numPr>
          <w:ilvl w:val="0"/>
          <w:numId w:val="42"/>
        </w:numPr>
        <w:spacing w:after="0" w:line="240" w:lineRule="auto"/>
        <w:contextualSpacing/>
        <w:jc w:val="both"/>
        <w:rPr>
          <w:rFonts w:ascii="Cambria" w:eastAsia="Cambria" w:hAnsi="Cambria" w:cs="Cambria"/>
          <w:sz w:val="20"/>
          <w:szCs w:val="20"/>
        </w:rPr>
      </w:pPr>
      <w:r w:rsidRPr="00524435">
        <w:rPr>
          <w:rFonts w:ascii="Cambria" w:eastAsia="Cambria" w:hAnsi="Cambria" w:cs="Cambria"/>
          <w:sz w:val="20"/>
          <w:szCs w:val="20"/>
        </w:rPr>
        <w:lastRenderedPageBreak/>
        <w:t xml:space="preserve">August 27, 2021, in the 143rd POS of the Inter-American Court, concerning the request for Provisional Measures in the Case of Valenzuela Ávila and the Case of </w:t>
      </w:r>
      <w:proofErr w:type="spellStart"/>
      <w:r w:rsidRPr="00524435">
        <w:rPr>
          <w:rFonts w:ascii="Cambria" w:eastAsia="Cambria" w:hAnsi="Cambria" w:cs="Cambria"/>
          <w:sz w:val="20"/>
          <w:szCs w:val="20"/>
        </w:rPr>
        <w:t>Ruíz</w:t>
      </w:r>
      <w:proofErr w:type="spellEnd"/>
      <w:r w:rsidRPr="00524435">
        <w:rPr>
          <w:rFonts w:ascii="Cambria" w:eastAsia="Cambria" w:hAnsi="Cambria" w:cs="Cambria"/>
          <w:sz w:val="20"/>
          <w:szCs w:val="20"/>
        </w:rPr>
        <w:t xml:space="preserve"> Fuentes and another v. Guatemala</w:t>
      </w:r>
      <w:r w:rsidRPr="00524435">
        <w:rPr>
          <w:rFonts w:ascii="Cambria" w:eastAsia="Cambria" w:hAnsi="Cambria" w:cs="Cambria"/>
          <w:sz w:val="20"/>
          <w:szCs w:val="20"/>
          <w:vertAlign w:val="superscript"/>
        </w:rPr>
        <w:footnoteReference w:id="159"/>
      </w:r>
      <w:r w:rsidRPr="00524435">
        <w:rPr>
          <w:rFonts w:ascii="Cambria" w:eastAsia="Cambria" w:hAnsi="Cambria" w:cs="Cambria"/>
          <w:sz w:val="20"/>
          <w:szCs w:val="20"/>
        </w:rPr>
        <w:t>;</w:t>
      </w:r>
    </w:p>
    <w:p w14:paraId="33BDED51" w14:textId="77777777" w:rsidR="00842401" w:rsidRPr="00524435" w:rsidRDefault="00842401" w:rsidP="0009324C">
      <w:pPr>
        <w:numPr>
          <w:ilvl w:val="0"/>
          <w:numId w:val="42"/>
        </w:numPr>
        <w:spacing w:after="0" w:line="240" w:lineRule="auto"/>
        <w:contextualSpacing/>
        <w:jc w:val="both"/>
        <w:rPr>
          <w:rFonts w:ascii="Cambria" w:eastAsia="Cambria" w:hAnsi="Cambria" w:cs="Cambria"/>
          <w:sz w:val="20"/>
          <w:szCs w:val="20"/>
        </w:rPr>
      </w:pPr>
      <w:r w:rsidRPr="00524435">
        <w:rPr>
          <w:rFonts w:ascii="Cambria" w:eastAsia="Cambria" w:hAnsi="Cambria" w:cs="Cambria"/>
          <w:sz w:val="20"/>
          <w:szCs w:val="20"/>
        </w:rPr>
        <w:t>August 27, 2021, in the 143rd POS of the Inter-American Court, concerning the Urgent Measures in the Matter of Juan Sebastián Chamorro et al. in reference to Nicaragua</w:t>
      </w:r>
      <w:r w:rsidRPr="00524435">
        <w:rPr>
          <w:rFonts w:ascii="Cambria" w:eastAsia="Cambria" w:hAnsi="Cambria" w:cs="Cambria"/>
          <w:sz w:val="20"/>
          <w:szCs w:val="20"/>
          <w:vertAlign w:val="superscript"/>
        </w:rPr>
        <w:footnoteReference w:id="160"/>
      </w:r>
      <w:r w:rsidRPr="00524435">
        <w:rPr>
          <w:rFonts w:ascii="Cambria" w:eastAsia="Cambria" w:hAnsi="Cambria" w:cs="Cambria"/>
          <w:sz w:val="20"/>
          <w:szCs w:val="20"/>
        </w:rPr>
        <w:t>.</w:t>
      </w:r>
    </w:p>
    <w:p w14:paraId="18461392" w14:textId="77777777" w:rsidR="00842401" w:rsidRPr="00524435" w:rsidRDefault="00842401" w:rsidP="00EC045B">
      <w:pPr>
        <w:spacing w:after="0" w:line="240" w:lineRule="auto"/>
        <w:jc w:val="both"/>
        <w:rPr>
          <w:rFonts w:ascii="Cambria" w:eastAsia="Cambria" w:hAnsi="Cambria" w:cs="Cambria"/>
          <w:sz w:val="20"/>
          <w:szCs w:val="20"/>
        </w:rPr>
      </w:pPr>
    </w:p>
    <w:p w14:paraId="53698508" w14:textId="77777777" w:rsidR="00842401" w:rsidRPr="00524435" w:rsidRDefault="00842401" w:rsidP="00000BF8">
      <w:pPr>
        <w:pStyle w:val="ListParagraph"/>
      </w:pPr>
      <w:r w:rsidRPr="00524435">
        <w:t xml:space="preserve">Furthermore, the IACHR submitted a new request for provisional measures and four requests for the extension of measures in force </w:t>
      </w:r>
      <w:r w:rsidRPr="00524435">
        <w:rPr>
          <w:rStyle w:val="None"/>
        </w:rPr>
        <w:t>to</w:t>
      </w:r>
      <w:r w:rsidRPr="00524435">
        <w:t xml:space="preserve"> the Inter-American Court.</w:t>
      </w:r>
    </w:p>
    <w:p w14:paraId="12215834" w14:textId="77777777" w:rsidR="00842401" w:rsidRPr="00524435" w:rsidRDefault="00842401" w:rsidP="0009324C">
      <w:pPr>
        <w:numPr>
          <w:ilvl w:val="0"/>
          <w:numId w:val="42"/>
        </w:numPr>
        <w:spacing w:after="0" w:line="240" w:lineRule="auto"/>
        <w:ind w:left="1434" w:hanging="357"/>
        <w:jc w:val="both"/>
        <w:rPr>
          <w:rFonts w:ascii="Cambria" w:eastAsia="Cambria" w:hAnsi="Cambria" w:cs="Cambria"/>
          <w:sz w:val="20"/>
          <w:szCs w:val="20"/>
        </w:rPr>
      </w:pPr>
      <w:r w:rsidRPr="00524435">
        <w:rPr>
          <w:rFonts w:ascii="Cambria" w:eastAsia="Cambria" w:hAnsi="Cambria" w:cs="Cambria"/>
          <w:sz w:val="20"/>
          <w:szCs w:val="20"/>
        </w:rPr>
        <w:t xml:space="preserve">June 23, 2021: Juan Chamorro, José </w:t>
      </w:r>
      <w:proofErr w:type="spellStart"/>
      <w:r w:rsidRPr="00524435">
        <w:rPr>
          <w:rFonts w:ascii="Cambria" w:eastAsia="Cambria" w:hAnsi="Cambria" w:cs="Cambria"/>
          <w:sz w:val="20"/>
          <w:szCs w:val="20"/>
        </w:rPr>
        <w:t>Aguerri</w:t>
      </w:r>
      <w:proofErr w:type="spellEnd"/>
      <w:r w:rsidRPr="00524435">
        <w:rPr>
          <w:rFonts w:ascii="Cambria" w:eastAsia="Cambria" w:hAnsi="Cambria" w:cs="Cambria"/>
          <w:sz w:val="20"/>
          <w:szCs w:val="20"/>
        </w:rPr>
        <w:t xml:space="preserve">, Félix Maradiaga, Violeta </w:t>
      </w:r>
      <w:proofErr w:type="spellStart"/>
      <w:r w:rsidRPr="00524435">
        <w:rPr>
          <w:rFonts w:ascii="Cambria" w:eastAsia="Cambria" w:hAnsi="Cambria" w:cs="Cambria"/>
          <w:sz w:val="20"/>
          <w:szCs w:val="20"/>
        </w:rPr>
        <w:t>Granera</w:t>
      </w:r>
      <w:proofErr w:type="spellEnd"/>
      <w:r w:rsidRPr="00524435">
        <w:rPr>
          <w:rFonts w:ascii="Cambria" w:eastAsia="Cambria" w:hAnsi="Cambria" w:cs="Cambria"/>
          <w:sz w:val="20"/>
          <w:szCs w:val="20"/>
        </w:rPr>
        <w:t>, and immediate family</w:t>
      </w:r>
      <w:r w:rsidRPr="00524435">
        <w:rPr>
          <w:rFonts w:ascii="Cambria" w:eastAsia="Cambria" w:hAnsi="Cambria" w:cs="Cambria"/>
          <w:sz w:val="20"/>
          <w:szCs w:val="20"/>
          <w:vertAlign w:val="superscript"/>
        </w:rPr>
        <w:footnoteReference w:id="161"/>
      </w:r>
      <w:r w:rsidRPr="00524435">
        <w:rPr>
          <w:rFonts w:ascii="Cambria" w:eastAsia="Cambria" w:hAnsi="Cambria" w:cs="Cambria"/>
          <w:sz w:val="20"/>
          <w:szCs w:val="20"/>
        </w:rPr>
        <w:t>, which was granted by the Inter-American Court on June 24, 2021</w:t>
      </w:r>
      <w:r w:rsidRPr="00524435">
        <w:rPr>
          <w:rFonts w:ascii="Cambria" w:eastAsia="Cambria" w:hAnsi="Cambria" w:cs="Cambria"/>
          <w:sz w:val="20"/>
          <w:szCs w:val="20"/>
          <w:vertAlign w:val="superscript"/>
        </w:rPr>
        <w:footnoteReference w:id="162"/>
      </w:r>
      <w:r w:rsidRPr="00524435">
        <w:rPr>
          <w:rFonts w:ascii="Cambria" w:eastAsia="Cambria" w:hAnsi="Cambria" w:cs="Cambria"/>
          <w:sz w:val="20"/>
          <w:szCs w:val="20"/>
        </w:rPr>
        <w:t>;</w:t>
      </w:r>
    </w:p>
    <w:p w14:paraId="244183A1" w14:textId="77777777" w:rsidR="00842401" w:rsidRPr="00524435" w:rsidRDefault="00842401" w:rsidP="0009324C">
      <w:pPr>
        <w:numPr>
          <w:ilvl w:val="0"/>
          <w:numId w:val="42"/>
        </w:numPr>
        <w:spacing w:after="0" w:line="240" w:lineRule="auto"/>
        <w:ind w:left="1434" w:hanging="357"/>
        <w:jc w:val="both"/>
        <w:rPr>
          <w:rFonts w:ascii="Cambria" w:eastAsia="Cambria" w:hAnsi="Cambria" w:cs="Cambria"/>
          <w:sz w:val="20"/>
          <w:szCs w:val="20"/>
        </w:rPr>
      </w:pPr>
      <w:r w:rsidRPr="00524435">
        <w:rPr>
          <w:rFonts w:ascii="Cambria" w:eastAsia="Cambria" w:hAnsi="Cambria" w:cs="Cambria"/>
          <w:sz w:val="20"/>
          <w:szCs w:val="20"/>
        </w:rPr>
        <w:t xml:space="preserve">July 16, 2021: Daisy Tamara </w:t>
      </w:r>
      <w:proofErr w:type="spellStart"/>
      <w:r w:rsidRPr="00524435">
        <w:rPr>
          <w:rFonts w:ascii="Cambria" w:eastAsia="Cambria" w:hAnsi="Cambria" w:cs="Cambria"/>
          <w:sz w:val="20"/>
          <w:szCs w:val="20"/>
        </w:rPr>
        <w:t>Dávila</w:t>
      </w:r>
      <w:proofErr w:type="spellEnd"/>
      <w:r w:rsidRPr="00524435">
        <w:rPr>
          <w:rFonts w:ascii="Cambria" w:eastAsia="Cambria" w:hAnsi="Cambria" w:cs="Cambria"/>
          <w:sz w:val="20"/>
          <w:szCs w:val="20"/>
        </w:rPr>
        <w:t xml:space="preserve"> Rivas and her immediate family</w:t>
      </w:r>
      <w:r w:rsidRPr="00524435">
        <w:rPr>
          <w:rFonts w:ascii="Cambria" w:eastAsia="Cambria" w:hAnsi="Cambria" w:cs="Cambria"/>
          <w:sz w:val="20"/>
          <w:szCs w:val="20"/>
          <w:vertAlign w:val="superscript"/>
        </w:rPr>
        <w:footnoteReference w:id="163"/>
      </w:r>
      <w:r w:rsidRPr="00524435">
        <w:rPr>
          <w:rFonts w:ascii="Cambria" w:eastAsia="Cambria" w:hAnsi="Cambria" w:cs="Cambria"/>
          <w:sz w:val="20"/>
          <w:szCs w:val="20"/>
        </w:rPr>
        <w:t>, which was granted on July 19, 2021</w:t>
      </w:r>
      <w:r w:rsidRPr="00524435">
        <w:rPr>
          <w:rFonts w:ascii="Cambria" w:eastAsia="Cambria" w:hAnsi="Cambria" w:cs="Cambria"/>
          <w:sz w:val="20"/>
          <w:szCs w:val="20"/>
          <w:vertAlign w:val="superscript"/>
        </w:rPr>
        <w:footnoteReference w:id="164"/>
      </w:r>
      <w:r w:rsidRPr="00524435">
        <w:rPr>
          <w:rFonts w:ascii="Cambria" w:eastAsia="Cambria" w:hAnsi="Cambria" w:cs="Cambria"/>
          <w:sz w:val="20"/>
          <w:szCs w:val="20"/>
        </w:rPr>
        <w:t>;</w:t>
      </w:r>
    </w:p>
    <w:p w14:paraId="00638EEF" w14:textId="77777777" w:rsidR="00842401" w:rsidRPr="00524435" w:rsidRDefault="00842401" w:rsidP="0009324C">
      <w:pPr>
        <w:numPr>
          <w:ilvl w:val="0"/>
          <w:numId w:val="42"/>
        </w:numPr>
        <w:spacing w:after="0" w:line="240" w:lineRule="auto"/>
        <w:contextualSpacing/>
        <w:jc w:val="both"/>
        <w:rPr>
          <w:rFonts w:ascii="Cambria" w:eastAsia="Cambria" w:hAnsi="Cambria" w:cs="Cambria"/>
          <w:sz w:val="20"/>
          <w:szCs w:val="20"/>
        </w:rPr>
      </w:pPr>
      <w:r w:rsidRPr="00524435">
        <w:rPr>
          <w:rFonts w:ascii="Cambria" w:eastAsia="Cambria" w:hAnsi="Cambria" w:cs="Cambria"/>
          <w:sz w:val="20"/>
          <w:szCs w:val="20"/>
        </w:rPr>
        <w:t xml:space="preserve">August 25, 2021: </w:t>
      </w:r>
      <w:proofErr w:type="spellStart"/>
      <w:r w:rsidRPr="00524435">
        <w:rPr>
          <w:rFonts w:ascii="Cambria" w:eastAsia="Cambria" w:hAnsi="Cambria" w:cs="Cambria"/>
          <w:sz w:val="20"/>
          <w:szCs w:val="20"/>
        </w:rPr>
        <w:t>Lesther</w:t>
      </w:r>
      <w:proofErr w:type="spellEnd"/>
      <w:r w:rsidRPr="00524435">
        <w:rPr>
          <w:rFonts w:ascii="Cambria" w:eastAsia="Cambria" w:hAnsi="Cambria" w:cs="Cambria"/>
          <w:sz w:val="20"/>
          <w:szCs w:val="20"/>
        </w:rPr>
        <w:t xml:space="preserve"> Lenin </w:t>
      </w:r>
      <w:proofErr w:type="spellStart"/>
      <w:r w:rsidRPr="00524435">
        <w:rPr>
          <w:rFonts w:ascii="Cambria" w:eastAsia="Cambria" w:hAnsi="Cambria" w:cs="Cambria"/>
          <w:sz w:val="20"/>
          <w:szCs w:val="20"/>
        </w:rPr>
        <w:t>Alemán</w:t>
      </w:r>
      <w:proofErr w:type="spellEnd"/>
      <w:r w:rsidRPr="00524435">
        <w:rPr>
          <w:rFonts w:ascii="Cambria" w:eastAsia="Cambria" w:hAnsi="Cambria" w:cs="Cambria"/>
          <w:sz w:val="20"/>
          <w:szCs w:val="20"/>
        </w:rPr>
        <w:t xml:space="preserve"> Alfaro and Freddy Alberto </w:t>
      </w:r>
      <w:proofErr w:type="spellStart"/>
      <w:r w:rsidRPr="00524435">
        <w:rPr>
          <w:rFonts w:ascii="Cambria" w:eastAsia="Cambria" w:hAnsi="Cambria" w:cs="Cambria"/>
          <w:sz w:val="20"/>
          <w:szCs w:val="20"/>
        </w:rPr>
        <w:t>Navas</w:t>
      </w:r>
      <w:proofErr w:type="spellEnd"/>
      <w:r w:rsidRPr="00524435">
        <w:rPr>
          <w:rFonts w:ascii="Cambria" w:eastAsia="Cambria" w:hAnsi="Cambria" w:cs="Cambria"/>
          <w:sz w:val="20"/>
          <w:szCs w:val="20"/>
        </w:rPr>
        <w:t xml:space="preserve"> López</w:t>
      </w:r>
      <w:r w:rsidRPr="00524435">
        <w:rPr>
          <w:rFonts w:ascii="Cambria" w:eastAsia="Cambria" w:hAnsi="Cambria" w:cs="Cambria"/>
          <w:sz w:val="20"/>
          <w:szCs w:val="20"/>
          <w:vertAlign w:val="superscript"/>
        </w:rPr>
        <w:footnoteReference w:id="165"/>
      </w:r>
      <w:r w:rsidRPr="00524435">
        <w:rPr>
          <w:rFonts w:ascii="Cambria" w:eastAsia="Cambria" w:hAnsi="Cambria" w:cs="Cambria"/>
          <w:sz w:val="20"/>
          <w:szCs w:val="20"/>
        </w:rPr>
        <w:t>, and their immediate families, which was granted on September 9, 2021</w:t>
      </w:r>
      <w:r w:rsidRPr="00524435">
        <w:rPr>
          <w:rFonts w:ascii="Cambria" w:eastAsia="Cambria" w:hAnsi="Cambria" w:cs="Cambria"/>
          <w:sz w:val="20"/>
          <w:szCs w:val="20"/>
          <w:vertAlign w:val="superscript"/>
        </w:rPr>
        <w:footnoteReference w:id="166"/>
      </w:r>
      <w:r w:rsidRPr="00524435">
        <w:rPr>
          <w:rFonts w:ascii="Cambria" w:eastAsia="Cambria" w:hAnsi="Cambria" w:cs="Cambria"/>
          <w:sz w:val="20"/>
          <w:szCs w:val="20"/>
        </w:rPr>
        <w:t>;</w:t>
      </w:r>
    </w:p>
    <w:p w14:paraId="066F1954" w14:textId="77777777" w:rsidR="00842401" w:rsidRPr="00524435" w:rsidRDefault="00842401" w:rsidP="0009324C">
      <w:pPr>
        <w:numPr>
          <w:ilvl w:val="0"/>
          <w:numId w:val="42"/>
        </w:numPr>
        <w:spacing w:after="0" w:line="240" w:lineRule="auto"/>
        <w:contextualSpacing/>
        <w:jc w:val="both"/>
        <w:rPr>
          <w:rFonts w:ascii="Cambria" w:eastAsia="Cambria" w:hAnsi="Cambria" w:cs="Cambria"/>
          <w:sz w:val="20"/>
          <w:szCs w:val="20"/>
        </w:rPr>
      </w:pPr>
      <w:r w:rsidRPr="00524435">
        <w:rPr>
          <w:rFonts w:ascii="Cambria" w:eastAsia="Cambria" w:hAnsi="Cambria" w:cs="Cambria"/>
          <w:sz w:val="20"/>
          <w:szCs w:val="20"/>
        </w:rPr>
        <w:t xml:space="preserve">September 17, 2021: Communities of the indigenous </w:t>
      </w:r>
      <w:proofErr w:type="spellStart"/>
      <w:r w:rsidRPr="00524435">
        <w:rPr>
          <w:rFonts w:ascii="Cambria" w:eastAsia="Cambria" w:hAnsi="Cambria" w:cs="Cambria"/>
          <w:sz w:val="20"/>
          <w:szCs w:val="20"/>
        </w:rPr>
        <w:t>Miskitu</w:t>
      </w:r>
      <w:proofErr w:type="spellEnd"/>
      <w:r w:rsidRPr="00524435">
        <w:rPr>
          <w:rFonts w:ascii="Cambria" w:eastAsia="Cambria" w:hAnsi="Cambria" w:cs="Cambria"/>
          <w:sz w:val="20"/>
          <w:szCs w:val="20"/>
        </w:rPr>
        <w:t xml:space="preserve"> People in Nicaragua</w:t>
      </w:r>
      <w:r w:rsidRPr="00524435">
        <w:rPr>
          <w:rFonts w:ascii="Cambria" w:eastAsia="Cambria" w:hAnsi="Cambria" w:cs="Cambria"/>
          <w:sz w:val="20"/>
          <w:szCs w:val="20"/>
          <w:vertAlign w:val="superscript"/>
        </w:rPr>
        <w:footnoteReference w:id="167"/>
      </w:r>
      <w:r w:rsidRPr="00524435">
        <w:rPr>
          <w:rFonts w:ascii="Cambria" w:eastAsia="Cambria" w:hAnsi="Cambria" w:cs="Cambria"/>
          <w:sz w:val="20"/>
          <w:szCs w:val="20"/>
        </w:rPr>
        <w:t>, granted on October 14, 2021</w:t>
      </w:r>
      <w:r w:rsidRPr="00524435">
        <w:rPr>
          <w:rFonts w:ascii="Cambria" w:eastAsia="Cambria" w:hAnsi="Cambria" w:cs="Cambria"/>
          <w:sz w:val="20"/>
          <w:szCs w:val="20"/>
          <w:vertAlign w:val="superscript"/>
        </w:rPr>
        <w:footnoteReference w:id="168"/>
      </w:r>
      <w:r w:rsidRPr="00524435">
        <w:rPr>
          <w:rFonts w:ascii="Cambria" w:eastAsia="Cambria" w:hAnsi="Cambria" w:cs="Cambria"/>
          <w:sz w:val="20"/>
          <w:szCs w:val="20"/>
        </w:rPr>
        <w:t>;</w:t>
      </w:r>
    </w:p>
    <w:p w14:paraId="6F2B6F53" w14:textId="77777777" w:rsidR="00842401" w:rsidRPr="00524435" w:rsidRDefault="00842401" w:rsidP="0009324C">
      <w:pPr>
        <w:numPr>
          <w:ilvl w:val="0"/>
          <w:numId w:val="42"/>
        </w:numPr>
        <w:spacing w:after="0" w:line="240" w:lineRule="auto"/>
        <w:contextualSpacing/>
        <w:jc w:val="both"/>
        <w:rPr>
          <w:rFonts w:ascii="Cambria" w:eastAsia="Cambria" w:hAnsi="Cambria" w:cs="Cambria"/>
          <w:sz w:val="20"/>
          <w:szCs w:val="20"/>
        </w:rPr>
      </w:pPr>
      <w:r w:rsidRPr="00524435">
        <w:rPr>
          <w:rFonts w:ascii="Cambria" w:eastAsia="Cambria" w:hAnsi="Cambria" w:cs="Cambria"/>
          <w:sz w:val="20"/>
          <w:szCs w:val="20"/>
        </w:rPr>
        <w:t>October 29, 2021: Cristiana Chamorro and 14 other persons</w:t>
      </w:r>
      <w:r w:rsidRPr="00524435">
        <w:rPr>
          <w:rFonts w:ascii="Cambria" w:eastAsia="Cambria" w:hAnsi="Cambria" w:cs="Cambria"/>
          <w:sz w:val="20"/>
          <w:szCs w:val="20"/>
          <w:vertAlign w:val="superscript"/>
        </w:rPr>
        <w:footnoteReference w:id="169"/>
      </w:r>
      <w:r w:rsidRPr="00524435">
        <w:rPr>
          <w:rFonts w:ascii="Cambria" w:eastAsia="Cambria" w:hAnsi="Cambria" w:cs="Cambria"/>
          <w:sz w:val="20"/>
          <w:szCs w:val="20"/>
        </w:rPr>
        <w:t>, which was granted on November 4, 2021.</w:t>
      </w:r>
      <w:r w:rsidRPr="00524435">
        <w:rPr>
          <w:rFonts w:ascii="Cambria" w:eastAsia="Cambria" w:hAnsi="Cambria" w:cs="Cambria"/>
          <w:sz w:val="20"/>
          <w:szCs w:val="20"/>
          <w:vertAlign w:val="superscript"/>
        </w:rPr>
        <w:footnoteReference w:id="170"/>
      </w:r>
    </w:p>
    <w:p w14:paraId="4769C3DD" w14:textId="2DCB2B64" w:rsidR="00BF363B" w:rsidRPr="00524435" w:rsidRDefault="00BF363B" w:rsidP="004559E9">
      <w:pPr>
        <w:pStyle w:val="NoSpacing"/>
        <w:rPr>
          <w:rFonts w:ascii="Cambria" w:hAnsi="Cambria"/>
          <w:sz w:val="20"/>
          <w:szCs w:val="20"/>
        </w:rPr>
      </w:pPr>
    </w:p>
    <w:p w14:paraId="664C5C5D" w14:textId="284C2BA8" w:rsidR="00005144" w:rsidRPr="00524435" w:rsidRDefault="00005144" w:rsidP="004559E9">
      <w:pPr>
        <w:pStyle w:val="NoSpacing"/>
        <w:rPr>
          <w:rFonts w:ascii="Cambria" w:hAnsi="Cambria"/>
          <w:sz w:val="20"/>
          <w:szCs w:val="20"/>
        </w:rPr>
      </w:pPr>
    </w:p>
    <w:p w14:paraId="0D339936" w14:textId="6F18E7D3" w:rsidR="00252C2D" w:rsidRPr="00524435" w:rsidRDefault="00252C2D" w:rsidP="00252C2D">
      <w:pPr>
        <w:pStyle w:val="Heading1"/>
      </w:pPr>
      <w:r w:rsidRPr="00524435">
        <w:t>Statistics</w:t>
      </w:r>
    </w:p>
    <w:p w14:paraId="2982776D" w14:textId="59725137" w:rsidR="00252C2D" w:rsidRPr="00524435" w:rsidRDefault="00252C2D" w:rsidP="004559E9">
      <w:pPr>
        <w:pStyle w:val="NoSpacing"/>
        <w:rPr>
          <w:rFonts w:ascii="Cambria" w:hAnsi="Cambria"/>
          <w:sz w:val="20"/>
          <w:szCs w:val="20"/>
        </w:rPr>
      </w:pPr>
    </w:p>
    <w:p w14:paraId="11A29E39" w14:textId="269CB21F" w:rsidR="00252C2D" w:rsidRPr="00524435" w:rsidRDefault="00252C2D" w:rsidP="004559E9">
      <w:pPr>
        <w:pStyle w:val="NoSpacing"/>
        <w:rPr>
          <w:rFonts w:ascii="Cambria" w:hAnsi="Cambria"/>
          <w:sz w:val="20"/>
          <w:szCs w:val="20"/>
        </w:rPr>
      </w:pPr>
    </w:p>
    <w:p w14:paraId="1C3D86A6" w14:textId="77777777" w:rsidR="00507C2D" w:rsidRPr="00524435" w:rsidRDefault="00507C2D" w:rsidP="000C483C">
      <w:pPr>
        <w:pStyle w:val="Heading3"/>
        <w:numPr>
          <w:ilvl w:val="0"/>
          <w:numId w:val="45"/>
        </w:numPr>
        <w:ind w:left="1440" w:hanging="720"/>
      </w:pPr>
      <w:r w:rsidRPr="00524435">
        <w:lastRenderedPageBreak/>
        <w:t>Petitions received by country in 2021</w:t>
      </w:r>
    </w:p>
    <w:p w14:paraId="7F634F90" w14:textId="14482A57" w:rsidR="00507C2D" w:rsidRPr="00524435" w:rsidRDefault="00F07666" w:rsidP="00507C2D">
      <w:pPr>
        <w:pStyle w:val="NoSpacing"/>
      </w:pPr>
      <w:r w:rsidRPr="00524435">
        <w:rPr>
          <w:noProof/>
          <w:sz w:val="20"/>
          <w:szCs w:val="20"/>
        </w:rPr>
        <w:drawing>
          <wp:inline distT="0" distB="0" distL="0" distR="0" wp14:anchorId="2F8CFEC8" wp14:editId="7E7FA12D">
            <wp:extent cx="5943600" cy="5579616"/>
            <wp:effectExtent l="0" t="0" r="0" b="254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43600" cy="5579616"/>
                    </a:xfrm>
                    <a:prstGeom prst="rect">
                      <a:avLst/>
                    </a:prstGeom>
                    <a:noFill/>
                  </pic:spPr>
                </pic:pic>
              </a:graphicData>
            </a:graphic>
          </wp:inline>
        </w:drawing>
      </w:r>
    </w:p>
    <w:p w14:paraId="530ABFEF" w14:textId="760BFA2A" w:rsidR="00507C2D" w:rsidRPr="00524435" w:rsidRDefault="00F07666" w:rsidP="00507C2D">
      <w:r w:rsidRPr="00524435">
        <w:rPr>
          <w:rFonts w:cs="Calibri"/>
          <w:noProof/>
        </w:rPr>
        <mc:AlternateContent>
          <mc:Choice Requires="wps">
            <w:drawing>
              <wp:anchor distT="45720" distB="45720" distL="114300" distR="114300" simplePos="0" relativeHeight="251669504" behindDoc="0" locked="0" layoutInCell="1" allowOverlap="1" wp14:anchorId="448916DE" wp14:editId="5A3F14FE">
                <wp:simplePos x="0" y="0"/>
                <wp:positionH relativeFrom="margin">
                  <wp:posOffset>0</wp:posOffset>
                </wp:positionH>
                <wp:positionV relativeFrom="margin">
                  <wp:posOffset>6214110</wp:posOffset>
                </wp:positionV>
                <wp:extent cx="5953125" cy="1047750"/>
                <wp:effectExtent l="0" t="0" r="9525"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047750"/>
                        </a:xfrm>
                        <a:prstGeom prst="rect">
                          <a:avLst/>
                        </a:prstGeom>
                        <a:solidFill>
                          <a:srgbClr val="FFFFFF"/>
                        </a:solidFill>
                        <a:ln w="57150" cmpd="thickThin">
                          <a:noFill/>
                          <a:miter lim="800000"/>
                          <a:headEnd/>
                          <a:tailEnd/>
                        </a:ln>
                      </wps:spPr>
                      <wps:txbx>
                        <w:txbxContent>
                          <w:p w14:paraId="5D5737FE" w14:textId="74E21DC3" w:rsidR="00F07666" w:rsidRPr="00507C2D" w:rsidRDefault="00F07666" w:rsidP="00F07666">
                            <w:pPr>
                              <w:jc w:val="both"/>
                              <w:rPr>
                                <w:sz w:val="18"/>
                                <w:szCs w:val="18"/>
                              </w:rPr>
                            </w:pPr>
                            <w:r w:rsidRPr="00507C2D">
                              <w:rPr>
                                <w:sz w:val="18"/>
                                <w:szCs w:val="18"/>
                              </w:rPr>
                              <w:t>This graph is a snapshot the absolute (gross) number of petitions received at December 31, 2021.  As they are examined, they may later be joined or disaggregated. To a lesser, but still possible, extent, new records may be created of petitions lodged in previous years when an involuntary omission of a record is detected, following sufficient checking to confirm it. Likewise, some petitions may be cancelled, if duplicate records are detected.  For those reasons, once the examination of petitions lodged in a given year is completed, the number of petitions received may differ slightly from the number originally reported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448916DE" id="_x0000_t202" coordsize="21600,21600" o:spt="202" path="m,l,21600r21600,l21600,xe">
                <v:stroke joinstyle="miter"/>
                <v:path gradientshapeok="t" o:connecttype="rect"/>
              </v:shapetype>
              <v:shape id="Text Box 2" o:spid="_x0000_s1026" type="#_x0000_t202" style="position:absolute;margin-left:0;margin-top:489.3pt;width:468.75pt;height:8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" stroked="f" strokeweight="4.5pt">
                <v:stroke linestyle="thickThin"/>
                <v:textbox>
                  <w:txbxContent>
                    <w:p w14:paraId="5D5737FE" w14:textId="74E21DC3" w:rsidR="00F07666" w:rsidRPr="00507C2D" w:rsidRDefault="00F07666" w:rsidP="00F07666">
                      <w:pPr>
                        <w:jc w:val="both"/>
                        <w:rPr>
                          <w:sz w:val="18"/>
                          <w:szCs w:val="18"/>
                        </w:rPr>
                      </w:pPr>
                      <w:r w:rsidRPr="00507C2D">
                        <w:rPr>
                          <w:sz w:val="18"/>
                          <w:szCs w:val="18"/>
                        </w:rPr>
                        <w:t>This graph is a snapshot the absolute (gross) number of petitions received at December 31, 2021.  As they are examined, they may later be joined or disaggregated. To a lesser, but still possible, extent, new records may be created of petitions lodged in previous years when an involuntary omission of a record is detected, following sufficient checking to confirm it. Likewise, some petitions may be cancelled, if duplicate records are detected.  For those reasons, once the examination of petitions lodged in a given year is completed, the number of petitions received may differ slightly from the number originally reported</w:t>
                      </w:r>
                    </w:p>
                  </w:txbxContent>
                </v:textbox>
                <w10:wrap type="square" anchorx="margin" anchory="margin"/>
              </v:shape>
            </w:pict>
          </mc:Fallback>
        </mc:AlternateContent>
      </w:r>
      <w:r w:rsidR="00507C2D" w:rsidRPr="00524435">
        <w:br w:type="page"/>
      </w:r>
    </w:p>
    <w:p w14:paraId="5E721A79" w14:textId="77777777" w:rsidR="00507C2D" w:rsidRPr="00524435" w:rsidRDefault="00507C2D" w:rsidP="00507C2D">
      <w:pPr>
        <w:pStyle w:val="NoSpacing"/>
      </w:pPr>
    </w:p>
    <w:p w14:paraId="5A6E8E50" w14:textId="77777777" w:rsidR="00507C2D" w:rsidRPr="00524435" w:rsidRDefault="00507C2D" w:rsidP="00507C2D">
      <w:pPr>
        <w:pStyle w:val="NoSpacing"/>
      </w:pPr>
    </w:p>
    <w:p w14:paraId="5E5684A7" w14:textId="77777777" w:rsidR="00507C2D" w:rsidRPr="00524435" w:rsidRDefault="00507C2D" w:rsidP="00E82663">
      <w:pPr>
        <w:pStyle w:val="Heading3"/>
      </w:pPr>
      <w:r w:rsidRPr="00524435">
        <w:t>Petitions received per year</w:t>
      </w:r>
    </w:p>
    <w:p w14:paraId="382BE298" w14:textId="77777777" w:rsidR="00507C2D" w:rsidRPr="00524435" w:rsidRDefault="00507C2D" w:rsidP="00507C2D">
      <w:pPr>
        <w:pStyle w:val="NoSpacing"/>
      </w:pPr>
    </w:p>
    <w:p w14:paraId="06A0B897" w14:textId="77777777" w:rsidR="00507C2D" w:rsidRPr="00524435" w:rsidRDefault="00507C2D" w:rsidP="00507C2D">
      <w:pPr>
        <w:pStyle w:val="NoSpacing"/>
      </w:pPr>
    </w:p>
    <w:p w14:paraId="5ED62463" w14:textId="06201F7A" w:rsidR="00507C2D" w:rsidRPr="00524435" w:rsidRDefault="00F07666" w:rsidP="00507C2D">
      <w:pPr>
        <w:pStyle w:val="NoSpacing"/>
      </w:pPr>
      <w:r w:rsidRPr="00524435">
        <w:rPr>
          <w:noProof/>
        </w:rPr>
        <w:drawing>
          <wp:inline distT="0" distB="0" distL="0" distR="0" wp14:anchorId="196444B8" wp14:editId="450BF61C">
            <wp:extent cx="5943600" cy="3785870"/>
            <wp:effectExtent l="0" t="0" r="0" b="508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43600" cy="3785870"/>
                    </a:xfrm>
                    <a:prstGeom prst="rect">
                      <a:avLst/>
                    </a:prstGeom>
                    <a:noFill/>
                  </pic:spPr>
                </pic:pic>
              </a:graphicData>
            </a:graphic>
          </wp:inline>
        </w:drawing>
      </w:r>
    </w:p>
    <w:p w14:paraId="583ED842" w14:textId="77777777" w:rsidR="00507C2D" w:rsidRPr="00524435" w:rsidRDefault="00507C2D" w:rsidP="00507C2D">
      <w:pPr>
        <w:pStyle w:val="NoSpacing"/>
      </w:pPr>
    </w:p>
    <w:p w14:paraId="7DFB4433" w14:textId="77777777" w:rsidR="00507C2D" w:rsidRPr="00524435" w:rsidRDefault="00507C2D" w:rsidP="00507C2D">
      <w:r w:rsidRPr="00524435">
        <w:rPr>
          <w:rFonts w:cs="Calibri"/>
          <w:noProof/>
        </w:rPr>
        <mc:AlternateContent>
          <mc:Choice Requires="wps">
            <w:drawing>
              <wp:anchor distT="45720" distB="45720" distL="114300" distR="114300" simplePos="0" relativeHeight="251660288" behindDoc="0" locked="0" layoutInCell="1" allowOverlap="1" wp14:anchorId="157F5A17" wp14:editId="51AFD92E">
                <wp:simplePos x="0" y="0"/>
                <wp:positionH relativeFrom="margin">
                  <wp:posOffset>142875</wp:posOffset>
                </wp:positionH>
                <wp:positionV relativeFrom="margin">
                  <wp:posOffset>5685155</wp:posOffset>
                </wp:positionV>
                <wp:extent cx="5010150" cy="514350"/>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514350"/>
                        </a:xfrm>
                        <a:prstGeom prst="rect">
                          <a:avLst/>
                        </a:prstGeom>
                        <a:solidFill>
                          <a:srgbClr val="FFFFFF"/>
                        </a:solidFill>
                        <a:ln w="57150" cmpd="thickThin">
                          <a:noFill/>
                          <a:miter lim="800000"/>
                          <a:headEnd/>
                          <a:tailEnd/>
                        </a:ln>
                      </wps:spPr>
                      <wps:txbx>
                        <w:txbxContent>
                          <w:p w14:paraId="587017D2" w14:textId="77777777" w:rsidR="00507C2D" w:rsidRPr="00507C2D" w:rsidRDefault="00507C2D" w:rsidP="00507C2D">
                            <w:pPr>
                              <w:jc w:val="both"/>
                              <w:rPr>
                                <w:sz w:val="18"/>
                                <w:szCs w:val="18"/>
                              </w:rPr>
                            </w:pPr>
                            <w:r w:rsidRPr="00507C2D">
                              <w:rPr>
                                <w:sz w:val="18"/>
                                <w:szCs w:val="18"/>
                              </w:rPr>
                              <w:t>Many of the requests where the requested information is not received are "deactivated" and/or archived. These do not appear in the graphs.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57F5A17" id="_x0000_s1027" type="#_x0000_t202" style="position:absolute;margin-left:11.25pt;margin-top:447.65pt;width:394.5pt;height:40.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" stroked="f" strokeweight="4.5pt">
                <v:stroke linestyle="thickThin"/>
                <v:textbox>
                  <w:txbxContent>
                    <w:p w14:paraId="587017D2" w14:textId="77777777" w:rsidR="00507C2D" w:rsidRPr="00507C2D" w:rsidRDefault="00507C2D" w:rsidP="00507C2D">
                      <w:pPr>
                        <w:jc w:val="both"/>
                        <w:rPr>
                          <w:sz w:val="18"/>
                          <w:szCs w:val="18"/>
                        </w:rPr>
                      </w:pPr>
                      <w:r w:rsidRPr="00507C2D">
                        <w:rPr>
                          <w:sz w:val="18"/>
                          <w:szCs w:val="18"/>
                        </w:rPr>
                        <w:t>Many of the requests where the requested information is not received are "deactivated" and/or archived. These do not appear in the graphs.</w:t>
                      </w:r>
                    </w:p>
                  </w:txbxContent>
                </v:textbox>
                <w10:wrap type="square" anchorx="margin" anchory="margin"/>
              </v:shape>
            </w:pict>
          </mc:Fallback>
        </mc:AlternateContent>
      </w:r>
      <w:r w:rsidRPr="00524435">
        <w:br w:type="page"/>
      </w:r>
    </w:p>
    <w:p w14:paraId="2B744BC5" w14:textId="77777777" w:rsidR="00507C2D" w:rsidRPr="00524435" w:rsidRDefault="00507C2D" w:rsidP="00507C2D">
      <w:pPr>
        <w:pStyle w:val="NoSpacing"/>
      </w:pPr>
    </w:p>
    <w:p w14:paraId="278B8621" w14:textId="77777777" w:rsidR="00507C2D" w:rsidRPr="00524435" w:rsidRDefault="00507C2D" w:rsidP="00507C2D">
      <w:pPr>
        <w:pStyle w:val="NoSpacing"/>
      </w:pPr>
    </w:p>
    <w:p w14:paraId="2EA5775B" w14:textId="56D4323B" w:rsidR="00507C2D" w:rsidRPr="00524435" w:rsidRDefault="00EE5211" w:rsidP="00E82663">
      <w:pPr>
        <w:pStyle w:val="Heading3"/>
      </w:pPr>
      <w:r w:rsidRPr="00524435">
        <w:t>Decisions to</w:t>
      </w:r>
      <w:r w:rsidR="00507C2D" w:rsidRPr="00524435">
        <w:t xml:space="preserve"> open for processing, by country </w:t>
      </w:r>
      <w:r w:rsidRPr="00524435">
        <w:t>(</w:t>
      </w:r>
      <w:r w:rsidR="00507C2D" w:rsidRPr="00524435">
        <w:t>2021</w:t>
      </w:r>
      <w:r w:rsidRPr="00524435">
        <w:t>)</w:t>
      </w:r>
    </w:p>
    <w:p w14:paraId="1CE0AFF5" w14:textId="77777777" w:rsidR="00507C2D" w:rsidRPr="00524435" w:rsidRDefault="00507C2D" w:rsidP="00507C2D">
      <w:pPr>
        <w:pStyle w:val="NoSpacing"/>
      </w:pPr>
    </w:p>
    <w:p w14:paraId="72CB11EF" w14:textId="77777777" w:rsidR="00507C2D" w:rsidRPr="00524435" w:rsidRDefault="00507C2D" w:rsidP="00507C2D">
      <w:pPr>
        <w:pStyle w:val="NoSpacing"/>
      </w:pPr>
    </w:p>
    <w:p w14:paraId="737BE60C" w14:textId="354D44E7" w:rsidR="00507C2D" w:rsidRPr="00524435" w:rsidRDefault="00F07666" w:rsidP="00507C2D">
      <w:pPr>
        <w:pStyle w:val="NoSpacing"/>
      </w:pPr>
      <w:r w:rsidRPr="00524435">
        <w:rPr>
          <w:rFonts w:ascii="Cambria" w:hAnsi="Cambria"/>
          <w:b/>
          <w:noProof/>
          <w:szCs w:val="20"/>
        </w:rPr>
        <w:drawing>
          <wp:inline distT="0" distB="0" distL="0" distR="0" wp14:anchorId="70592BD4" wp14:editId="27F36305">
            <wp:extent cx="5774218" cy="4376420"/>
            <wp:effectExtent l="0" t="0" r="0" b="508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783550" cy="4383493"/>
                    </a:xfrm>
                    <a:prstGeom prst="rect">
                      <a:avLst/>
                    </a:prstGeom>
                    <a:noFill/>
                  </pic:spPr>
                </pic:pic>
              </a:graphicData>
            </a:graphic>
          </wp:inline>
        </w:drawing>
      </w:r>
    </w:p>
    <w:p w14:paraId="73354DAC" w14:textId="77777777" w:rsidR="00507C2D" w:rsidRPr="00524435" w:rsidRDefault="00507C2D" w:rsidP="00507C2D">
      <w:r w:rsidRPr="00524435">
        <w:br w:type="page"/>
      </w:r>
    </w:p>
    <w:p w14:paraId="5EF1AE4D" w14:textId="77777777" w:rsidR="00507C2D" w:rsidRPr="00524435" w:rsidRDefault="00507C2D" w:rsidP="00507C2D">
      <w:pPr>
        <w:pStyle w:val="NoSpacing"/>
      </w:pPr>
    </w:p>
    <w:p w14:paraId="78B8B2AF" w14:textId="77777777" w:rsidR="00507C2D" w:rsidRPr="00524435" w:rsidRDefault="00507C2D" w:rsidP="00507C2D">
      <w:pPr>
        <w:pStyle w:val="NoSpacing"/>
      </w:pPr>
    </w:p>
    <w:p w14:paraId="60ABE74C" w14:textId="77777777" w:rsidR="00507C2D" w:rsidRPr="00524435" w:rsidRDefault="00507C2D" w:rsidP="00E82663">
      <w:pPr>
        <w:pStyle w:val="Heading3"/>
      </w:pPr>
      <w:r w:rsidRPr="00524435">
        <w:t>Petitions opened for processing and notified, by country in 2021</w:t>
      </w:r>
    </w:p>
    <w:p w14:paraId="3DD53509" w14:textId="77777777" w:rsidR="00507C2D" w:rsidRPr="00524435" w:rsidRDefault="00507C2D" w:rsidP="00507C2D">
      <w:pPr>
        <w:pStyle w:val="NoSpacing"/>
      </w:pPr>
    </w:p>
    <w:p w14:paraId="0C10B3CD" w14:textId="77777777" w:rsidR="00507C2D" w:rsidRPr="00524435" w:rsidRDefault="00507C2D" w:rsidP="00507C2D">
      <w:pPr>
        <w:pStyle w:val="NoSpacing"/>
      </w:pPr>
    </w:p>
    <w:p w14:paraId="77CE7FE8" w14:textId="3A138E1E" w:rsidR="00507C2D" w:rsidRPr="00524435" w:rsidRDefault="00FA2B6A" w:rsidP="00507C2D">
      <w:pPr>
        <w:pStyle w:val="NoSpacing"/>
      </w:pPr>
      <w:r w:rsidRPr="00524435">
        <w:rPr>
          <w:noProof/>
        </w:rPr>
        <w:drawing>
          <wp:inline distT="0" distB="0" distL="0" distR="0" wp14:anchorId="1B3FEAFE" wp14:editId="7E26E0CB">
            <wp:extent cx="5813865" cy="4386580"/>
            <wp:effectExtent l="0" t="0" r="0"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828291" cy="4397465"/>
                    </a:xfrm>
                    <a:prstGeom prst="rect">
                      <a:avLst/>
                    </a:prstGeom>
                    <a:noFill/>
                  </pic:spPr>
                </pic:pic>
              </a:graphicData>
            </a:graphic>
          </wp:inline>
        </w:drawing>
      </w:r>
    </w:p>
    <w:p w14:paraId="480DEF93" w14:textId="42A44222" w:rsidR="00507C2D" w:rsidRPr="00524435" w:rsidRDefault="00FA2B6A" w:rsidP="00507C2D">
      <w:r w:rsidRPr="00524435">
        <w:rPr>
          <w:noProof/>
        </w:rPr>
        <mc:AlternateContent>
          <mc:Choice Requires="wps">
            <w:drawing>
              <wp:anchor distT="45720" distB="45720" distL="114300" distR="114300" simplePos="0" relativeHeight="251671552" behindDoc="0" locked="0" layoutInCell="1" allowOverlap="1" wp14:anchorId="3289EDEA" wp14:editId="7079027F">
                <wp:simplePos x="0" y="0"/>
                <wp:positionH relativeFrom="margin">
                  <wp:posOffset>0</wp:posOffset>
                </wp:positionH>
                <wp:positionV relativeFrom="margin">
                  <wp:posOffset>5701030</wp:posOffset>
                </wp:positionV>
                <wp:extent cx="5655310" cy="904875"/>
                <wp:effectExtent l="0" t="0" r="2540" b="952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310" cy="904875"/>
                        </a:xfrm>
                        <a:prstGeom prst="rect">
                          <a:avLst/>
                        </a:prstGeom>
                        <a:solidFill>
                          <a:srgbClr val="FFFFFF"/>
                        </a:solidFill>
                        <a:ln w="57150" cmpd="thickThin">
                          <a:noFill/>
                          <a:miter lim="800000"/>
                          <a:headEnd/>
                          <a:tailEnd/>
                        </a:ln>
                      </wps:spPr>
                      <wps:txbx>
                        <w:txbxContent>
                          <w:p w14:paraId="357ACA00" w14:textId="77777777" w:rsidR="00FA2B6A" w:rsidRPr="00507C2D" w:rsidRDefault="00FA2B6A" w:rsidP="00FA2B6A">
                            <w:pPr>
                              <w:jc w:val="both"/>
                              <w:rPr>
                                <w:sz w:val="18"/>
                                <w:szCs w:val="18"/>
                              </w:rPr>
                            </w:pPr>
                            <w:r w:rsidRPr="00507C2D">
                              <w:rPr>
                                <w:sz w:val="18"/>
                                <w:szCs w:val="18"/>
                              </w:rPr>
                              <w:t>The whole set of petitions reviewed does not correspond only to those received in the year immediately prior to the year covered in the report, because it may include petitions lodged in earlier years and, to a lesser extent, in 2021. Unlike decisions not to open for processing, decisions to open, or begin opening, petitions for processing may not be notified for several years.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289EDEA" id="_x0000_s1028" type="#_x0000_t202" style="position:absolute;margin-left:0;margin-top:448.9pt;width:445.3pt;height:71.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" stroked="f" strokeweight="4.5pt">
                <v:stroke linestyle="thickThin"/>
                <v:textbox>
                  <w:txbxContent>
                    <w:p w14:paraId="357ACA00" w14:textId="77777777" w:rsidR="00FA2B6A" w:rsidRPr="00507C2D" w:rsidRDefault="00FA2B6A" w:rsidP="00FA2B6A">
                      <w:pPr>
                        <w:jc w:val="both"/>
                        <w:rPr>
                          <w:sz w:val="18"/>
                          <w:szCs w:val="18"/>
                        </w:rPr>
                      </w:pPr>
                      <w:r w:rsidRPr="00507C2D">
                        <w:rPr>
                          <w:sz w:val="18"/>
                          <w:szCs w:val="18"/>
                        </w:rPr>
                        <w:t>The whole set of petitions reviewed does not correspond only to those received in the year immediately prior to the year covered in the report, because it may include petitions lodged in earlier years and, to a lesser extent, in 2021. Unlike decisions not to open for processing, decisions to open, or begin opening, petitions for processing may not be notified for several years.</w:t>
                      </w:r>
                    </w:p>
                  </w:txbxContent>
                </v:textbox>
                <w10:wrap type="square" anchorx="margin" anchory="margin"/>
              </v:shape>
            </w:pict>
          </mc:Fallback>
        </mc:AlternateContent>
      </w:r>
      <w:r w:rsidR="00507C2D" w:rsidRPr="00524435">
        <w:br w:type="page"/>
      </w:r>
    </w:p>
    <w:p w14:paraId="59ACC3D3" w14:textId="77777777" w:rsidR="00507C2D" w:rsidRPr="00524435" w:rsidRDefault="00507C2D" w:rsidP="00507C2D">
      <w:pPr>
        <w:pStyle w:val="NoSpacing"/>
      </w:pPr>
    </w:p>
    <w:p w14:paraId="53E1654B" w14:textId="77777777" w:rsidR="00507C2D" w:rsidRPr="00524435" w:rsidRDefault="00507C2D" w:rsidP="00507C2D">
      <w:pPr>
        <w:rPr>
          <w:noProof/>
        </w:rPr>
      </w:pPr>
    </w:p>
    <w:p w14:paraId="08F7E0D1" w14:textId="2FF3668F" w:rsidR="00507C2D" w:rsidRPr="00524435" w:rsidRDefault="00E870BE" w:rsidP="00E82663">
      <w:pPr>
        <w:pStyle w:val="Heading3"/>
      </w:pPr>
      <w:r w:rsidRPr="00524435">
        <w:t>Petitions opened for processing, pending notification to the State</w:t>
      </w:r>
      <w:r w:rsidR="00507C2D" w:rsidRPr="00524435">
        <w:t xml:space="preserve"> </w:t>
      </w:r>
    </w:p>
    <w:p w14:paraId="28785AFD" w14:textId="77777777" w:rsidR="00507C2D" w:rsidRPr="00524435" w:rsidRDefault="00507C2D" w:rsidP="00051245">
      <w:pPr>
        <w:pStyle w:val="NoSpacing"/>
      </w:pPr>
    </w:p>
    <w:p w14:paraId="2C476411" w14:textId="30093344" w:rsidR="00507C2D" w:rsidRPr="00524435" w:rsidRDefault="00507C2D" w:rsidP="00051245">
      <w:pPr>
        <w:pStyle w:val="NoSpacing"/>
      </w:pPr>
    </w:p>
    <w:p w14:paraId="6C007D16" w14:textId="77777777" w:rsidR="00FA2B6A" w:rsidRPr="00524435" w:rsidRDefault="00FA2B6A" w:rsidP="00051245">
      <w:pPr>
        <w:pStyle w:val="NoSpacing"/>
      </w:pPr>
    </w:p>
    <w:p w14:paraId="49D6B6F1" w14:textId="77777777" w:rsidR="00507C2D" w:rsidRPr="00524435" w:rsidRDefault="00507C2D" w:rsidP="00507C2D">
      <w:pPr>
        <w:rPr>
          <w:noProof/>
        </w:rPr>
      </w:pPr>
      <w:r w:rsidRPr="00524435">
        <w:rPr>
          <w:noProof/>
        </w:rPr>
        <w:drawing>
          <wp:inline distT="0" distB="0" distL="0" distR="0" wp14:anchorId="6B277E68" wp14:editId="65295B3B">
            <wp:extent cx="6010265" cy="4537710"/>
            <wp:effectExtent l="0" t="0" r="0" b="0"/>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018263" cy="4543748"/>
                    </a:xfrm>
                    <a:prstGeom prst="rect">
                      <a:avLst/>
                    </a:prstGeom>
                    <a:noFill/>
                  </pic:spPr>
                </pic:pic>
              </a:graphicData>
            </a:graphic>
          </wp:inline>
        </w:drawing>
      </w:r>
    </w:p>
    <w:p w14:paraId="4D35226D" w14:textId="77777777" w:rsidR="00507C2D" w:rsidRPr="00524435" w:rsidRDefault="00507C2D" w:rsidP="00FA2B6A">
      <w:pPr>
        <w:pStyle w:val="NoSpacing"/>
        <w:rPr>
          <w:noProof/>
        </w:rPr>
      </w:pPr>
      <w:r w:rsidRPr="00524435">
        <w:rPr>
          <w:noProof/>
        </w:rPr>
        <mc:AlternateContent>
          <mc:Choice Requires="wps">
            <w:drawing>
              <wp:anchor distT="45720" distB="45720" distL="114300" distR="114300" simplePos="0" relativeHeight="251665408" behindDoc="0" locked="0" layoutInCell="1" allowOverlap="1" wp14:anchorId="7E9DE595" wp14:editId="0A7D8EB3">
                <wp:simplePos x="0" y="0"/>
                <wp:positionH relativeFrom="column">
                  <wp:posOffset>466090</wp:posOffset>
                </wp:positionH>
                <wp:positionV relativeFrom="paragraph">
                  <wp:posOffset>125095</wp:posOffset>
                </wp:positionV>
                <wp:extent cx="53054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404620"/>
                        </a:xfrm>
                        <a:prstGeom prst="rect">
                          <a:avLst/>
                        </a:prstGeom>
                        <a:noFill/>
                        <a:ln w="9525">
                          <a:noFill/>
                          <a:miter lim="800000"/>
                          <a:headEnd/>
                          <a:tailEnd/>
                        </a:ln>
                      </wps:spPr>
                      <wps:txbx>
                        <w:txbxContent>
                          <w:p w14:paraId="5DF00375" w14:textId="77777777" w:rsidR="00507C2D" w:rsidRPr="00051245" w:rsidRDefault="00507C2D" w:rsidP="00507C2D">
                            <w:pPr>
                              <w:rPr>
                                <w:sz w:val="18"/>
                                <w:szCs w:val="18"/>
                                <w:lang w:val="es-ES"/>
                              </w:rPr>
                            </w:pPr>
                            <w:r w:rsidRPr="00051245">
                              <w:rPr>
                                <w:sz w:val="18"/>
                                <w:szCs w:val="18"/>
                                <w:lang w:val="es-US"/>
                              </w:rPr>
                              <w:t>Estas cifras son referenciales, y pueden variar por múltiples circunstancias antes de ser transmitidas al Estado.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7E9DE595" id="_x0000_s1029" type="#_x0000_t202" style="position:absolute;margin-left:36.7pt;margin-top:9.85pt;width:417.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" filled="f" stroked="f">
                <v:textbox style="mso-fit-shape-to-text:t">
                  <w:txbxContent>
                    <w:p w14:paraId="5DF00375" w14:textId="77777777" w:rsidR="00507C2D" w:rsidRPr="00051245" w:rsidRDefault="00507C2D" w:rsidP="00507C2D">
                      <w:pPr>
                        <w:rPr>
                          <w:sz w:val="18"/>
                          <w:szCs w:val="18"/>
                          <w:lang w:val="es-ES"/>
                        </w:rPr>
                      </w:pPr>
                      <w:r w:rsidRPr="00051245">
                        <w:rPr>
                          <w:sz w:val="18"/>
                          <w:szCs w:val="18"/>
                          <w:lang w:val="es-US"/>
                        </w:rPr>
                        <w:t>Estas cifras son referenciales, y pueden variar por múltiples circunstancias antes de ser transmitidas al Estado.</w:t>
                      </w:r>
                    </w:p>
                  </w:txbxContent>
                </v:textbox>
                <w10:wrap type="square"/>
              </v:shape>
            </w:pict>
          </mc:Fallback>
        </mc:AlternateContent>
      </w:r>
    </w:p>
    <w:p w14:paraId="0A769880" w14:textId="77777777" w:rsidR="00507C2D" w:rsidRPr="00524435" w:rsidRDefault="00507C2D" w:rsidP="00FA2B6A">
      <w:pPr>
        <w:pStyle w:val="NoSpacing"/>
        <w:rPr>
          <w:noProof/>
        </w:rPr>
      </w:pPr>
    </w:p>
    <w:p w14:paraId="02C5255E" w14:textId="77777777" w:rsidR="00507C2D" w:rsidRPr="00524435" w:rsidRDefault="00507C2D" w:rsidP="00FA2B6A">
      <w:pPr>
        <w:pStyle w:val="NoSpacing"/>
        <w:rPr>
          <w:noProof/>
        </w:rPr>
      </w:pPr>
    </w:p>
    <w:p w14:paraId="603749D5" w14:textId="77777777" w:rsidR="00507C2D" w:rsidRPr="00524435" w:rsidRDefault="00507C2D" w:rsidP="00FA2B6A">
      <w:pPr>
        <w:pStyle w:val="NoSpacing"/>
        <w:rPr>
          <w:noProof/>
        </w:rPr>
      </w:pPr>
    </w:p>
    <w:p w14:paraId="4418638C" w14:textId="77777777" w:rsidR="00507C2D" w:rsidRPr="00524435" w:rsidRDefault="00507C2D" w:rsidP="00507C2D">
      <w:r w:rsidRPr="00524435">
        <w:br w:type="page"/>
      </w:r>
    </w:p>
    <w:p w14:paraId="76AFC34E" w14:textId="77777777" w:rsidR="00507C2D" w:rsidRPr="00524435" w:rsidRDefault="00507C2D" w:rsidP="00051245">
      <w:pPr>
        <w:pStyle w:val="NoSpacing"/>
      </w:pPr>
    </w:p>
    <w:p w14:paraId="4FE4722F" w14:textId="77777777" w:rsidR="00507C2D" w:rsidRPr="00524435" w:rsidRDefault="00507C2D" w:rsidP="00051245">
      <w:pPr>
        <w:pStyle w:val="NoSpacing"/>
      </w:pPr>
    </w:p>
    <w:p w14:paraId="09FD4FD1" w14:textId="77777777" w:rsidR="00507C2D" w:rsidRPr="00524435" w:rsidRDefault="00507C2D" w:rsidP="00E82663">
      <w:pPr>
        <w:pStyle w:val="Heading3"/>
      </w:pPr>
      <w:r w:rsidRPr="00524435">
        <w:t>Petitions not opened for processing, by country in 2021</w:t>
      </w:r>
    </w:p>
    <w:p w14:paraId="55EBB720" w14:textId="77777777" w:rsidR="00507C2D" w:rsidRPr="00524435" w:rsidRDefault="00507C2D" w:rsidP="00051245">
      <w:pPr>
        <w:pStyle w:val="NoSpacing"/>
      </w:pPr>
    </w:p>
    <w:p w14:paraId="4EDD3B4A" w14:textId="77777777" w:rsidR="00507C2D" w:rsidRPr="00524435" w:rsidRDefault="00507C2D" w:rsidP="00051245">
      <w:pPr>
        <w:pStyle w:val="NoSpacing"/>
      </w:pPr>
    </w:p>
    <w:p w14:paraId="1838589B" w14:textId="77777777" w:rsidR="00507C2D" w:rsidRPr="00524435" w:rsidRDefault="00507C2D" w:rsidP="00051245">
      <w:pPr>
        <w:pStyle w:val="NoSpacing"/>
      </w:pPr>
    </w:p>
    <w:p w14:paraId="44ABFA2A" w14:textId="0676099C" w:rsidR="00507C2D" w:rsidRPr="00524435" w:rsidRDefault="00E870BE" w:rsidP="00051245">
      <w:pPr>
        <w:pStyle w:val="NoSpacing"/>
      </w:pPr>
      <w:r w:rsidRPr="00524435">
        <w:rPr>
          <w:noProof/>
        </w:rPr>
        <w:drawing>
          <wp:inline distT="0" distB="0" distL="0" distR="0" wp14:anchorId="6E701A9C" wp14:editId="31DFBC52">
            <wp:extent cx="5770643" cy="4622828"/>
            <wp:effectExtent l="0" t="0" r="190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782272" cy="4632144"/>
                    </a:xfrm>
                    <a:prstGeom prst="rect">
                      <a:avLst/>
                    </a:prstGeom>
                    <a:noFill/>
                  </pic:spPr>
                </pic:pic>
              </a:graphicData>
            </a:graphic>
          </wp:inline>
        </w:drawing>
      </w:r>
    </w:p>
    <w:p w14:paraId="14A8FE85" w14:textId="02BD7C09" w:rsidR="00507C2D" w:rsidRPr="00524435" w:rsidRDefault="00507C2D" w:rsidP="00051245">
      <w:pPr>
        <w:pStyle w:val="NoSpacing"/>
      </w:pPr>
    </w:p>
    <w:p w14:paraId="3238DEF4" w14:textId="3A4C2615" w:rsidR="00507C2D" w:rsidRPr="00524435" w:rsidRDefault="00E870BE" w:rsidP="00051245">
      <w:pPr>
        <w:pStyle w:val="NoSpacing"/>
      </w:pPr>
      <w:r w:rsidRPr="00524435">
        <w:rPr>
          <w:rFonts w:cs="Calibri"/>
          <w:noProof/>
        </w:rPr>
        <mc:AlternateContent>
          <mc:Choice Requires="wps">
            <w:drawing>
              <wp:anchor distT="45720" distB="45720" distL="114300" distR="114300" simplePos="0" relativeHeight="251677696" behindDoc="0" locked="0" layoutInCell="1" allowOverlap="1" wp14:anchorId="54B9F95C" wp14:editId="165DD20B">
                <wp:simplePos x="0" y="0"/>
                <wp:positionH relativeFrom="margin">
                  <wp:align>center</wp:align>
                </wp:positionH>
                <wp:positionV relativeFrom="margin">
                  <wp:posOffset>6094538</wp:posOffset>
                </wp:positionV>
                <wp:extent cx="4371975" cy="790575"/>
                <wp:effectExtent l="0" t="0" r="9525"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790575"/>
                        </a:xfrm>
                        <a:prstGeom prst="rect">
                          <a:avLst/>
                        </a:prstGeom>
                        <a:solidFill>
                          <a:srgbClr val="FFFFFF"/>
                        </a:solidFill>
                        <a:ln w="57150" cmpd="thickThin">
                          <a:noFill/>
                          <a:miter lim="800000"/>
                          <a:headEnd/>
                          <a:tailEnd/>
                        </a:ln>
                      </wps:spPr>
                      <wps:txbx>
                        <w:txbxContent>
                          <w:p w14:paraId="2297D61A" w14:textId="77777777" w:rsidR="00E870BE" w:rsidRPr="00051245" w:rsidRDefault="00E870BE" w:rsidP="00E870BE">
                            <w:pPr>
                              <w:jc w:val="both"/>
                              <w:rPr>
                                <w:sz w:val="18"/>
                                <w:szCs w:val="18"/>
                              </w:rPr>
                            </w:pPr>
                            <w:r w:rsidRPr="00051245">
                              <w:rPr>
                                <w:sz w:val="18"/>
                                <w:szCs w:val="18"/>
                              </w:rPr>
                              <w:t>The whole set of petitions reviewed does not correspond only to those received in the year immediately prior to the year covered in the report, because it may include petitions lodged in earlier years.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4B9F95C" id="_x0000_s1030" type="#_x0000_t202" style="position:absolute;margin-left:0;margin-top:479.9pt;width:344.25pt;height:62.25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" stroked="f" strokeweight="4.5pt">
                <v:stroke linestyle="thickThin"/>
                <v:textbox>
                  <w:txbxContent>
                    <w:p w14:paraId="2297D61A" w14:textId="77777777" w:rsidR="00E870BE" w:rsidRPr="00051245" w:rsidRDefault="00E870BE" w:rsidP="00E870BE">
                      <w:pPr>
                        <w:jc w:val="both"/>
                        <w:rPr>
                          <w:sz w:val="18"/>
                          <w:szCs w:val="18"/>
                        </w:rPr>
                      </w:pPr>
                      <w:r w:rsidRPr="00051245">
                        <w:rPr>
                          <w:sz w:val="18"/>
                          <w:szCs w:val="18"/>
                        </w:rPr>
                        <w:t>The whole set of petitions reviewed does not correspond only to those received in the year immediately prior to the year covered in the report, because it may include petitions lodged in earlier years.</w:t>
                      </w:r>
                    </w:p>
                  </w:txbxContent>
                </v:textbox>
                <w10:wrap type="square" anchorx="margin" anchory="margin"/>
              </v:shape>
            </w:pict>
          </mc:Fallback>
        </mc:AlternateContent>
      </w:r>
    </w:p>
    <w:p w14:paraId="4ACDF7AE" w14:textId="77777777" w:rsidR="00507C2D" w:rsidRPr="00524435" w:rsidRDefault="00507C2D" w:rsidP="00051245">
      <w:pPr>
        <w:pStyle w:val="NoSpacing"/>
      </w:pPr>
    </w:p>
    <w:p w14:paraId="5AA39B29" w14:textId="130ADB9D" w:rsidR="00507C2D" w:rsidRPr="00524435" w:rsidRDefault="00507C2D" w:rsidP="00507C2D">
      <w:r w:rsidRPr="00524435">
        <w:br w:type="page"/>
      </w:r>
    </w:p>
    <w:p w14:paraId="518462A3" w14:textId="77777777" w:rsidR="00507C2D" w:rsidRPr="00524435" w:rsidRDefault="00507C2D" w:rsidP="00051245">
      <w:pPr>
        <w:pStyle w:val="NoSpacing"/>
      </w:pPr>
    </w:p>
    <w:p w14:paraId="5EC8F2E3" w14:textId="77777777" w:rsidR="00507C2D" w:rsidRPr="00524435" w:rsidRDefault="00507C2D" w:rsidP="00051245">
      <w:pPr>
        <w:pStyle w:val="NoSpacing"/>
      </w:pPr>
    </w:p>
    <w:p w14:paraId="5E1AC8FA" w14:textId="77777777" w:rsidR="00507C2D" w:rsidRPr="00524435" w:rsidRDefault="00507C2D" w:rsidP="00E82663">
      <w:pPr>
        <w:pStyle w:val="Heading3"/>
      </w:pPr>
      <w:r w:rsidRPr="00524435">
        <w:t>Decisions taken regarding petitions in the initial review stage in 2021</w:t>
      </w:r>
    </w:p>
    <w:p w14:paraId="449D08D8" w14:textId="77777777" w:rsidR="00507C2D" w:rsidRPr="00524435" w:rsidRDefault="00507C2D" w:rsidP="00051245">
      <w:pPr>
        <w:pStyle w:val="NoSpacing"/>
      </w:pPr>
    </w:p>
    <w:p w14:paraId="57692122" w14:textId="77777777" w:rsidR="00507C2D" w:rsidRPr="00524435" w:rsidRDefault="00507C2D" w:rsidP="00051245">
      <w:pPr>
        <w:pStyle w:val="NoSpacing"/>
      </w:pPr>
    </w:p>
    <w:p w14:paraId="7728E6F2" w14:textId="77777777" w:rsidR="00507C2D" w:rsidRPr="00524435" w:rsidRDefault="00507C2D" w:rsidP="00051245">
      <w:pPr>
        <w:pStyle w:val="NoSpacing"/>
      </w:pPr>
    </w:p>
    <w:p w14:paraId="7730CAB2" w14:textId="4FC0094C" w:rsidR="00507C2D" w:rsidRPr="00524435" w:rsidRDefault="00677907" w:rsidP="00051245">
      <w:pPr>
        <w:pStyle w:val="NoSpacing"/>
      </w:pPr>
      <w:r w:rsidRPr="00524435">
        <w:rPr>
          <w:noProof/>
          <w:sz w:val="20"/>
          <w:szCs w:val="20"/>
        </w:rPr>
        <w:drawing>
          <wp:inline distT="0" distB="0" distL="0" distR="0" wp14:anchorId="15317E41" wp14:editId="17538A26">
            <wp:extent cx="5943600" cy="3668756"/>
            <wp:effectExtent l="0" t="0" r="0" b="8255"/>
            <wp:docPr id="17" name="Picture 1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pie chart&#10;&#10;Description automatically generated"/>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43600" cy="3668756"/>
                    </a:xfrm>
                    <a:prstGeom prst="rect">
                      <a:avLst/>
                    </a:prstGeom>
                    <a:noFill/>
                  </pic:spPr>
                </pic:pic>
              </a:graphicData>
            </a:graphic>
          </wp:inline>
        </w:drawing>
      </w:r>
    </w:p>
    <w:p w14:paraId="25DD0760" w14:textId="77777777" w:rsidR="00507C2D" w:rsidRPr="00524435" w:rsidRDefault="00507C2D" w:rsidP="00051245">
      <w:pPr>
        <w:pStyle w:val="NoSpacing"/>
      </w:pPr>
    </w:p>
    <w:p w14:paraId="2B70B954" w14:textId="77777777" w:rsidR="00507C2D" w:rsidRPr="00524435" w:rsidRDefault="00507C2D" w:rsidP="00507C2D">
      <w:r w:rsidRPr="00524435">
        <w:br w:type="page"/>
      </w:r>
    </w:p>
    <w:p w14:paraId="1E82A1FC" w14:textId="77777777" w:rsidR="00507C2D" w:rsidRPr="00524435" w:rsidRDefault="00507C2D" w:rsidP="00051245">
      <w:pPr>
        <w:pStyle w:val="NoSpacing"/>
      </w:pPr>
    </w:p>
    <w:p w14:paraId="148D0B8E" w14:textId="77777777" w:rsidR="00507C2D" w:rsidRPr="00524435" w:rsidRDefault="00507C2D" w:rsidP="00051245">
      <w:pPr>
        <w:pStyle w:val="NoSpacing"/>
      </w:pPr>
    </w:p>
    <w:p w14:paraId="0200F33F" w14:textId="7C1E3204" w:rsidR="00507C2D" w:rsidRPr="00524435" w:rsidRDefault="00507C2D" w:rsidP="00E82663">
      <w:pPr>
        <w:pStyle w:val="Heading3"/>
      </w:pPr>
      <w:r w:rsidRPr="00524435">
        <w:t xml:space="preserve">Petitions archived (closed) in 2021, per country on initial </w:t>
      </w:r>
      <w:r w:rsidR="00677907" w:rsidRPr="00524435">
        <w:t>review stage</w:t>
      </w:r>
    </w:p>
    <w:p w14:paraId="2D71B891" w14:textId="7EC268EA" w:rsidR="00EE5211" w:rsidRPr="00524435" w:rsidRDefault="00EE5211" w:rsidP="00EE5211">
      <w:pPr>
        <w:pStyle w:val="NoSpacing"/>
      </w:pPr>
    </w:p>
    <w:p w14:paraId="033FDBD6" w14:textId="77777777" w:rsidR="00EE5211" w:rsidRPr="00524435" w:rsidRDefault="00EE5211" w:rsidP="00EE5211">
      <w:pPr>
        <w:pStyle w:val="NoSpacing"/>
      </w:pPr>
    </w:p>
    <w:p w14:paraId="79807540" w14:textId="2D796470" w:rsidR="00507C2D" w:rsidRPr="00524435" w:rsidRDefault="00EE5211" w:rsidP="00051245">
      <w:pPr>
        <w:pStyle w:val="NoSpacing"/>
      </w:pPr>
      <w:r w:rsidRPr="00524435">
        <w:rPr>
          <w:noProof/>
        </w:rPr>
        <w:drawing>
          <wp:inline distT="0" distB="0" distL="0" distR="0" wp14:anchorId="4C019A74" wp14:editId="6DC3659D">
            <wp:extent cx="5651456" cy="4687677"/>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660410" cy="4695104"/>
                    </a:xfrm>
                    <a:prstGeom prst="rect">
                      <a:avLst/>
                    </a:prstGeom>
                    <a:noFill/>
                  </pic:spPr>
                </pic:pic>
              </a:graphicData>
            </a:graphic>
          </wp:inline>
        </w:drawing>
      </w:r>
    </w:p>
    <w:p w14:paraId="501F0F63" w14:textId="77777777" w:rsidR="00507C2D" w:rsidRPr="00524435" w:rsidRDefault="00507C2D" w:rsidP="00051245">
      <w:pPr>
        <w:pStyle w:val="NoSpacing"/>
      </w:pPr>
    </w:p>
    <w:p w14:paraId="529E328A" w14:textId="77777777" w:rsidR="00507C2D" w:rsidRPr="00524435" w:rsidRDefault="00507C2D" w:rsidP="00051245">
      <w:pPr>
        <w:pStyle w:val="NoSpacing"/>
      </w:pPr>
    </w:p>
    <w:p w14:paraId="1A05AF5A" w14:textId="10B331DF" w:rsidR="00507C2D" w:rsidRPr="00524435" w:rsidRDefault="00507C2D" w:rsidP="00051245">
      <w:pPr>
        <w:pStyle w:val="NoSpacing"/>
      </w:pPr>
    </w:p>
    <w:p w14:paraId="6724D3A7" w14:textId="77777777" w:rsidR="00507C2D" w:rsidRPr="00524435" w:rsidRDefault="00507C2D" w:rsidP="00051245">
      <w:pPr>
        <w:pStyle w:val="NoSpacing"/>
      </w:pPr>
    </w:p>
    <w:p w14:paraId="0AD8A435" w14:textId="77777777" w:rsidR="00507C2D" w:rsidRPr="00524435" w:rsidRDefault="00507C2D" w:rsidP="00507C2D">
      <w:r w:rsidRPr="00524435">
        <w:br w:type="page"/>
      </w:r>
    </w:p>
    <w:p w14:paraId="3420465E" w14:textId="77777777" w:rsidR="00507C2D" w:rsidRPr="00524435" w:rsidRDefault="00507C2D" w:rsidP="00051245">
      <w:pPr>
        <w:pStyle w:val="NoSpacing"/>
      </w:pPr>
    </w:p>
    <w:p w14:paraId="55385811" w14:textId="77777777" w:rsidR="00507C2D" w:rsidRPr="00524435" w:rsidRDefault="00507C2D" w:rsidP="00051245">
      <w:pPr>
        <w:pStyle w:val="NoSpacing"/>
      </w:pPr>
    </w:p>
    <w:p w14:paraId="6D976ECC" w14:textId="372501F1" w:rsidR="00507C2D" w:rsidRPr="00524435" w:rsidRDefault="00677907" w:rsidP="00E82663">
      <w:pPr>
        <w:pStyle w:val="Heading3"/>
      </w:pPr>
      <w:r w:rsidRPr="00524435">
        <w:t xml:space="preserve">Petitions </w:t>
      </w:r>
      <w:r w:rsidR="00507C2D" w:rsidRPr="00524435">
        <w:t>in admissibility at end of year (2021), by country</w:t>
      </w:r>
    </w:p>
    <w:p w14:paraId="65827427" w14:textId="5F061E73" w:rsidR="00507C2D" w:rsidRPr="00524435" w:rsidRDefault="00677907" w:rsidP="00E82663">
      <w:pPr>
        <w:pStyle w:val="NoSpacing"/>
        <w:jc w:val="center"/>
      </w:pPr>
      <w:r w:rsidRPr="00524435">
        <w:rPr>
          <w:noProof/>
          <w:sz w:val="20"/>
          <w:szCs w:val="20"/>
        </w:rPr>
        <w:drawing>
          <wp:inline distT="0" distB="0" distL="0" distR="0" wp14:anchorId="08CAFFE2" wp14:editId="6EC72AAF">
            <wp:extent cx="5557324" cy="5332021"/>
            <wp:effectExtent l="0" t="0" r="5715" b="2540"/>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571267" cy="5345398"/>
                    </a:xfrm>
                    <a:prstGeom prst="rect">
                      <a:avLst/>
                    </a:prstGeom>
                    <a:noFill/>
                  </pic:spPr>
                </pic:pic>
              </a:graphicData>
            </a:graphic>
          </wp:inline>
        </w:drawing>
      </w:r>
    </w:p>
    <w:p w14:paraId="46541A28" w14:textId="7921AE59" w:rsidR="00507C2D" w:rsidRPr="00524435" w:rsidRDefault="00677907" w:rsidP="00507C2D">
      <w:r w:rsidRPr="00524435">
        <w:rPr>
          <w:rFonts w:cs="Calibri"/>
          <w:noProof/>
        </w:rPr>
        <mc:AlternateContent>
          <mc:Choice Requires="wps">
            <w:drawing>
              <wp:anchor distT="45720" distB="45720" distL="114300" distR="114300" simplePos="0" relativeHeight="251673600" behindDoc="0" locked="0" layoutInCell="1" allowOverlap="1" wp14:anchorId="1C2A79BB" wp14:editId="5A7EE4F7">
                <wp:simplePos x="0" y="0"/>
                <wp:positionH relativeFrom="margin">
                  <wp:align>right</wp:align>
                </wp:positionH>
                <wp:positionV relativeFrom="margin">
                  <wp:posOffset>6374130</wp:posOffset>
                </wp:positionV>
                <wp:extent cx="5944235" cy="1683385"/>
                <wp:effectExtent l="0" t="0" r="0" b="8255"/>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683385"/>
                        </a:xfrm>
                        <a:prstGeom prst="rect">
                          <a:avLst/>
                        </a:prstGeom>
                        <a:solidFill>
                          <a:srgbClr val="FFFFFF"/>
                        </a:solidFill>
                        <a:ln w="57150" cmpd="thickThin">
                          <a:noFill/>
                          <a:miter lim="800000"/>
                          <a:headEnd/>
                          <a:tailEnd/>
                        </a:ln>
                      </wps:spPr>
                      <wps:txbx>
                        <w:txbxContent>
                          <w:p w14:paraId="4443D3D0" w14:textId="4939D0E3" w:rsidR="00677907" w:rsidRPr="001149D5" w:rsidRDefault="00677907" w:rsidP="00677907">
                            <w:pPr>
                              <w:jc w:val="both"/>
                              <w:rPr>
                                <w:rFonts w:cstheme="minorHAnsi"/>
                                <w:sz w:val="18"/>
                                <w:szCs w:val="18"/>
                              </w:rPr>
                            </w:pPr>
                            <w:r w:rsidRPr="001149D5">
                              <w:rPr>
                                <w:rFonts w:cstheme="minorHAnsi"/>
                                <w:sz w:val="18"/>
                                <w:szCs w:val="18"/>
                              </w:rPr>
                              <w:t>This graph is a snapshot of the current state of the portfolio referred to on December 31, 2021. For the purposes of this report, the expression “petitions in the admissibility stage” refers to pending petitions --that is, those transmitted to the State concerned in accordance with Arti</w:t>
                            </w:r>
                            <w:r>
                              <w:rPr>
                                <w:rFonts w:cstheme="minorHAnsi"/>
                                <w:sz w:val="18"/>
                                <w:szCs w:val="18"/>
                              </w:rPr>
                              <w:t>c</w:t>
                            </w:r>
                            <w:r w:rsidRPr="001149D5">
                              <w:rPr>
                                <w:rFonts w:cstheme="minorHAnsi"/>
                                <w:sz w:val="18"/>
                                <w:szCs w:val="18"/>
                              </w:rPr>
                              <w:t>le 30 of the IACHR Rules of Procedure</w:t>
                            </w:r>
                            <w:r>
                              <w:rPr>
                                <w:rFonts w:cstheme="minorHAnsi"/>
                                <w:sz w:val="18"/>
                                <w:szCs w:val="18"/>
                              </w:rPr>
                              <w:t xml:space="preserve"> of the IACHR</w:t>
                            </w:r>
                            <w:r w:rsidRPr="001149D5">
                              <w:rPr>
                                <w:rFonts w:cstheme="minorHAnsi"/>
                                <w:sz w:val="18"/>
                                <w:szCs w:val="18"/>
                              </w:rPr>
                              <w:t>. Admissibility is the stage in which the IACHR determines whether a petition satisfies the requirements established in Articles 46 and 47 of the American Convention and / or 34 of the IACHR Rules of Procedure, according to the procedure established in Article 48 of the American Convention and / or Articles 30 and 36 of the IACHR Rules of Procedure.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1C2A79BB" id="_x0000_s1031" type="#_x0000_t202" style="position:absolute;margin-left:416.85pt;margin-top:501.9pt;width:468.05pt;height:132.55pt;z-index:251673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" stroked="f" strokeweight="4.5pt">
                <v:stroke linestyle="thickThin"/>
                <v:textbox style="mso-fit-shape-to-text:t">
                  <w:txbxContent>
                    <w:p w14:paraId="4443D3D0" w14:textId="4939D0E3" w:rsidR="00677907" w:rsidRPr="001149D5" w:rsidRDefault="00677907" w:rsidP="00677907">
                      <w:pPr>
                        <w:jc w:val="both"/>
                        <w:rPr>
                          <w:rFonts w:cstheme="minorHAnsi"/>
                          <w:sz w:val="18"/>
                          <w:szCs w:val="18"/>
                        </w:rPr>
                      </w:pPr>
                      <w:r w:rsidRPr="001149D5">
                        <w:rPr>
                          <w:rFonts w:cstheme="minorHAnsi"/>
                          <w:sz w:val="18"/>
                          <w:szCs w:val="18"/>
                        </w:rPr>
                        <w:t>This graph is a snapshot of the current state of the portfolio referred to on December 31, 2021. For the purposes of this report, the expression “petitions in the admissibility stage” refers to pending petitions --that is, those transmitted to the State concerned in accordance with Arti</w:t>
                      </w:r>
                      <w:r>
                        <w:rPr>
                          <w:rFonts w:cstheme="minorHAnsi"/>
                          <w:sz w:val="18"/>
                          <w:szCs w:val="18"/>
                        </w:rPr>
                        <w:t>c</w:t>
                      </w:r>
                      <w:r w:rsidRPr="001149D5">
                        <w:rPr>
                          <w:rFonts w:cstheme="minorHAnsi"/>
                          <w:sz w:val="18"/>
                          <w:szCs w:val="18"/>
                        </w:rPr>
                        <w:t>le 30 of the IACHR Rules of Procedure</w:t>
                      </w:r>
                      <w:r>
                        <w:rPr>
                          <w:rFonts w:cstheme="minorHAnsi"/>
                          <w:sz w:val="18"/>
                          <w:szCs w:val="18"/>
                        </w:rPr>
                        <w:t xml:space="preserve"> of the IACHR</w:t>
                      </w:r>
                      <w:r w:rsidRPr="001149D5">
                        <w:rPr>
                          <w:rFonts w:cstheme="minorHAnsi"/>
                          <w:sz w:val="18"/>
                          <w:szCs w:val="18"/>
                        </w:rPr>
                        <w:t>. Admissibility is the stage in which the IACHR determines whether a petition satisfies the requirements established in Articles 46 and 47 of the American Convention and / or 34 of the IACHR Rules of Procedure, according to the procedure established in Article 48 of the American Convention and / or Articles 30 and 36 of the IACHR Rules of Procedure.</w:t>
                      </w:r>
                    </w:p>
                  </w:txbxContent>
                </v:textbox>
                <w10:wrap type="square" anchorx="margin" anchory="margin"/>
              </v:shape>
            </w:pict>
          </mc:Fallback>
        </mc:AlternateContent>
      </w:r>
      <w:r w:rsidR="00507C2D" w:rsidRPr="00524435">
        <w:br w:type="page"/>
      </w:r>
    </w:p>
    <w:p w14:paraId="237C47FA" w14:textId="77777777" w:rsidR="00507C2D" w:rsidRPr="00524435" w:rsidRDefault="00507C2D" w:rsidP="00051245">
      <w:pPr>
        <w:pStyle w:val="NoSpacing"/>
      </w:pPr>
    </w:p>
    <w:p w14:paraId="71E1F452" w14:textId="77777777" w:rsidR="00507C2D" w:rsidRPr="00524435" w:rsidRDefault="00507C2D" w:rsidP="00051245">
      <w:pPr>
        <w:pStyle w:val="NoSpacing"/>
      </w:pPr>
    </w:p>
    <w:p w14:paraId="0466D7F7" w14:textId="0838F987" w:rsidR="00507C2D" w:rsidRPr="00524435" w:rsidRDefault="00E82663" w:rsidP="00E82663">
      <w:pPr>
        <w:pStyle w:val="Heading3"/>
      </w:pPr>
      <w:r w:rsidRPr="00524435">
        <w:t>Cases in</w:t>
      </w:r>
      <w:r w:rsidR="00507C2D" w:rsidRPr="00524435">
        <w:t xml:space="preserve"> merits stage at end-</w:t>
      </w:r>
      <w:r w:rsidRPr="00524435">
        <w:t>of 2021</w:t>
      </w:r>
      <w:r w:rsidR="00507C2D" w:rsidRPr="00524435">
        <w:t>, by country</w:t>
      </w:r>
    </w:p>
    <w:p w14:paraId="7877E10A" w14:textId="77777777" w:rsidR="00507C2D" w:rsidRPr="00524435" w:rsidRDefault="00507C2D" w:rsidP="00051245">
      <w:pPr>
        <w:pStyle w:val="NoSpacing"/>
      </w:pPr>
    </w:p>
    <w:p w14:paraId="2A013352" w14:textId="77777777" w:rsidR="00507C2D" w:rsidRPr="00524435" w:rsidRDefault="00507C2D" w:rsidP="00051245">
      <w:pPr>
        <w:pStyle w:val="NoSpacing"/>
      </w:pPr>
    </w:p>
    <w:p w14:paraId="0B1A9FD8" w14:textId="14193AD1" w:rsidR="00507C2D" w:rsidRPr="00524435" w:rsidRDefault="0076289F" w:rsidP="00E82663">
      <w:pPr>
        <w:pStyle w:val="NoSpacing"/>
        <w:jc w:val="center"/>
      </w:pPr>
      <w:r w:rsidRPr="00524435">
        <w:rPr>
          <w:noProof/>
          <w:sz w:val="20"/>
          <w:szCs w:val="20"/>
        </w:rPr>
        <w:drawing>
          <wp:inline distT="0" distB="0" distL="0" distR="0" wp14:anchorId="26F20DF6" wp14:editId="3A41D64C">
            <wp:extent cx="5688419" cy="5147690"/>
            <wp:effectExtent l="0" t="0" r="7620" b="0"/>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10;&#10;Description automatically generated"/>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705040" cy="5162731"/>
                    </a:xfrm>
                    <a:prstGeom prst="rect">
                      <a:avLst/>
                    </a:prstGeom>
                    <a:noFill/>
                  </pic:spPr>
                </pic:pic>
              </a:graphicData>
            </a:graphic>
          </wp:inline>
        </w:drawing>
      </w:r>
    </w:p>
    <w:p w14:paraId="1772C6C9" w14:textId="77777777" w:rsidR="00507C2D" w:rsidRPr="00524435" w:rsidRDefault="00507C2D" w:rsidP="00051245">
      <w:pPr>
        <w:pStyle w:val="NoSpacing"/>
      </w:pPr>
    </w:p>
    <w:p w14:paraId="2940D208" w14:textId="77777777" w:rsidR="00507C2D" w:rsidRPr="00524435" w:rsidRDefault="00507C2D" w:rsidP="00051245">
      <w:pPr>
        <w:pStyle w:val="NoSpacing"/>
      </w:pPr>
    </w:p>
    <w:p w14:paraId="36C63B8C" w14:textId="77777777" w:rsidR="00507C2D" w:rsidRPr="00524435" w:rsidRDefault="00507C2D" w:rsidP="00507C2D">
      <w:r w:rsidRPr="00524435">
        <w:rPr>
          <w:rFonts w:cs="Calibri"/>
          <w:noProof/>
        </w:rPr>
        <mc:AlternateContent>
          <mc:Choice Requires="wps">
            <w:drawing>
              <wp:anchor distT="45720" distB="45720" distL="114300" distR="114300" simplePos="0" relativeHeight="251664384" behindDoc="0" locked="0" layoutInCell="1" allowOverlap="1" wp14:anchorId="502F7C00" wp14:editId="7FA435A6">
                <wp:simplePos x="0" y="0"/>
                <wp:positionH relativeFrom="margin">
                  <wp:align>left</wp:align>
                </wp:positionH>
                <wp:positionV relativeFrom="paragraph">
                  <wp:posOffset>448310</wp:posOffset>
                </wp:positionV>
                <wp:extent cx="5652135" cy="676275"/>
                <wp:effectExtent l="0" t="0" r="5715"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135" cy="676275"/>
                        </a:xfrm>
                        <a:prstGeom prst="rect">
                          <a:avLst/>
                        </a:prstGeom>
                        <a:solidFill>
                          <a:srgbClr val="FFFFFF"/>
                        </a:solidFill>
                        <a:ln w="57150" cmpd="thickThin">
                          <a:noFill/>
                          <a:miter lim="800000"/>
                          <a:headEnd/>
                          <a:tailEnd/>
                        </a:ln>
                      </wps:spPr>
                      <wps:txbx>
                        <w:txbxContent>
                          <w:p w14:paraId="74377921" w14:textId="77777777" w:rsidR="00507C2D" w:rsidRPr="001149D5" w:rsidRDefault="00507C2D" w:rsidP="00507C2D">
                            <w:pPr>
                              <w:jc w:val="both"/>
                              <w:rPr>
                                <w:rFonts w:cstheme="minorHAnsi"/>
                                <w:sz w:val="18"/>
                                <w:szCs w:val="18"/>
                              </w:rPr>
                            </w:pPr>
                            <w:r w:rsidRPr="001149D5">
                              <w:rPr>
                                <w:rFonts w:cstheme="minorHAnsi"/>
                                <w:sz w:val="18"/>
                                <w:szCs w:val="18"/>
                              </w:rPr>
                              <w:t>This graph is a snapshot of the state of the above-mentioned portfolio at December 31, 2021. The merits stage is that at which the IACHR decides on the merits of the case pursuant to the procedure established in Articles 48 and 50 of the American Convention and/or Articles 37 to 39, 43, and 44 of the IACHR Rules of Procedure.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02F7C00" id="_x0000_s1032" type="#_x0000_t202" style="position:absolute;margin-left:0;margin-top:35.3pt;width:445.05pt;height:53.2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" stroked="f" strokeweight="4.5pt">
                <v:stroke linestyle="thickThin"/>
                <v:textbox>
                  <w:txbxContent>
                    <w:p w14:paraId="74377921" w14:textId="77777777" w:rsidR="00507C2D" w:rsidRPr="001149D5" w:rsidRDefault="00507C2D" w:rsidP="00507C2D">
                      <w:pPr>
                        <w:jc w:val="both"/>
                        <w:rPr>
                          <w:rFonts w:cstheme="minorHAnsi"/>
                          <w:sz w:val="18"/>
                          <w:szCs w:val="18"/>
                        </w:rPr>
                      </w:pPr>
                      <w:r w:rsidRPr="001149D5">
                        <w:rPr>
                          <w:rFonts w:cstheme="minorHAnsi"/>
                          <w:sz w:val="18"/>
                          <w:szCs w:val="18"/>
                        </w:rPr>
                        <w:t>This graph is a snapshot of the state of the above-mentioned portfolio at December 31, 2021. The merits stage is that at which the IACHR decides on the merits of the case pursuant to the procedure established in Articles 48 and 50 of the American Convention and/or Articles 37 to 39, 43, and 44 of the IACHR Rules of Procedure.</w:t>
                      </w:r>
                    </w:p>
                  </w:txbxContent>
                </v:textbox>
                <w10:wrap type="square" anchorx="margin"/>
              </v:shape>
            </w:pict>
          </mc:Fallback>
        </mc:AlternateContent>
      </w:r>
      <w:r w:rsidRPr="00524435">
        <w:br w:type="page"/>
      </w:r>
    </w:p>
    <w:p w14:paraId="6DE73E00" w14:textId="77777777" w:rsidR="00507C2D" w:rsidRPr="00524435" w:rsidRDefault="00507C2D" w:rsidP="00051245">
      <w:pPr>
        <w:pStyle w:val="NoSpacing"/>
      </w:pPr>
    </w:p>
    <w:p w14:paraId="5B428587" w14:textId="77777777" w:rsidR="00507C2D" w:rsidRPr="00524435" w:rsidRDefault="00507C2D" w:rsidP="00051245">
      <w:pPr>
        <w:pStyle w:val="NoSpacing"/>
      </w:pPr>
    </w:p>
    <w:p w14:paraId="22096BE1" w14:textId="77777777" w:rsidR="00507C2D" w:rsidRPr="00524435" w:rsidRDefault="00507C2D" w:rsidP="00E82663">
      <w:pPr>
        <w:pStyle w:val="Heading3"/>
      </w:pPr>
      <w:r w:rsidRPr="00524435">
        <w:t>Petitions and cases in admissibility and merits (2021)</w:t>
      </w:r>
    </w:p>
    <w:p w14:paraId="5E7C566D" w14:textId="77777777" w:rsidR="00507C2D" w:rsidRPr="00524435" w:rsidRDefault="00507C2D" w:rsidP="00051245">
      <w:pPr>
        <w:pStyle w:val="NoSpacing"/>
      </w:pPr>
    </w:p>
    <w:p w14:paraId="630C7C92" w14:textId="4B37247E" w:rsidR="00507C2D" w:rsidRPr="00524435" w:rsidRDefault="0076289F" w:rsidP="00051245">
      <w:pPr>
        <w:pStyle w:val="NoSpacing"/>
      </w:pPr>
      <w:r w:rsidRPr="00524435">
        <w:rPr>
          <w:noProof/>
          <w:sz w:val="20"/>
          <w:szCs w:val="20"/>
        </w:rPr>
        <w:drawing>
          <wp:inline distT="0" distB="0" distL="0" distR="0" wp14:anchorId="1D7FC161" wp14:editId="492A6447">
            <wp:extent cx="5699308" cy="5353050"/>
            <wp:effectExtent l="0" t="0" r="0" b="0"/>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714139" cy="5366980"/>
                    </a:xfrm>
                    <a:prstGeom prst="rect">
                      <a:avLst/>
                    </a:prstGeom>
                    <a:noFill/>
                  </pic:spPr>
                </pic:pic>
              </a:graphicData>
            </a:graphic>
          </wp:inline>
        </w:drawing>
      </w:r>
    </w:p>
    <w:p w14:paraId="7113D93C" w14:textId="77777777" w:rsidR="00507C2D" w:rsidRPr="00524435" w:rsidRDefault="00507C2D" w:rsidP="00051245">
      <w:pPr>
        <w:pStyle w:val="NoSpacing"/>
      </w:pPr>
    </w:p>
    <w:p w14:paraId="2181B7BA" w14:textId="77777777" w:rsidR="00507C2D" w:rsidRPr="00524435" w:rsidRDefault="00507C2D" w:rsidP="00051245">
      <w:pPr>
        <w:pStyle w:val="NoSpacing"/>
      </w:pPr>
    </w:p>
    <w:p w14:paraId="087227D3" w14:textId="77777777" w:rsidR="00507C2D" w:rsidRPr="00524435" w:rsidRDefault="00507C2D" w:rsidP="00051245">
      <w:pPr>
        <w:pStyle w:val="NoSpacing"/>
      </w:pPr>
    </w:p>
    <w:p w14:paraId="1E6E878C" w14:textId="77777777" w:rsidR="00507C2D" w:rsidRPr="00524435" w:rsidRDefault="00507C2D" w:rsidP="00507C2D">
      <w:r w:rsidRPr="00524435">
        <w:br w:type="page"/>
      </w:r>
    </w:p>
    <w:p w14:paraId="1152BAB0" w14:textId="77777777" w:rsidR="00507C2D" w:rsidRPr="00524435" w:rsidRDefault="00507C2D" w:rsidP="00051245">
      <w:pPr>
        <w:pStyle w:val="NoSpacing"/>
      </w:pPr>
    </w:p>
    <w:p w14:paraId="2DD0A796" w14:textId="77777777" w:rsidR="00507C2D" w:rsidRPr="00524435" w:rsidRDefault="00507C2D" w:rsidP="00051245">
      <w:pPr>
        <w:pStyle w:val="NoSpacing"/>
      </w:pPr>
    </w:p>
    <w:p w14:paraId="38BA016E" w14:textId="025DC436" w:rsidR="00507C2D" w:rsidRPr="00524435" w:rsidRDefault="00507C2D" w:rsidP="00E82663">
      <w:pPr>
        <w:pStyle w:val="Heading3"/>
      </w:pPr>
      <w:r w:rsidRPr="00524435">
        <w:t xml:space="preserve">Hearings </w:t>
      </w:r>
      <w:r w:rsidR="00E82663" w:rsidRPr="00524435">
        <w:t>on cases before the IACHR</w:t>
      </w:r>
      <w:r w:rsidRPr="00524435">
        <w:t xml:space="preserve"> by country (2021)</w:t>
      </w:r>
    </w:p>
    <w:p w14:paraId="52D5ADEE" w14:textId="77777777" w:rsidR="00507C2D" w:rsidRPr="00524435" w:rsidRDefault="00507C2D" w:rsidP="00051245">
      <w:pPr>
        <w:pStyle w:val="NoSpacing"/>
      </w:pPr>
    </w:p>
    <w:p w14:paraId="6A7E5C8C" w14:textId="77777777" w:rsidR="00507C2D" w:rsidRPr="00524435" w:rsidRDefault="00507C2D" w:rsidP="00051245">
      <w:pPr>
        <w:pStyle w:val="NoSpacing"/>
      </w:pPr>
    </w:p>
    <w:p w14:paraId="0CB165F1" w14:textId="554027A3" w:rsidR="00507C2D" w:rsidRPr="00524435" w:rsidRDefault="00C056BD" w:rsidP="00051245">
      <w:pPr>
        <w:pStyle w:val="NoSpacing"/>
      </w:pPr>
      <w:r w:rsidRPr="00524435">
        <w:rPr>
          <w:noProof/>
          <w:sz w:val="20"/>
          <w:szCs w:val="20"/>
        </w:rPr>
        <w:drawing>
          <wp:inline distT="0" distB="0" distL="0" distR="0" wp14:anchorId="193D6EAF" wp14:editId="5846ABD5">
            <wp:extent cx="5943600" cy="5054980"/>
            <wp:effectExtent l="0" t="0" r="0" b="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43600" cy="5054980"/>
                    </a:xfrm>
                    <a:prstGeom prst="rect">
                      <a:avLst/>
                    </a:prstGeom>
                    <a:noFill/>
                  </pic:spPr>
                </pic:pic>
              </a:graphicData>
            </a:graphic>
          </wp:inline>
        </w:drawing>
      </w:r>
    </w:p>
    <w:p w14:paraId="0CA0846D" w14:textId="77777777" w:rsidR="00507C2D" w:rsidRPr="00524435" w:rsidRDefault="00507C2D" w:rsidP="00051245">
      <w:pPr>
        <w:pStyle w:val="NoSpacing"/>
      </w:pPr>
    </w:p>
    <w:p w14:paraId="05051415" w14:textId="77777777" w:rsidR="00507C2D" w:rsidRPr="00524435" w:rsidRDefault="00507C2D" w:rsidP="00507C2D">
      <w:r w:rsidRPr="00524435">
        <w:br w:type="page"/>
      </w:r>
    </w:p>
    <w:p w14:paraId="2EE00BDF" w14:textId="77777777" w:rsidR="00507C2D" w:rsidRPr="00524435" w:rsidRDefault="00507C2D" w:rsidP="00051245">
      <w:pPr>
        <w:pStyle w:val="NoSpacing"/>
      </w:pPr>
    </w:p>
    <w:p w14:paraId="64344439" w14:textId="77777777" w:rsidR="00507C2D" w:rsidRPr="00524435" w:rsidRDefault="00507C2D" w:rsidP="00051245">
      <w:pPr>
        <w:pStyle w:val="NoSpacing"/>
      </w:pPr>
    </w:p>
    <w:p w14:paraId="442A3338" w14:textId="77777777" w:rsidR="00507C2D" w:rsidRPr="00524435" w:rsidRDefault="00507C2D" w:rsidP="00E82663">
      <w:pPr>
        <w:pStyle w:val="Heading3"/>
      </w:pPr>
      <w:r w:rsidRPr="00524435">
        <w:t>Petitions and cases in friendly settlement procedure by country (2021)</w:t>
      </w:r>
    </w:p>
    <w:p w14:paraId="21FBD67E" w14:textId="77777777" w:rsidR="00507C2D" w:rsidRPr="00524435" w:rsidRDefault="00507C2D" w:rsidP="00051245">
      <w:pPr>
        <w:pStyle w:val="NoSpacing"/>
      </w:pPr>
    </w:p>
    <w:p w14:paraId="55606FDF" w14:textId="77777777" w:rsidR="00507C2D" w:rsidRPr="00524435" w:rsidRDefault="00507C2D" w:rsidP="00051245">
      <w:pPr>
        <w:pStyle w:val="NoSpacing"/>
      </w:pPr>
    </w:p>
    <w:p w14:paraId="6FB09E84" w14:textId="0B70959D" w:rsidR="00507C2D" w:rsidRPr="00524435" w:rsidRDefault="00C056BD" w:rsidP="00051245">
      <w:pPr>
        <w:pStyle w:val="NoSpacing"/>
      </w:pPr>
      <w:r w:rsidRPr="00524435">
        <w:rPr>
          <w:noProof/>
          <w:sz w:val="20"/>
          <w:szCs w:val="20"/>
        </w:rPr>
        <w:drawing>
          <wp:inline distT="0" distB="0" distL="0" distR="0" wp14:anchorId="79286D6A" wp14:editId="1EFA835B">
            <wp:extent cx="5899933" cy="5386705"/>
            <wp:effectExtent l="0" t="0" r="5715" b="4445"/>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907382" cy="5393506"/>
                    </a:xfrm>
                    <a:prstGeom prst="rect">
                      <a:avLst/>
                    </a:prstGeom>
                    <a:noFill/>
                  </pic:spPr>
                </pic:pic>
              </a:graphicData>
            </a:graphic>
          </wp:inline>
        </w:drawing>
      </w:r>
    </w:p>
    <w:p w14:paraId="65BE2C5B" w14:textId="77777777" w:rsidR="00507C2D" w:rsidRPr="00524435" w:rsidRDefault="00507C2D" w:rsidP="00051245">
      <w:pPr>
        <w:pStyle w:val="NoSpacing"/>
      </w:pPr>
    </w:p>
    <w:p w14:paraId="4BB88962" w14:textId="77777777" w:rsidR="00507C2D" w:rsidRPr="00524435" w:rsidRDefault="00507C2D" w:rsidP="00051245">
      <w:pPr>
        <w:pStyle w:val="NoSpacing"/>
      </w:pPr>
    </w:p>
    <w:p w14:paraId="017B44C7" w14:textId="77777777" w:rsidR="00507C2D" w:rsidRPr="00524435" w:rsidRDefault="00507C2D" w:rsidP="00051245">
      <w:pPr>
        <w:pStyle w:val="NoSpacing"/>
      </w:pPr>
    </w:p>
    <w:p w14:paraId="710A4767" w14:textId="77777777" w:rsidR="00507C2D" w:rsidRPr="00524435" w:rsidRDefault="00507C2D" w:rsidP="00507C2D">
      <w:r w:rsidRPr="00524435">
        <w:br w:type="page"/>
      </w:r>
    </w:p>
    <w:p w14:paraId="326234B4" w14:textId="77777777" w:rsidR="00507C2D" w:rsidRPr="00524435" w:rsidRDefault="00507C2D" w:rsidP="00051245">
      <w:pPr>
        <w:pStyle w:val="NoSpacing"/>
      </w:pPr>
    </w:p>
    <w:p w14:paraId="7C8CAD30" w14:textId="77777777" w:rsidR="00507C2D" w:rsidRPr="00524435" w:rsidRDefault="00507C2D" w:rsidP="00051245">
      <w:pPr>
        <w:pStyle w:val="NoSpacing"/>
      </w:pPr>
    </w:p>
    <w:p w14:paraId="3BDCF570" w14:textId="77777777" w:rsidR="00507C2D" w:rsidRPr="00524435" w:rsidRDefault="00507C2D" w:rsidP="00E82663">
      <w:pPr>
        <w:pStyle w:val="Heading3"/>
      </w:pPr>
      <w:r w:rsidRPr="00524435">
        <w:t>Case docket (admissibility and merits) at the end of each year</w:t>
      </w:r>
    </w:p>
    <w:p w14:paraId="26C08BDA" w14:textId="77777777" w:rsidR="00507C2D" w:rsidRPr="00524435" w:rsidRDefault="00507C2D" w:rsidP="00051245">
      <w:pPr>
        <w:pStyle w:val="NoSpacing"/>
      </w:pPr>
    </w:p>
    <w:p w14:paraId="43C1EC95" w14:textId="77777777" w:rsidR="00507C2D" w:rsidRPr="00524435" w:rsidRDefault="00507C2D" w:rsidP="00051245">
      <w:pPr>
        <w:pStyle w:val="NoSpacing"/>
      </w:pPr>
    </w:p>
    <w:p w14:paraId="019DE76D" w14:textId="09232AD6" w:rsidR="00507C2D" w:rsidRPr="00524435" w:rsidRDefault="00C056BD" w:rsidP="00051245">
      <w:pPr>
        <w:pStyle w:val="NoSpacing"/>
      </w:pPr>
      <w:r w:rsidRPr="00524435">
        <w:rPr>
          <w:noProof/>
          <w:sz w:val="20"/>
          <w:szCs w:val="20"/>
        </w:rPr>
        <w:drawing>
          <wp:inline distT="0" distB="0" distL="0" distR="0" wp14:anchorId="252F0D97" wp14:editId="414409D8">
            <wp:extent cx="5943600" cy="4770755"/>
            <wp:effectExtent l="0" t="0" r="0" b="0"/>
            <wp:docPr id="26" name="Picture 2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histogram&#10;&#10;Description automatically generated"/>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43600" cy="4770755"/>
                    </a:xfrm>
                    <a:prstGeom prst="rect">
                      <a:avLst/>
                    </a:prstGeom>
                    <a:noFill/>
                  </pic:spPr>
                </pic:pic>
              </a:graphicData>
            </a:graphic>
          </wp:inline>
        </w:drawing>
      </w:r>
    </w:p>
    <w:p w14:paraId="21C3E52A" w14:textId="77777777" w:rsidR="00507C2D" w:rsidRPr="00524435" w:rsidRDefault="00507C2D" w:rsidP="00507C2D">
      <w:pPr>
        <w:rPr>
          <w:highlight w:val="yellow"/>
        </w:rPr>
      </w:pPr>
      <w:r w:rsidRPr="00524435">
        <w:rPr>
          <w:highlight w:val="yellow"/>
        </w:rPr>
        <w:br w:type="page"/>
      </w:r>
    </w:p>
    <w:p w14:paraId="733B484F" w14:textId="77777777" w:rsidR="00507C2D" w:rsidRPr="00524435" w:rsidRDefault="00507C2D" w:rsidP="00051245">
      <w:pPr>
        <w:pStyle w:val="NoSpacing"/>
      </w:pPr>
    </w:p>
    <w:p w14:paraId="16BFBBCF" w14:textId="77777777" w:rsidR="00507C2D" w:rsidRPr="00524435" w:rsidRDefault="00507C2D" w:rsidP="00051245">
      <w:pPr>
        <w:pStyle w:val="NoSpacing"/>
      </w:pPr>
    </w:p>
    <w:p w14:paraId="5494BAEE" w14:textId="77777777" w:rsidR="00507C2D" w:rsidRPr="00524435" w:rsidRDefault="00507C2D" w:rsidP="00E82663">
      <w:pPr>
        <w:pStyle w:val="Heading3"/>
      </w:pPr>
      <w:r w:rsidRPr="00524435">
        <w:t>Cases archived (closed), per year</w:t>
      </w:r>
    </w:p>
    <w:p w14:paraId="68D42848" w14:textId="77777777" w:rsidR="00507C2D" w:rsidRPr="00524435" w:rsidRDefault="00507C2D" w:rsidP="00051245">
      <w:pPr>
        <w:pStyle w:val="NoSpacing"/>
      </w:pPr>
    </w:p>
    <w:p w14:paraId="2E1A3A9C" w14:textId="77777777" w:rsidR="00507C2D" w:rsidRPr="00524435" w:rsidRDefault="00507C2D" w:rsidP="00051245">
      <w:pPr>
        <w:pStyle w:val="NoSpacing"/>
      </w:pPr>
    </w:p>
    <w:p w14:paraId="3F472E17" w14:textId="77777777" w:rsidR="00507C2D" w:rsidRPr="00524435" w:rsidRDefault="00507C2D" w:rsidP="00051245">
      <w:pPr>
        <w:pStyle w:val="NoSpacing"/>
      </w:pPr>
    </w:p>
    <w:p w14:paraId="28C003C5" w14:textId="153B6939" w:rsidR="00507C2D" w:rsidRPr="00524435" w:rsidRDefault="00C056BD" w:rsidP="00051245">
      <w:pPr>
        <w:pStyle w:val="NoSpacing"/>
      </w:pPr>
      <w:r w:rsidRPr="00524435">
        <w:rPr>
          <w:noProof/>
          <w:sz w:val="20"/>
          <w:szCs w:val="20"/>
        </w:rPr>
        <w:drawing>
          <wp:inline distT="0" distB="0" distL="0" distR="0" wp14:anchorId="23407FBC" wp14:editId="7C710278">
            <wp:extent cx="5811460" cy="4480560"/>
            <wp:effectExtent l="0" t="0" r="0" b="0"/>
            <wp:docPr id="27" name="Picture 27"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bar chart, histogram&#10;&#10;Description automatically generated"/>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815540" cy="4483706"/>
                    </a:xfrm>
                    <a:prstGeom prst="rect">
                      <a:avLst/>
                    </a:prstGeom>
                    <a:noFill/>
                  </pic:spPr>
                </pic:pic>
              </a:graphicData>
            </a:graphic>
          </wp:inline>
        </w:drawing>
      </w:r>
    </w:p>
    <w:p w14:paraId="695D671E" w14:textId="77777777" w:rsidR="00507C2D" w:rsidRPr="00524435" w:rsidRDefault="00507C2D" w:rsidP="00507C2D">
      <w:r w:rsidRPr="00524435">
        <w:br w:type="page"/>
      </w:r>
    </w:p>
    <w:p w14:paraId="3F49DFD6" w14:textId="77777777" w:rsidR="00507C2D" w:rsidRPr="00524435" w:rsidRDefault="00507C2D" w:rsidP="00051245">
      <w:pPr>
        <w:pStyle w:val="NoSpacing"/>
      </w:pPr>
    </w:p>
    <w:p w14:paraId="4069E244" w14:textId="77777777" w:rsidR="00507C2D" w:rsidRPr="00524435" w:rsidRDefault="00507C2D" w:rsidP="00051245">
      <w:pPr>
        <w:pStyle w:val="NoSpacing"/>
      </w:pPr>
    </w:p>
    <w:p w14:paraId="391A3254" w14:textId="152DC6B4" w:rsidR="00507C2D" w:rsidRPr="00524435" w:rsidRDefault="00507C2D" w:rsidP="00E82663">
      <w:pPr>
        <w:pStyle w:val="Heading3"/>
      </w:pPr>
      <w:r w:rsidRPr="00524435">
        <w:t xml:space="preserve">Cases archived (closed) (2021), </w:t>
      </w:r>
      <w:r w:rsidR="00E82663" w:rsidRPr="00524435">
        <w:t>by</w:t>
      </w:r>
      <w:r w:rsidRPr="00524435">
        <w:t xml:space="preserve"> country </w:t>
      </w:r>
    </w:p>
    <w:p w14:paraId="3D09A25F" w14:textId="77777777" w:rsidR="00507C2D" w:rsidRPr="00524435" w:rsidRDefault="00507C2D" w:rsidP="00051245">
      <w:pPr>
        <w:pStyle w:val="NoSpacing"/>
      </w:pPr>
    </w:p>
    <w:p w14:paraId="35A6F8E5" w14:textId="77777777" w:rsidR="00507C2D" w:rsidRPr="00524435" w:rsidRDefault="00507C2D" w:rsidP="00051245">
      <w:pPr>
        <w:pStyle w:val="NoSpacing"/>
      </w:pPr>
    </w:p>
    <w:p w14:paraId="61A72F9F" w14:textId="5AAA271D" w:rsidR="00507C2D" w:rsidRPr="00524435" w:rsidRDefault="00C056BD" w:rsidP="00051245">
      <w:pPr>
        <w:pStyle w:val="NoSpacing"/>
      </w:pPr>
      <w:r w:rsidRPr="00524435">
        <w:rPr>
          <w:noProof/>
          <w:sz w:val="20"/>
          <w:szCs w:val="20"/>
        </w:rPr>
        <w:drawing>
          <wp:inline distT="0" distB="0" distL="0" distR="0" wp14:anchorId="4CAB7B45" wp14:editId="69A4E9F2">
            <wp:extent cx="5819068" cy="4415451"/>
            <wp:effectExtent l="0" t="0" r="0" b="4445"/>
            <wp:docPr id="30" name="Picture 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832439" cy="4425597"/>
                    </a:xfrm>
                    <a:prstGeom prst="rect">
                      <a:avLst/>
                    </a:prstGeom>
                    <a:noFill/>
                  </pic:spPr>
                </pic:pic>
              </a:graphicData>
            </a:graphic>
          </wp:inline>
        </w:drawing>
      </w:r>
    </w:p>
    <w:p w14:paraId="65DADD12" w14:textId="77777777" w:rsidR="00507C2D" w:rsidRPr="00524435" w:rsidRDefault="00507C2D" w:rsidP="00507C2D">
      <w:r w:rsidRPr="00524435">
        <w:br w:type="page"/>
      </w:r>
    </w:p>
    <w:p w14:paraId="185FF47A" w14:textId="77777777" w:rsidR="00507C2D" w:rsidRPr="00524435" w:rsidRDefault="00507C2D" w:rsidP="00051245">
      <w:pPr>
        <w:pStyle w:val="NoSpacing"/>
      </w:pPr>
    </w:p>
    <w:p w14:paraId="3432A63E" w14:textId="77777777" w:rsidR="00507C2D" w:rsidRPr="00524435" w:rsidRDefault="00507C2D" w:rsidP="00051245">
      <w:pPr>
        <w:pStyle w:val="NoSpacing"/>
      </w:pPr>
    </w:p>
    <w:p w14:paraId="16205BA9" w14:textId="77777777" w:rsidR="00507C2D" w:rsidRPr="00524435" w:rsidRDefault="00507C2D" w:rsidP="00E82663">
      <w:pPr>
        <w:pStyle w:val="Heading3"/>
      </w:pPr>
      <w:r w:rsidRPr="00524435">
        <w:t>Reports on admissibility adopted per year</w:t>
      </w:r>
    </w:p>
    <w:p w14:paraId="726932A4" w14:textId="77777777" w:rsidR="00507C2D" w:rsidRPr="00524435" w:rsidRDefault="00507C2D" w:rsidP="00051245">
      <w:pPr>
        <w:pStyle w:val="NoSpacing"/>
      </w:pPr>
    </w:p>
    <w:p w14:paraId="48C8AC06" w14:textId="77777777" w:rsidR="00507C2D" w:rsidRPr="00524435" w:rsidRDefault="00507C2D" w:rsidP="00051245">
      <w:pPr>
        <w:pStyle w:val="NoSpacing"/>
        <w:rPr>
          <w:noProof/>
        </w:rPr>
      </w:pPr>
    </w:p>
    <w:p w14:paraId="557C3221" w14:textId="77777777" w:rsidR="00507C2D" w:rsidRPr="00524435" w:rsidRDefault="00507C2D" w:rsidP="00051245">
      <w:pPr>
        <w:pStyle w:val="NoSpacing"/>
        <w:rPr>
          <w:noProof/>
        </w:rPr>
      </w:pPr>
    </w:p>
    <w:p w14:paraId="189BEE90" w14:textId="1DAB30D2" w:rsidR="00507C2D" w:rsidRPr="00524435" w:rsidRDefault="00C056BD" w:rsidP="00051245">
      <w:pPr>
        <w:pStyle w:val="NoSpacing"/>
        <w:rPr>
          <w:noProof/>
        </w:rPr>
      </w:pPr>
      <w:r w:rsidRPr="00524435">
        <w:rPr>
          <w:noProof/>
          <w:sz w:val="20"/>
          <w:szCs w:val="20"/>
        </w:rPr>
        <w:drawing>
          <wp:inline distT="0" distB="0" distL="0" distR="0" wp14:anchorId="4B7C9CD0" wp14:editId="6015E568">
            <wp:extent cx="5943600" cy="4347008"/>
            <wp:effectExtent l="0" t="0" r="0"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bar chart&#10;&#10;Description automatically generated"/>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43600" cy="4347008"/>
                    </a:xfrm>
                    <a:prstGeom prst="rect">
                      <a:avLst/>
                    </a:prstGeom>
                    <a:noFill/>
                  </pic:spPr>
                </pic:pic>
              </a:graphicData>
            </a:graphic>
          </wp:inline>
        </w:drawing>
      </w:r>
    </w:p>
    <w:p w14:paraId="311BC43C" w14:textId="77777777" w:rsidR="00507C2D" w:rsidRPr="00524435" w:rsidRDefault="00507C2D" w:rsidP="00507C2D">
      <w:pPr>
        <w:rPr>
          <w:noProof/>
        </w:rPr>
      </w:pPr>
      <w:r w:rsidRPr="00524435">
        <w:rPr>
          <w:noProof/>
        </w:rPr>
        <w:br w:type="page"/>
      </w:r>
    </w:p>
    <w:p w14:paraId="1143F4F0" w14:textId="77777777" w:rsidR="00507C2D" w:rsidRPr="00524435" w:rsidRDefault="00507C2D" w:rsidP="00051245">
      <w:pPr>
        <w:pStyle w:val="NoSpacing"/>
        <w:rPr>
          <w:noProof/>
        </w:rPr>
      </w:pPr>
    </w:p>
    <w:p w14:paraId="77184512" w14:textId="77777777" w:rsidR="00507C2D" w:rsidRPr="00524435" w:rsidRDefault="00507C2D" w:rsidP="00051245">
      <w:pPr>
        <w:pStyle w:val="NoSpacing"/>
        <w:rPr>
          <w:noProof/>
        </w:rPr>
      </w:pPr>
    </w:p>
    <w:p w14:paraId="791EB1FB" w14:textId="238B684D" w:rsidR="00507C2D" w:rsidRPr="00524435" w:rsidRDefault="00062BDE" w:rsidP="00E82663">
      <w:pPr>
        <w:pStyle w:val="Heading3"/>
      </w:pPr>
      <w:r w:rsidRPr="00524435">
        <w:t>Reports on a</w:t>
      </w:r>
      <w:r w:rsidR="00507C2D" w:rsidRPr="00524435">
        <w:t>dmissibility adopted, by country (2021)</w:t>
      </w:r>
    </w:p>
    <w:p w14:paraId="299EE07F" w14:textId="77777777" w:rsidR="00507C2D" w:rsidRPr="00524435" w:rsidRDefault="00507C2D" w:rsidP="00051245">
      <w:pPr>
        <w:pStyle w:val="NoSpacing"/>
        <w:rPr>
          <w:noProof/>
        </w:rPr>
      </w:pPr>
    </w:p>
    <w:p w14:paraId="4F173AC8" w14:textId="77777777" w:rsidR="00507C2D" w:rsidRPr="00524435" w:rsidRDefault="00507C2D" w:rsidP="00051245">
      <w:pPr>
        <w:pStyle w:val="NoSpacing"/>
        <w:rPr>
          <w:noProof/>
        </w:rPr>
      </w:pPr>
    </w:p>
    <w:p w14:paraId="4936F1E8" w14:textId="3F983FF9" w:rsidR="00507C2D" w:rsidRPr="00524435" w:rsidRDefault="00C056BD" w:rsidP="00051245">
      <w:pPr>
        <w:pStyle w:val="NoSpacing"/>
        <w:rPr>
          <w:noProof/>
        </w:rPr>
      </w:pPr>
      <w:r w:rsidRPr="00524435">
        <w:rPr>
          <w:noProof/>
          <w:sz w:val="20"/>
          <w:szCs w:val="20"/>
        </w:rPr>
        <w:drawing>
          <wp:inline distT="0" distB="0" distL="0" distR="0" wp14:anchorId="4EDB0CEC" wp14:editId="22440BAE">
            <wp:extent cx="5943600" cy="5377314"/>
            <wp:effectExtent l="0" t="0" r="0" b="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43600" cy="5377314"/>
                    </a:xfrm>
                    <a:prstGeom prst="rect">
                      <a:avLst/>
                    </a:prstGeom>
                    <a:noFill/>
                  </pic:spPr>
                </pic:pic>
              </a:graphicData>
            </a:graphic>
          </wp:inline>
        </w:drawing>
      </w:r>
    </w:p>
    <w:p w14:paraId="5BEB36A8" w14:textId="77777777" w:rsidR="00507C2D" w:rsidRPr="00524435" w:rsidRDefault="00507C2D" w:rsidP="00507C2D">
      <w:pPr>
        <w:rPr>
          <w:noProof/>
        </w:rPr>
      </w:pPr>
      <w:r w:rsidRPr="00524435">
        <w:rPr>
          <w:noProof/>
        </w:rPr>
        <w:br w:type="page"/>
      </w:r>
    </w:p>
    <w:p w14:paraId="699CC204" w14:textId="77777777" w:rsidR="00507C2D" w:rsidRPr="00524435" w:rsidRDefault="00507C2D" w:rsidP="000A0FBD">
      <w:pPr>
        <w:pStyle w:val="NoSpacing"/>
        <w:rPr>
          <w:noProof/>
        </w:rPr>
      </w:pPr>
    </w:p>
    <w:p w14:paraId="3DCBFE60" w14:textId="77777777" w:rsidR="00507C2D" w:rsidRPr="00524435" w:rsidRDefault="00507C2D" w:rsidP="000A0FBD">
      <w:pPr>
        <w:pStyle w:val="NoSpacing"/>
        <w:rPr>
          <w:noProof/>
        </w:rPr>
      </w:pPr>
    </w:p>
    <w:p w14:paraId="55EA8A6E" w14:textId="77777777" w:rsidR="00507C2D" w:rsidRPr="00524435" w:rsidRDefault="00507C2D" w:rsidP="00E82663">
      <w:pPr>
        <w:pStyle w:val="Heading3"/>
      </w:pPr>
      <w:r w:rsidRPr="00524435">
        <w:t>Application of Resolution 1/16, by year</w:t>
      </w:r>
    </w:p>
    <w:p w14:paraId="21CD8AD5" w14:textId="77777777" w:rsidR="00507C2D" w:rsidRPr="00524435" w:rsidRDefault="00507C2D" w:rsidP="000A0FBD">
      <w:pPr>
        <w:pStyle w:val="NoSpacing"/>
        <w:rPr>
          <w:noProof/>
        </w:rPr>
      </w:pPr>
    </w:p>
    <w:p w14:paraId="6553E44B" w14:textId="77777777" w:rsidR="00507C2D" w:rsidRPr="00524435" w:rsidRDefault="00507C2D" w:rsidP="000A0FBD">
      <w:pPr>
        <w:pStyle w:val="NoSpacing"/>
        <w:rPr>
          <w:noProof/>
        </w:rPr>
      </w:pPr>
    </w:p>
    <w:p w14:paraId="5E6A060F" w14:textId="4E3248D7" w:rsidR="00507C2D" w:rsidRPr="00524435" w:rsidRDefault="00C056BD" w:rsidP="000A0FBD">
      <w:pPr>
        <w:pStyle w:val="NoSpacing"/>
        <w:rPr>
          <w:noProof/>
        </w:rPr>
      </w:pPr>
      <w:r w:rsidRPr="00524435">
        <w:rPr>
          <w:noProof/>
          <w:sz w:val="20"/>
          <w:szCs w:val="20"/>
        </w:rPr>
        <w:drawing>
          <wp:inline distT="0" distB="0" distL="0" distR="0" wp14:anchorId="7A212DA7" wp14:editId="65E15FCB">
            <wp:extent cx="5927677" cy="3776345"/>
            <wp:effectExtent l="0" t="0" r="0" b="0"/>
            <wp:docPr id="46" name="Picture 4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bar chart&#10;&#10;Description automatically generated"/>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31491" cy="3778775"/>
                    </a:xfrm>
                    <a:prstGeom prst="rect">
                      <a:avLst/>
                    </a:prstGeom>
                    <a:noFill/>
                  </pic:spPr>
                </pic:pic>
              </a:graphicData>
            </a:graphic>
          </wp:inline>
        </w:drawing>
      </w:r>
    </w:p>
    <w:p w14:paraId="24774E1C" w14:textId="77777777" w:rsidR="00507C2D" w:rsidRPr="00524435" w:rsidRDefault="00507C2D" w:rsidP="000A0FBD">
      <w:pPr>
        <w:pStyle w:val="NoSpacing"/>
        <w:rPr>
          <w:noProof/>
        </w:rPr>
      </w:pPr>
    </w:p>
    <w:p w14:paraId="0FFC47CA" w14:textId="77777777" w:rsidR="00507C2D" w:rsidRPr="00524435" w:rsidRDefault="00507C2D" w:rsidP="000A0FBD">
      <w:pPr>
        <w:pStyle w:val="NoSpacing"/>
        <w:rPr>
          <w:noProof/>
        </w:rPr>
      </w:pPr>
    </w:p>
    <w:p w14:paraId="5C5ACC06" w14:textId="77777777" w:rsidR="00507C2D" w:rsidRPr="00524435" w:rsidRDefault="00507C2D" w:rsidP="000A0FBD">
      <w:pPr>
        <w:pStyle w:val="NoSpacing"/>
        <w:rPr>
          <w:noProof/>
        </w:rPr>
      </w:pPr>
      <w:r w:rsidRPr="00524435">
        <w:rPr>
          <w:rFonts w:cs="Calibri"/>
          <w:noProof/>
        </w:rPr>
        <mc:AlternateContent>
          <mc:Choice Requires="wps">
            <w:drawing>
              <wp:anchor distT="45720" distB="45720" distL="114300" distR="114300" simplePos="0" relativeHeight="251666432" behindDoc="0" locked="0" layoutInCell="1" allowOverlap="1" wp14:anchorId="6088C7C4" wp14:editId="1DF767DE">
                <wp:simplePos x="0" y="0"/>
                <wp:positionH relativeFrom="margin">
                  <wp:align>center</wp:align>
                </wp:positionH>
                <wp:positionV relativeFrom="margin">
                  <wp:posOffset>5294630</wp:posOffset>
                </wp:positionV>
                <wp:extent cx="5372100" cy="87630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876300"/>
                        </a:xfrm>
                        <a:prstGeom prst="rect">
                          <a:avLst/>
                        </a:prstGeom>
                        <a:solidFill>
                          <a:srgbClr val="FFFFFF"/>
                        </a:solidFill>
                        <a:ln w="57150" cmpd="thickThin">
                          <a:noFill/>
                          <a:miter lim="800000"/>
                          <a:headEnd/>
                          <a:tailEnd/>
                        </a:ln>
                      </wps:spPr>
                      <wps:txbx>
                        <w:txbxContent>
                          <w:p w14:paraId="12C492DE" w14:textId="77777777" w:rsidR="00507C2D" w:rsidRPr="007B2F78" w:rsidRDefault="00507C2D" w:rsidP="00507C2D">
                            <w:pPr>
                              <w:jc w:val="both"/>
                              <w:rPr>
                                <w:rFonts w:cstheme="minorHAnsi"/>
                                <w:sz w:val="18"/>
                                <w:szCs w:val="18"/>
                              </w:rPr>
                            </w:pPr>
                            <w:r w:rsidRPr="007B2F78">
                              <w:rPr>
                                <w:rFonts w:cstheme="minorHAnsi"/>
                                <w:sz w:val="18"/>
                                <w:szCs w:val="18"/>
                              </w:rPr>
                              <w:t>This chart shows the number of petitions at the admissibility stage in which both parties were notified of the application of Article 36.3 of the Rules of Procedure, as envisaged in Resolution 1/16 (adopted on October 18, 2016), by country, during 2021. Application of Resolution 1/16 to a petition at the admissibility stage occurs when one of the exceptional circumstances envisaged in the Resolution is identified and, as a result, treatment of admissibility is deferred until the debate and decision on the merits.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088C7C4" id="_x0000_s1033" type="#_x0000_t202" style="position:absolute;margin-left:0;margin-top:416.9pt;width:423pt;height:69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" stroked="f" strokeweight="4.5pt">
                <v:stroke linestyle="thickThin"/>
                <v:textbox>
                  <w:txbxContent>
                    <w:p w14:paraId="12C492DE" w14:textId="77777777" w:rsidR="00507C2D" w:rsidRPr="007B2F78" w:rsidRDefault="00507C2D" w:rsidP="00507C2D">
                      <w:pPr>
                        <w:jc w:val="both"/>
                        <w:rPr>
                          <w:rFonts w:cstheme="minorHAnsi"/>
                          <w:sz w:val="18"/>
                          <w:szCs w:val="18"/>
                        </w:rPr>
                      </w:pPr>
                      <w:r w:rsidRPr="007B2F78">
                        <w:rPr>
                          <w:rFonts w:cstheme="minorHAnsi"/>
                          <w:sz w:val="18"/>
                          <w:szCs w:val="18"/>
                        </w:rPr>
                        <w:t>This chart shows the number of petitions at the admissibility stage in which both parties were notified of the application of Article 36.3 of the Rules of Procedure, as envisaged in Resolution 1/16 (adopted on October 18, 2016), by country, during 2021. Application of Resolution 1/16 to a petition at the admissibility stage occurs when one of the exceptional circumstances envisaged in the Resolution is identified and, as a result, treatment of admissibility is deferred until the debate and decision on the merits.</w:t>
                      </w:r>
                    </w:p>
                  </w:txbxContent>
                </v:textbox>
                <w10:wrap type="square" anchorx="margin" anchory="margin"/>
              </v:shape>
            </w:pict>
          </mc:Fallback>
        </mc:AlternateContent>
      </w:r>
      <w:r w:rsidRPr="00524435">
        <w:rPr>
          <w:noProof/>
        </w:rPr>
        <w:br w:type="page"/>
      </w:r>
    </w:p>
    <w:p w14:paraId="2251F280" w14:textId="77777777" w:rsidR="00507C2D" w:rsidRPr="00524435" w:rsidRDefault="00507C2D" w:rsidP="000A0FBD">
      <w:pPr>
        <w:pStyle w:val="NoSpacing"/>
        <w:rPr>
          <w:noProof/>
        </w:rPr>
      </w:pPr>
    </w:p>
    <w:p w14:paraId="3CD0D6B1" w14:textId="77777777" w:rsidR="00507C2D" w:rsidRPr="00524435" w:rsidRDefault="00507C2D" w:rsidP="000A0FBD">
      <w:pPr>
        <w:pStyle w:val="NoSpacing"/>
        <w:rPr>
          <w:noProof/>
        </w:rPr>
      </w:pPr>
    </w:p>
    <w:p w14:paraId="32C91500" w14:textId="77777777" w:rsidR="00507C2D" w:rsidRPr="00524435" w:rsidRDefault="00507C2D" w:rsidP="00E82663">
      <w:pPr>
        <w:pStyle w:val="Heading3"/>
      </w:pPr>
      <w:r w:rsidRPr="00524435">
        <w:t>Application of Resolution 1/16, by country (2021)</w:t>
      </w:r>
    </w:p>
    <w:p w14:paraId="67376C87" w14:textId="77777777" w:rsidR="00507C2D" w:rsidRPr="00524435" w:rsidRDefault="00507C2D" w:rsidP="000A0FBD">
      <w:pPr>
        <w:pStyle w:val="NoSpacing"/>
        <w:rPr>
          <w:noProof/>
        </w:rPr>
      </w:pPr>
    </w:p>
    <w:p w14:paraId="544B547A" w14:textId="77777777" w:rsidR="00507C2D" w:rsidRPr="00524435" w:rsidRDefault="00507C2D" w:rsidP="000A0FBD">
      <w:pPr>
        <w:pStyle w:val="NoSpacing"/>
        <w:rPr>
          <w:noProof/>
        </w:rPr>
      </w:pPr>
    </w:p>
    <w:p w14:paraId="68F4B990" w14:textId="77C98BAE" w:rsidR="00507C2D" w:rsidRPr="00524435" w:rsidRDefault="00C056BD" w:rsidP="000A0FBD">
      <w:pPr>
        <w:pStyle w:val="NoSpacing"/>
        <w:rPr>
          <w:noProof/>
        </w:rPr>
      </w:pPr>
      <w:r w:rsidRPr="00524435">
        <w:rPr>
          <w:noProof/>
          <w:sz w:val="20"/>
          <w:szCs w:val="20"/>
        </w:rPr>
        <w:drawing>
          <wp:inline distT="0" distB="0" distL="0" distR="0" wp14:anchorId="0A008A53" wp14:editId="51C74C39">
            <wp:extent cx="5698490" cy="4606857"/>
            <wp:effectExtent l="0" t="0" r="0" b="3810"/>
            <wp:docPr id="47" name="Picture 4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10;&#10;Description automatically generated"/>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703902" cy="4611233"/>
                    </a:xfrm>
                    <a:prstGeom prst="rect">
                      <a:avLst/>
                    </a:prstGeom>
                    <a:noFill/>
                  </pic:spPr>
                </pic:pic>
              </a:graphicData>
            </a:graphic>
          </wp:inline>
        </w:drawing>
      </w:r>
    </w:p>
    <w:p w14:paraId="0F7FC313" w14:textId="77777777" w:rsidR="00507C2D" w:rsidRPr="00524435" w:rsidRDefault="00507C2D" w:rsidP="000A0FBD">
      <w:pPr>
        <w:pStyle w:val="NoSpacing"/>
        <w:rPr>
          <w:noProof/>
        </w:rPr>
      </w:pPr>
      <w:r w:rsidRPr="00524435">
        <w:rPr>
          <w:noProof/>
        </w:rPr>
        <w:br w:type="page"/>
      </w:r>
    </w:p>
    <w:p w14:paraId="336B69C0" w14:textId="77777777" w:rsidR="00507C2D" w:rsidRPr="00524435" w:rsidRDefault="00507C2D" w:rsidP="000A0FBD">
      <w:pPr>
        <w:pStyle w:val="NoSpacing"/>
        <w:rPr>
          <w:noProof/>
        </w:rPr>
      </w:pPr>
    </w:p>
    <w:p w14:paraId="3AC4A6EB" w14:textId="77777777" w:rsidR="00507C2D" w:rsidRPr="00524435" w:rsidRDefault="00507C2D" w:rsidP="000A0FBD">
      <w:pPr>
        <w:pStyle w:val="NoSpacing"/>
        <w:rPr>
          <w:noProof/>
        </w:rPr>
      </w:pPr>
    </w:p>
    <w:p w14:paraId="254459BE" w14:textId="6B0E7E75" w:rsidR="00507C2D" w:rsidRPr="00524435" w:rsidRDefault="00507C2D" w:rsidP="00E82663">
      <w:pPr>
        <w:pStyle w:val="Heading3"/>
      </w:pPr>
      <w:r w:rsidRPr="00524435">
        <w:t>Application of Resolution 1/16 by category</w:t>
      </w:r>
    </w:p>
    <w:p w14:paraId="4A3395BB" w14:textId="77777777" w:rsidR="00507C2D" w:rsidRPr="00524435" w:rsidRDefault="00507C2D" w:rsidP="000A0FBD">
      <w:pPr>
        <w:pStyle w:val="NoSpacing"/>
        <w:rPr>
          <w:noProof/>
        </w:rPr>
      </w:pPr>
    </w:p>
    <w:p w14:paraId="3803FA41" w14:textId="77777777" w:rsidR="00507C2D" w:rsidRPr="00524435" w:rsidRDefault="00507C2D" w:rsidP="000A0FBD">
      <w:pPr>
        <w:pStyle w:val="NoSpacing"/>
        <w:rPr>
          <w:noProof/>
        </w:rPr>
      </w:pPr>
    </w:p>
    <w:p w14:paraId="0BA468DB" w14:textId="77777777" w:rsidR="00507C2D" w:rsidRPr="00524435" w:rsidRDefault="00507C2D" w:rsidP="000A0FBD">
      <w:pPr>
        <w:pStyle w:val="NoSpacing"/>
        <w:rPr>
          <w:noProof/>
        </w:rPr>
      </w:pPr>
    </w:p>
    <w:p w14:paraId="3D5759D9" w14:textId="594CA2E4" w:rsidR="00507C2D" w:rsidRPr="00524435" w:rsidRDefault="00C056BD" w:rsidP="000A0FBD">
      <w:pPr>
        <w:pStyle w:val="NoSpacing"/>
        <w:rPr>
          <w:noProof/>
        </w:rPr>
      </w:pPr>
      <w:r w:rsidRPr="00524435">
        <w:rPr>
          <w:noProof/>
          <w:sz w:val="20"/>
          <w:szCs w:val="20"/>
        </w:rPr>
        <w:drawing>
          <wp:inline distT="0" distB="0" distL="0" distR="0" wp14:anchorId="6C11FD3C" wp14:editId="256654E0">
            <wp:extent cx="5943600" cy="4814297"/>
            <wp:effectExtent l="0" t="0" r="0" b="5715"/>
            <wp:docPr id="48" name="Picture 4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bar chart&#10;&#10;Description automatically generated"/>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43600" cy="4814297"/>
                    </a:xfrm>
                    <a:prstGeom prst="rect">
                      <a:avLst/>
                    </a:prstGeom>
                    <a:noFill/>
                  </pic:spPr>
                </pic:pic>
              </a:graphicData>
            </a:graphic>
          </wp:inline>
        </w:drawing>
      </w:r>
    </w:p>
    <w:p w14:paraId="5B1EADD3" w14:textId="5A1FD7B1" w:rsidR="00507C2D" w:rsidRPr="00524435" w:rsidRDefault="00507C2D" w:rsidP="000A0FBD">
      <w:pPr>
        <w:pStyle w:val="NoSpacing"/>
        <w:rPr>
          <w:noProof/>
        </w:rPr>
      </w:pPr>
    </w:p>
    <w:p w14:paraId="6BD7C7FE" w14:textId="12A28124" w:rsidR="00507C2D" w:rsidRPr="00524435" w:rsidRDefault="00C056BD" w:rsidP="000A0FBD">
      <w:pPr>
        <w:pStyle w:val="NoSpacing"/>
      </w:pPr>
      <w:r w:rsidRPr="00524435">
        <w:rPr>
          <w:noProof/>
        </w:rPr>
        <mc:AlternateContent>
          <mc:Choice Requires="wps">
            <w:drawing>
              <wp:anchor distT="45720" distB="45720" distL="114300" distR="114300" simplePos="0" relativeHeight="251675648" behindDoc="0" locked="0" layoutInCell="1" allowOverlap="1" wp14:anchorId="4E870A12" wp14:editId="50042EB7">
                <wp:simplePos x="0" y="0"/>
                <wp:positionH relativeFrom="margin">
                  <wp:posOffset>209550</wp:posOffset>
                </wp:positionH>
                <wp:positionV relativeFrom="margin">
                  <wp:posOffset>6219190</wp:posOffset>
                </wp:positionV>
                <wp:extent cx="5429250" cy="923925"/>
                <wp:effectExtent l="0" t="0" r="0"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923925"/>
                        </a:xfrm>
                        <a:prstGeom prst="rect">
                          <a:avLst/>
                        </a:prstGeom>
                        <a:solidFill>
                          <a:srgbClr val="FFFFFF"/>
                        </a:solidFill>
                        <a:ln w="57150" cmpd="thickThin">
                          <a:noFill/>
                          <a:miter lim="800000"/>
                          <a:headEnd/>
                          <a:tailEnd/>
                        </a:ln>
                      </wps:spPr>
                      <wps:txbx>
                        <w:txbxContent>
                          <w:p w14:paraId="343E56EB" w14:textId="77777777" w:rsidR="00C056BD" w:rsidRPr="000A0FBD" w:rsidRDefault="00C056BD" w:rsidP="00C056BD">
                            <w:pPr>
                              <w:jc w:val="both"/>
                              <w:rPr>
                                <w:sz w:val="18"/>
                                <w:szCs w:val="18"/>
                              </w:rPr>
                            </w:pPr>
                            <w:r w:rsidRPr="000A0FBD">
                              <w:rPr>
                                <w:sz w:val="18"/>
                                <w:szCs w:val="18"/>
                              </w:rPr>
                              <w:t>This chart shows the number of petitions at the admissibility stage in which both parties were notified of the application of Article 36.3 of the Rules of Procedure, as envisaged in Resolution 1/16 (adopted on October 18, 2016), by circumstance, during 2021. Application of Resolution 1/16 to a petition at the admissibility stage occurs when one of the exceptional circumstances envisaged in the Resolution is identified and, as a result, treatment of admissibility is deferred until the debate and decision on the merits.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E870A12" id="_x0000_s1034" type="#_x0000_t202" style="position:absolute;margin-left:16.5pt;margin-top:489.7pt;width:427.5pt;height:72.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" stroked="f" strokeweight="4.5pt">
                <v:stroke linestyle="thickThin"/>
                <v:textbox>
                  <w:txbxContent>
                    <w:p w14:paraId="343E56EB" w14:textId="77777777" w:rsidR="00C056BD" w:rsidRPr="000A0FBD" w:rsidRDefault="00C056BD" w:rsidP="00C056BD">
                      <w:pPr>
                        <w:jc w:val="both"/>
                        <w:rPr>
                          <w:sz w:val="18"/>
                          <w:szCs w:val="18"/>
                        </w:rPr>
                      </w:pPr>
                      <w:r w:rsidRPr="000A0FBD">
                        <w:rPr>
                          <w:sz w:val="18"/>
                          <w:szCs w:val="18"/>
                        </w:rPr>
                        <w:t>This chart shows the number of petitions at the admissibility stage in which both parties were notified of the application of Article 36.3 of the Rules of Procedure, as envisaged in Resolution 1/16 (adopted on October 18, 2016), by circumstance, during 2021. Application of Resolution 1/16 to a petition at the admissibility stage occurs when one of the exceptional circumstances envisaged in the Resolution is identified and, as a result, treatment of admissibility is deferred until the debate and decision on the merits.</w:t>
                      </w:r>
                    </w:p>
                  </w:txbxContent>
                </v:textbox>
                <w10:wrap type="square" anchorx="margin" anchory="margin"/>
              </v:shape>
            </w:pict>
          </mc:Fallback>
        </mc:AlternateContent>
      </w:r>
    </w:p>
    <w:p w14:paraId="50204E83" w14:textId="77777777" w:rsidR="00507C2D" w:rsidRPr="00524435" w:rsidRDefault="00507C2D" w:rsidP="000A0FBD">
      <w:pPr>
        <w:pStyle w:val="NoSpacing"/>
      </w:pPr>
    </w:p>
    <w:p w14:paraId="0270EAE9" w14:textId="77777777" w:rsidR="00507C2D" w:rsidRPr="00524435" w:rsidRDefault="00507C2D" w:rsidP="000A0FBD">
      <w:pPr>
        <w:pStyle w:val="NoSpacing"/>
      </w:pPr>
    </w:p>
    <w:p w14:paraId="40F08EAA" w14:textId="77777777" w:rsidR="00507C2D" w:rsidRPr="00524435" w:rsidRDefault="00507C2D" w:rsidP="000A0FBD">
      <w:pPr>
        <w:pStyle w:val="NoSpacing"/>
      </w:pPr>
    </w:p>
    <w:p w14:paraId="679DD511" w14:textId="77777777" w:rsidR="00507C2D" w:rsidRPr="00524435" w:rsidRDefault="00507C2D" w:rsidP="00507C2D">
      <w:r w:rsidRPr="00524435">
        <w:br w:type="page"/>
      </w:r>
    </w:p>
    <w:p w14:paraId="08830D43" w14:textId="77777777" w:rsidR="00507C2D" w:rsidRPr="00524435" w:rsidRDefault="00507C2D" w:rsidP="000A0FBD">
      <w:pPr>
        <w:pStyle w:val="NoSpacing"/>
      </w:pPr>
    </w:p>
    <w:p w14:paraId="26A07877" w14:textId="77777777" w:rsidR="00507C2D" w:rsidRPr="00524435" w:rsidRDefault="00507C2D" w:rsidP="000A0FBD">
      <w:pPr>
        <w:pStyle w:val="NoSpacing"/>
      </w:pPr>
    </w:p>
    <w:p w14:paraId="753A3EC0" w14:textId="77777777" w:rsidR="00507C2D" w:rsidRPr="00524435" w:rsidRDefault="00507C2D" w:rsidP="00E82663">
      <w:pPr>
        <w:pStyle w:val="Heading3"/>
      </w:pPr>
      <w:r w:rsidRPr="00524435">
        <w:t>Reports on Friendly Settlement published per year</w:t>
      </w:r>
    </w:p>
    <w:p w14:paraId="56863D91" w14:textId="77777777" w:rsidR="00507C2D" w:rsidRPr="00524435" w:rsidRDefault="00507C2D" w:rsidP="000A0FBD">
      <w:pPr>
        <w:pStyle w:val="NoSpacing"/>
      </w:pPr>
    </w:p>
    <w:p w14:paraId="76F4BA37" w14:textId="77777777" w:rsidR="00507C2D" w:rsidRPr="00524435" w:rsidRDefault="00507C2D" w:rsidP="000A0FBD">
      <w:pPr>
        <w:pStyle w:val="NoSpacing"/>
      </w:pPr>
    </w:p>
    <w:p w14:paraId="2598C851" w14:textId="77777777" w:rsidR="00507C2D" w:rsidRPr="00524435" w:rsidRDefault="00507C2D" w:rsidP="000A0FBD">
      <w:pPr>
        <w:pStyle w:val="NoSpacing"/>
      </w:pPr>
    </w:p>
    <w:p w14:paraId="71499A79" w14:textId="6D592CD3" w:rsidR="00507C2D" w:rsidRPr="00524435" w:rsidRDefault="00C056BD" w:rsidP="000A0FBD">
      <w:pPr>
        <w:pStyle w:val="NoSpacing"/>
      </w:pPr>
      <w:r w:rsidRPr="00524435">
        <w:rPr>
          <w:noProof/>
          <w:sz w:val="20"/>
          <w:szCs w:val="20"/>
        </w:rPr>
        <w:drawing>
          <wp:inline distT="0" distB="0" distL="0" distR="0" wp14:anchorId="11199CA8" wp14:editId="6F445E3E">
            <wp:extent cx="5943600" cy="4383849"/>
            <wp:effectExtent l="0" t="0" r="0" b="0"/>
            <wp:docPr id="33" name="Picture 3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bar chart&#10;&#10;Description automatically generated"/>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943600" cy="4383849"/>
                    </a:xfrm>
                    <a:prstGeom prst="rect">
                      <a:avLst/>
                    </a:prstGeom>
                    <a:noFill/>
                  </pic:spPr>
                </pic:pic>
              </a:graphicData>
            </a:graphic>
          </wp:inline>
        </w:drawing>
      </w:r>
    </w:p>
    <w:p w14:paraId="2FB80600" w14:textId="77777777" w:rsidR="00507C2D" w:rsidRPr="00524435" w:rsidRDefault="00507C2D" w:rsidP="000A0FBD">
      <w:pPr>
        <w:pStyle w:val="NoSpacing"/>
      </w:pPr>
    </w:p>
    <w:p w14:paraId="41CAF329" w14:textId="77777777" w:rsidR="00507C2D" w:rsidRPr="00524435" w:rsidRDefault="00507C2D" w:rsidP="00507C2D">
      <w:r w:rsidRPr="00524435">
        <w:br w:type="page"/>
      </w:r>
    </w:p>
    <w:p w14:paraId="21DF3879" w14:textId="77777777" w:rsidR="00507C2D" w:rsidRPr="00524435" w:rsidRDefault="00507C2D" w:rsidP="000A0FBD">
      <w:pPr>
        <w:pStyle w:val="NoSpacing"/>
      </w:pPr>
    </w:p>
    <w:p w14:paraId="0B8645DD" w14:textId="77777777" w:rsidR="00507C2D" w:rsidRPr="00524435" w:rsidRDefault="00507C2D" w:rsidP="000A0FBD">
      <w:pPr>
        <w:pStyle w:val="NoSpacing"/>
      </w:pPr>
    </w:p>
    <w:p w14:paraId="3932E2D6" w14:textId="77777777" w:rsidR="00507C2D" w:rsidRPr="00524435" w:rsidRDefault="00507C2D" w:rsidP="00E82663">
      <w:pPr>
        <w:pStyle w:val="Heading3"/>
      </w:pPr>
      <w:r w:rsidRPr="00524435">
        <w:t>Reports on Friendly Settlement published by country</w:t>
      </w:r>
    </w:p>
    <w:p w14:paraId="70350461" w14:textId="77777777" w:rsidR="00507C2D" w:rsidRPr="00524435" w:rsidRDefault="00507C2D" w:rsidP="000A0FBD">
      <w:pPr>
        <w:pStyle w:val="NoSpacing"/>
      </w:pPr>
    </w:p>
    <w:p w14:paraId="3CF5F8DF" w14:textId="77777777" w:rsidR="00507C2D" w:rsidRPr="00524435" w:rsidRDefault="00507C2D" w:rsidP="000A0FBD">
      <w:pPr>
        <w:pStyle w:val="NoSpacing"/>
      </w:pPr>
    </w:p>
    <w:p w14:paraId="435951C3" w14:textId="77777777" w:rsidR="00507C2D" w:rsidRPr="00524435" w:rsidRDefault="00507C2D" w:rsidP="000A0FBD">
      <w:pPr>
        <w:pStyle w:val="NoSpacing"/>
      </w:pPr>
    </w:p>
    <w:p w14:paraId="54A27C02" w14:textId="0402A4B9" w:rsidR="00507C2D" w:rsidRPr="00524435" w:rsidRDefault="00C056BD" w:rsidP="00C056BD">
      <w:pPr>
        <w:pStyle w:val="NoSpacing"/>
        <w:jc w:val="center"/>
      </w:pPr>
      <w:r w:rsidRPr="00524435">
        <w:rPr>
          <w:noProof/>
          <w:sz w:val="20"/>
          <w:szCs w:val="20"/>
        </w:rPr>
        <w:drawing>
          <wp:inline distT="0" distB="0" distL="0" distR="0" wp14:anchorId="7475ECC0" wp14:editId="6B086DA5">
            <wp:extent cx="5307786" cy="4802505"/>
            <wp:effectExtent l="0" t="0" r="7620" b="0"/>
            <wp:docPr id="34" name="Picture 3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bar chart&#10;&#10;Description automatically generated"/>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312264" cy="4806557"/>
                    </a:xfrm>
                    <a:prstGeom prst="rect">
                      <a:avLst/>
                    </a:prstGeom>
                    <a:noFill/>
                  </pic:spPr>
                </pic:pic>
              </a:graphicData>
            </a:graphic>
          </wp:inline>
        </w:drawing>
      </w:r>
    </w:p>
    <w:p w14:paraId="787C2E37" w14:textId="77777777" w:rsidR="00507C2D" w:rsidRPr="00524435" w:rsidRDefault="00507C2D" w:rsidP="00507C2D">
      <w:r w:rsidRPr="00524435">
        <w:br w:type="page"/>
      </w:r>
    </w:p>
    <w:p w14:paraId="33E85010" w14:textId="77777777" w:rsidR="00507C2D" w:rsidRPr="00524435" w:rsidRDefault="00507C2D" w:rsidP="000A0FBD">
      <w:pPr>
        <w:pStyle w:val="NoSpacing"/>
      </w:pPr>
    </w:p>
    <w:p w14:paraId="725454AB" w14:textId="77777777" w:rsidR="00507C2D" w:rsidRPr="00524435" w:rsidRDefault="00507C2D" w:rsidP="000A0FBD">
      <w:pPr>
        <w:pStyle w:val="NoSpacing"/>
      </w:pPr>
    </w:p>
    <w:p w14:paraId="284122AD" w14:textId="77777777" w:rsidR="00507C2D" w:rsidRPr="00524435" w:rsidRDefault="00507C2D" w:rsidP="00E82663">
      <w:pPr>
        <w:pStyle w:val="Heading3"/>
      </w:pPr>
      <w:r w:rsidRPr="00524435">
        <w:t>Friendly Settlement agreements signed by country (2021)</w:t>
      </w:r>
    </w:p>
    <w:p w14:paraId="65DC18BE" w14:textId="77777777" w:rsidR="00507C2D" w:rsidRPr="00524435" w:rsidRDefault="00507C2D" w:rsidP="000A0FBD">
      <w:pPr>
        <w:pStyle w:val="NoSpacing"/>
      </w:pPr>
    </w:p>
    <w:p w14:paraId="47AE1F51" w14:textId="77777777" w:rsidR="00507C2D" w:rsidRPr="00524435" w:rsidRDefault="00507C2D" w:rsidP="000A0FBD">
      <w:pPr>
        <w:pStyle w:val="NoSpacing"/>
      </w:pPr>
    </w:p>
    <w:p w14:paraId="7DF44EA6" w14:textId="2E1D7F33" w:rsidR="00507C2D" w:rsidRPr="00524435" w:rsidRDefault="00686501" w:rsidP="000A0FBD">
      <w:pPr>
        <w:pStyle w:val="NoSpacing"/>
      </w:pPr>
      <w:r w:rsidRPr="00524435">
        <w:rPr>
          <w:noProof/>
          <w:sz w:val="20"/>
          <w:szCs w:val="20"/>
        </w:rPr>
        <w:drawing>
          <wp:inline distT="0" distB="0" distL="0" distR="0" wp14:anchorId="3CA59E72" wp14:editId="38BC49DD">
            <wp:extent cx="5895975" cy="3819639"/>
            <wp:effectExtent l="0" t="0" r="0" b="9525"/>
            <wp:docPr id="35" name="Picture 3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pie chart&#10;&#10;Description automatically generated"/>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901046" cy="3822924"/>
                    </a:xfrm>
                    <a:prstGeom prst="rect">
                      <a:avLst/>
                    </a:prstGeom>
                    <a:noFill/>
                  </pic:spPr>
                </pic:pic>
              </a:graphicData>
            </a:graphic>
          </wp:inline>
        </w:drawing>
      </w:r>
    </w:p>
    <w:p w14:paraId="207A298C" w14:textId="77777777" w:rsidR="00507C2D" w:rsidRPr="00524435" w:rsidRDefault="00507C2D" w:rsidP="00507C2D">
      <w:r w:rsidRPr="00524435">
        <w:br w:type="page"/>
      </w:r>
    </w:p>
    <w:p w14:paraId="0998A16D" w14:textId="77777777" w:rsidR="00507C2D" w:rsidRPr="00524435" w:rsidRDefault="00507C2D" w:rsidP="000A0FBD">
      <w:pPr>
        <w:pStyle w:val="NoSpacing"/>
      </w:pPr>
    </w:p>
    <w:p w14:paraId="3F75839A" w14:textId="77777777" w:rsidR="00507C2D" w:rsidRPr="00524435" w:rsidRDefault="00507C2D" w:rsidP="000A0FBD">
      <w:pPr>
        <w:pStyle w:val="NoSpacing"/>
      </w:pPr>
    </w:p>
    <w:p w14:paraId="1A467CD8" w14:textId="77777777" w:rsidR="00507C2D" w:rsidRPr="00524435" w:rsidRDefault="00507C2D" w:rsidP="00E82663">
      <w:pPr>
        <w:pStyle w:val="Heading3"/>
      </w:pPr>
      <w:r w:rsidRPr="00524435">
        <w:t>Reports on merits approved per year</w:t>
      </w:r>
    </w:p>
    <w:p w14:paraId="1D303267" w14:textId="77777777" w:rsidR="00507C2D" w:rsidRPr="00524435" w:rsidRDefault="00507C2D" w:rsidP="000A0FBD">
      <w:pPr>
        <w:pStyle w:val="NoSpacing"/>
      </w:pPr>
    </w:p>
    <w:p w14:paraId="5D0A5B47" w14:textId="77777777" w:rsidR="00507C2D" w:rsidRPr="00524435" w:rsidRDefault="00507C2D" w:rsidP="000A0FBD">
      <w:pPr>
        <w:pStyle w:val="NoSpacing"/>
      </w:pPr>
    </w:p>
    <w:p w14:paraId="715CA608" w14:textId="77777777" w:rsidR="00507C2D" w:rsidRPr="00524435" w:rsidRDefault="00507C2D" w:rsidP="000A0FBD">
      <w:pPr>
        <w:pStyle w:val="NoSpacing"/>
      </w:pPr>
    </w:p>
    <w:p w14:paraId="0A5A68AF" w14:textId="045CFC86" w:rsidR="00507C2D" w:rsidRPr="00524435" w:rsidRDefault="00686501" w:rsidP="000A0FBD">
      <w:pPr>
        <w:pStyle w:val="NoSpacing"/>
      </w:pPr>
      <w:r w:rsidRPr="00524435">
        <w:rPr>
          <w:noProof/>
          <w:sz w:val="20"/>
          <w:szCs w:val="20"/>
        </w:rPr>
        <w:drawing>
          <wp:inline distT="0" distB="0" distL="0" distR="0" wp14:anchorId="7E505F77" wp14:editId="1511D68F">
            <wp:extent cx="5943600" cy="4030589"/>
            <wp:effectExtent l="0" t="0" r="0" b="8255"/>
            <wp:docPr id="36" name="Picture 3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bar chart&#10;&#10;Description automatically generated"/>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43600" cy="4030589"/>
                    </a:xfrm>
                    <a:prstGeom prst="rect">
                      <a:avLst/>
                    </a:prstGeom>
                    <a:noFill/>
                  </pic:spPr>
                </pic:pic>
              </a:graphicData>
            </a:graphic>
          </wp:inline>
        </w:drawing>
      </w:r>
    </w:p>
    <w:p w14:paraId="496ECB14" w14:textId="77777777" w:rsidR="00507C2D" w:rsidRPr="00524435" w:rsidRDefault="00507C2D" w:rsidP="00507C2D">
      <w:r w:rsidRPr="00524435">
        <w:br w:type="page"/>
      </w:r>
    </w:p>
    <w:p w14:paraId="3A719F60" w14:textId="77777777" w:rsidR="00507C2D" w:rsidRPr="00524435" w:rsidRDefault="00507C2D" w:rsidP="000A0FBD">
      <w:pPr>
        <w:pStyle w:val="NoSpacing"/>
      </w:pPr>
    </w:p>
    <w:p w14:paraId="33FBE8F0" w14:textId="77777777" w:rsidR="00507C2D" w:rsidRPr="00524435" w:rsidRDefault="00507C2D" w:rsidP="000A0FBD">
      <w:pPr>
        <w:pStyle w:val="NoSpacing"/>
      </w:pPr>
    </w:p>
    <w:p w14:paraId="62240877" w14:textId="77777777" w:rsidR="00507C2D" w:rsidRPr="00524435" w:rsidRDefault="00507C2D" w:rsidP="00E82663">
      <w:pPr>
        <w:pStyle w:val="Heading3"/>
      </w:pPr>
      <w:r w:rsidRPr="00524435">
        <w:t>Reports on merits adopted by country (2021)</w:t>
      </w:r>
    </w:p>
    <w:p w14:paraId="1B65AFCC" w14:textId="20D50871" w:rsidR="00507C2D" w:rsidRPr="00524435" w:rsidRDefault="00507C2D" w:rsidP="000A0FBD">
      <w:pPr>
        <w:pStyle w:val="NoSpacing"/>
      </w:pPr>
    </w:p>
    <w:p w14:paraId="27B18F06" w14:textId="77777777" w:rsidR="005E1EF7" w:rsidRPr="00524435" w:rsidRDefault="005E1EF7" w:rsidP="000A0FBD">
      <w:pPr>
        <w:pStyle w:val="NoSpacing"/>
      </w:pPr>
    </w:p>
    <w:p w14:paraId="2715F489" w14:textId="3B359F19" w:rsidR="00507C2D" w:rsidRPr="00524435" w:rsidRDefault="00686501" w:rsidP="000A0FBD">
      <w:pPr>
        <w:pStyle w:val="NoSpacing"/>
      </w:pPr>
      <w:r w:rsidRPr="00524435">
        <w:rPr>
          <w:noProof/>
          <w:sz w:val="20"/>
          <w:szCs w:val="20"/>
        </w:rPr>
        <w:drawing>
          <wp:inline distT="0" distB="0" distL="0" distR="0" wp14:anchorId="13255209" wp14:editId="19C8CF7B">
            <wp:extent cx="5921844" cy="5118265"/>
            <wp:effectExtent l="0" t="0" r="3175" b="6350"/>
            <wp:docPr id="37" name="Picture 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10;&#10;Description automatically generated"/>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929840" cy="5125176"/>
                    </a:xfrm>
                    <a:prstGeom prst="rect">
                      <a:avLst/>
                    </a:prstGeom>
                    <a:noFill/>
                  </pic:spPr>
                </pic:pic>
              </a:graphicData>
            </a:graphic>
          </wp:inline>
        </w:drawing>
      </w:r>
    </w:p>
    <w:p w14:paraId="663D37B8" w14:textId="77777777" w:rsidR="00686501" w:rsidRPr="00524435" w:rsidRDefault="00686501" w:rsidP="000A0FBD">
      <w:pPr>
        <w:pStyle w:val="NoSpacing"/>
      </w:pPr>
    </w:p>
    <w:p w14:paraId="1052F3EE" w14:textId="77777777" w:rsidR="00507C2D" w:rsidRPr="00524435" w:rsidRDefault="00507C2D" w:rsidP="00507C2D">
      <w:r w:rsidRPr="00524435">
        <w:br w:type="page"/>
      </w:r>
    </w:p>
    <w:p w14:paraId="5964A1DD" w14:textId="77777777" w:rsidR="00507C2D" w:rsidRPr="00524435" w:rsidRDefault="00507C2D" w:rsidP="000A0FBD">
      <w:pPr>
        <w:pStyle w:val="NoSpacing"/>
      </w:pPr>
    </w:p>
    <w:p w14:paraId="04A2822A" w14:textId="77777777" w:rsidR="00507C2D" w:rsidRPr="00524435" w:rsidRDefault="00507C2D" w:rsidP="000A0FBD">
      <w:pPr>
        <w:pStyle w:val="NoSpacing"/>
      </w:pPr>
    </w:p>
    <w:p w14:paraId="696847CB" w14:textId="77777777" w:rsidR="00507C2D" w:rsidRPr="00524435" w:rsidRDefault="00507C2D" w:rsidP="00E82663">
      <w:pPr>
        <w:pStyle w:val="Heading3"/>
      </w:pPr>
      <w:r w:rsidRPr="00524435">
        <w:t>Reports on the merits published by country (2021)</w:t>
      </w:r>
    </w:p>
    <w:p w14:paraId="60971BF9" w14:textId="77777777" w:rsidR="00507C2D" w:rsidRPr="00524435" w:rsidRDefault="00507C2D" w:rsidP="000A0FBD">
      <w:pPr>
        <w:pStyle w:val="NoSpacing"/>
      </w:pPr>
    </w:p>
    <w:p w14:paraId="20190882" w14:textId="77777777" w:rsidR="00507C2D" w:rsidRPr="00524435" w:rsidRDefault="00507C2D" w:rsidP="000A0FBD">
      <w:pPr>
        <w:pStyle w:val="NoSpacing"/>
      </w:pPr>
    </w:p>
    <w:p w14:paraId="7B683006" w14:textId="77777777" w:rsidR="00507C2D" w:rsidRPr="00524435" w:rsidRDefault="00507C2D" w:rsidP="000A0FBD">
      <w:pPr>
        <w:pStyle w:val="NoSpacing"/>
      </w:pPr>
    </w:p>
    <w:p w14:paraId="67075D59" w14:textId="12AEB76F" w:rsidR="00507C2D" w:rsidRPr="00524435" w:rsidRDefault="00686501" w:rsidP="00686501">
      <w:pPr>
        <w:pStyle w:val="NoSpacing"/>
        <w:jc w:val="center"/>
      </w:pPr>
      <w:r w:rsidRPr="00524435">
        <w:rPr>
          <w:noProof/>
          <w:sz w:val="20"/>
          <w:szCs w:val="20"/>
        </w:rPr>
        <w:drawing>
          <wp:inline distT="0" distB="0" distL="0" distR="0" wp14:anchorId="53BFDDC3" wp14:editId="59F3A96F">
            <wp:extent cx="5943600" cy="4274683"/>
            <wp:effectExtent l="0" t="0" r="0" b="0"/>
            <wp:docPr id="38" name="Picture 3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pie chart&#10;&#10;Description automatically generated"/>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943600" cy="4274683"/>
                    </a:xfrm>
                    <a:prstGeom prst="rect">
                      <a:avLst/>
                    </a:prstGeom>
                    <a:noFill/>
                  </pic:spPr>
                </pic:pic>
              </a:graphicData>
            </a:graphic>
          </wp:inline>
        </w:drawing>
      </w:r>
    </w:p>
    <w:p w14:paraId="20951340" w14:textId="77777777" w:rsidR="00507C2D" w:rsidRPr="00524435" w:rsidRDefault="00507C2D" w:rsidP="00507C2D">
      <w:r w:rsidRPr="00524435">
        <w:br w:type="page"/>
      </w:r>
    </w:p>
    <w:p w14:paraId="121031A7" w14:textId="77777777" w:rsidR="00507C2D" w:rsidRPr="00524435" w:rsidRDefault="00507C2D" w:rsidP="000A0FBD">
      <w:pPr>
        <w:pStyle w:val="NoSpacing"/>
      </w:pPr>
    </w:p>
    <w:p w14:paraId="46C18006" w14:textId="26163AED" w:rsidR="00507C2D" w:rsidRPr="00524435" w:rsidRDefault="00507C2D" w:rsidP="000A0FBD">
      <w:pPr>
        <w:pStyle w:val="NoSpacing"/>
      </w:pPr>
    </w:p>
    <w:p w14:paraId="3DDF69A5" w14:textId="09CA26B4" w:rsidR="00F16F09" w:rsidRPr="00524435" w:rsidRDefault="00F16F09" w:rsidP="00F16F09">
      <w:pPr>
        <w:pStyle w:val="Heading3"/>
      </w:pPr>
      <w:r w:rsidRPr="00524435">
        <w:t>Hearings before the Inter-American court of Human Rights by country</w:t>
      </w:r>
    </w:p>
    <w:p w14:paraId="2B3B7061" w14:textId="2252FA6E" w:rsidR="00F16F09" w:rsidRPr="00524435" w:rsidRDefault="00F16F09" w:rsidP="000A0FBD">
      <w:pPr>
        <w:pStyle w:val="NoSpacing"/>
      </w:pPr>
    </w:p>
    <w:p w14:paraId="645E027C" w14:textId="2CAC45A1" w:rsidR="00F16F09" w:rsidRPr="00524435" w:rsidRDefault="00F16F09" w:rsidP="00F16F09">
      <w:pPr>
        <w:pStyle w:val="NoSpacing"/>
      </w:pPr>
    </w:p>
    <w:p w14:paraId="67F80EEC" w14:textId="326160FB" w:rsidR="008D2AC7" w:rsidRPr="00524435" w:rsidRDefault="008D2AC7" w:rsidP="00F16F09">
      <w:pPr>
        <w:pStyle w:val="NoSpacing"/>
      </w:pPr>
    </w:p>
    <w:p w14:paraId="5CD25094" w14:textId="55CDF8F7" w:rsidR="008D2AC7" w:rsidRPr="00524435" w:rsidRDefault="008D2AC7" w:rsidP="00F16F09">
      <w:pPr>
        <w:pStyle w:val="NoSpacing"/>
      </w:pPr>
      <w:r w:rsidRPr="00524435">
        <w:rPr>
          <w:noProof/>
        </w:rPr>
        <w:drawing>
          <wp:inline distT="0" distB="0" distL="0" distR="0" wp14:anchorId="59D51197" wp14:editId="5E10C357">
            <wp:extent cx="5894705" cy="4561533"/>
            <wp:effectExtent l="0" t="0" r="0" b="0"/>
            <wp:docPr id="52" name="Picture 5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bar chart&#10;&#10;Description automatically generated"/>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902521" cy="4567581"/>
                    </a:xfrm>
                    <a:prstGeom prst="rect">
                      <a:avLst/>
                    </a:prstGeom>
                    <a:noFill/>
                  </pic:spPr>
                </pic:pic>
              </a:graphicData>
            </a:graphic>
          </wp:inline>
        </w:drawing>
      </w:r>
    </w:p>
    <w:p w14:paraId="010CBBFE" w14:textId="6094AD47" w:rsidR="008D2AC7" w:rsidRPr="00524435" w:rsidRDefault="008D2AC7" w:rsidP="00F16F09">
      <w:pPr>
        <w:pStyle w:val="NoSpacing"/>
      </w:pPr>
    </w:p>
    <w:p w14:paraId="42C86ADD" w14:textId="1DB87F12" w:rsidR="008D2AC7" w:rsidRPr="00524435" w:rsidRDefault="008D2AC7" w:rsidP="00F16F09">
      <w:pPr>
        <w:pStyle w:val="NoSpacing"/>
      </w:pPr>
    </w:p>
    <w:p w14:paraId="49EFA6C3" w14:textId="77777777" w:rsidR="008D2AC7" w:rsidRPr="00524435" w:rsidRDefault="008D2AC7" w:rsidP="00F16F09">
      <w:pPr>
        <w:pStyle w:val="NoSpacing"/>
      </w:pPr>
    </w:p>
    <w:p w14:paraId="551D2848" w14:textId="39C91F3C" w:rsidR="008D2AC7" w:rsidRPr="00524435" w:rsidRDefault="008D2AC7" w:rsidP="008D2AC7">
      <w:pPr>
        <w:jc w:val="center"/>
        <w:rPr>
          <w:rFonts w:ascii="Calibri" w:eastAsia="MS Mincho" w:hAnsi="Calibri" w:cs="Arial"/>
          <w:lang w:eastAsia="ja-JP"/>
        </w:rPr>
      </w:pPr>
      <w:r w:rsidRPr="00524435">
        <w:br w:type="page"/>
      </w:r>
    </w:p>
    <w:p w14:paraId="16F0974B" w14:textId="77777777" w:rsidR="00F16F09" w:rsidRPr="00524435" w:rsidRDefault="00F16F09" w:rsidP="00F16F09">
      <w:pPr>
        <w:pStyle w:val="NoSpacing"/>
      </w:pPr>
    </w:p>
    <w:p w14:paraId="2673524E" w14:textId="77777777" w:rsidR="00F16F09" w:rsidRPr="00524435" w:rsidRDefault="00F16F09" w:rsidP="00F16F09">
      <w:pPr>
        <w:pStyle w:val="NoSpacing"/>
      </w:pPr>
    </w:p>
    <w:p w14:paraId="08593409" w14:textId="77777777" w:rsidR="00507C2D" w:rsidRPr="00524435" w:rsidRDefault="00507C2D" w:rsidP="00E82663">
      <w:pPr>
        <w:pStyle w:val="Heading3"/>
      </w:pPr>
      <w:r w:rsidRPr="00524435">
        <w:t>Cases submitted to the Inter-American Court of Human Rights per year</w:t>
      </w:r>
    </w:p>
    <w:p w14:paraId="612DE62E" w14:textId="77777777" w:rsidR="00507C2D" w:rsidRPr="00524435" w:rsidRDefault="00507C2D" w:rsidP="000A0FBD">
      <w:pPr>
        <w:pStyle w:val="NoSpacing"/>
      </w:pPr>
    </w:p>
    <w:p w14:paraId="38E4534B" w14:textId="77777777" w:rsidR="00507C2D" w:rsidRPr="00524435" w:rsidRDefault="00507C2D" w:rsidP="000A0FBD">
      <w:pPr>
        <w:pStyle w:val="NoSpacing"/>
      </w:pPr>
    </w:p>
    <w:p w14:paraId="2A5C4342" w14:textId="77777777" w:rsidR="00507C2D" w:rsidRPr="00524435" w:rsidRDefault="00507C2D" w:rsidP="000A0FBD">
      <w:pPr>
        <w:pStyle w:val="NoSpacing"/>
      </w:pPr>
    </w:p>
    <w:p w14:paraId="308CFABE" w14:textId="3BF72D8E" w:rsidR="00507C2D" w:rsidRPr="00524435" w:rsidRDefault="00686501" w:rsidP="00686501">
      <w:pPr>
        <w:pStyle w:val="NoSpacing"/>
        <w:jc w:val="center"/>
      </w:pPr>
      <w:r w:rsidRPr="00524435">
        <w:rPr>
          <w:noProof/>
          <w:sz w:val="20"/>
          <w:szCs w:val="20"/>
        </w:rPr>
        <w:drawing>
          <wp:inline distT="0" distB="0" distL="0" distR="0" wp14:anchorId="149B806C" wp14:editId="25DEE533">
            <wp:extent cx="5943600" cy="3953611"/>
            <wp:effectExtent l="0" t="0" r="0" b="8890"/>
            <wp:docPr id="39" name="Picture 3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bar chart&#10;&#10;Description automatically generated"/>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943600" cy="3953611"/>
                    </a:xfrm>
                    <a:prstGeom prst="rect">
                      <a:avLst/>
                    </a:prstGeom>
                    <a:noFill/>
                  </pic:spPr>
                </pic:pic>
              </a:graphicData>
            </a:graphic>
          </wp:inline>
        </w:drawing>
      </w:r>
    </w:p>
    <w:p w14:paraId="2B7C149B" w14:textId="77777777" w:rsidR="00507C2D" w:rsidRPr="00524435" w:rsidRDefault="00507C2D" w:rsidP="00507C2D">
      <w:r w:rsidRPr="00524435">
        <w:br w:type="page"/>
      </w:r>
    </w:p>
    <w:p w14:paraId="522F4005" w14:textId="77777777" w:rsidR="00507C2D" w:rsidRPr="00524435" w:rsidRDefault="00507C2D" w:rsidP="000A0FBD">
      <w:pPr>
        <w:pStyle w:val="NoSpacing"/>
      </w:pPr>
    </w:p>
    <w:p w14:paraId="79B7E51E" w14:textId="77777777" w:rsidR="00507C2D" w:rsidRPr="00524435" w:rsidRDefault="00507C2D" w:rsidP="000A0FBD">
      <w:pPr>
        <w:pStyle w:val="NoSpacing"/>
      </w:pPr>
    </w:p>
    <w:p w14:paraId="1EDD9FEB" w14:textId="77777777" w:rsidR="00507C2D" w:rsidRPr="00524435" w:rsidRDefault="00507C2D" w:rsidP="00E82663">
      <w:pPr>
        <w:pStyle w:val="Heading3"/>
      </w:pPr>
      <w:r w:rsidRPr="00524435">
        <w:t>Cases submitted to the Inter-American Court of Human Rights by country (2021)</w:t>
      </w:r>
    </w:p>
    <w:p w14:paraId="374CC321" w14:textId="77777777" w:rsidR="00507C2D" w:rsidRPr="00524435" w:rsidRDefault="00507C2D" w:rsidP="000A0FBD">
      <w:pPr>
        <w:pStyle w:val="NoSpacing"/>
      </w:pPr>
    </w:p>
    <w:p w14:paraId="16E68AC7" w14:textId="77777777" w:rsidR="00507C2D" w:rsidRPr="00524435" w:rsidRDefault="00507C2D" w:rsidP="000A0FBD">
      <w:pPr>
        <w:pStyle w:val="NoSpacing"/>
      </w:pPr>
    </w:p>
    <w:p w14:paraId="2566BA34" w14:textId="77777777" w:rsidR="00507C2D" w:rsidRPr="00524435" w:rsidRDefault="00507C2D" w:rsidP="000A0FBD">
      <w:pPr>
        <w:pStyle w:val="NoSpacing"/>
      </w:pPr>
    </w:p>
    <w:p w14:paraId="7102226C" w14:textId="57FCEBC9" w:rsidR="00507C2D" w:rsidRPr="00524435" w:rsidRDefault="00686501" w:rsidP="000A0FBD">
      <w:pPr>
        <w:pStyle w:val="NoSpacing"/>
      </w:pPr>
      <w:r w:rsidRPr="00524435">
        <w:rPr>
          <w:noProof/>
          <w:sz w:val="20"/>
          <w:szCs w:val="20"/>
        </w:rPr>
        <w:drawing>
          <wp:inline distT="0" distB="0" distL="0" distR="0" wp14:anchorId="1CEE7575" wp14:editId="3576D4DC">
            <wp:extent cx="5943600" cy="4599669"/>
            <wp:effectExtent l="0" t="0" r="0" b="0"/>
            <wp:docPr id="40" name="Picture 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10;&#10;Description automatically generated"/>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943600" cy="4599669"/>
                    </a:xfrm>
                    <a:prstGeom prst="rect">
                      <a:avLst/>
                    </a:prstGeom>
                    <a:noFill/>
                  </pic:spPr>
                </pic:pic>
              </a:graphicData>
            </a:graphic>
          </wp:inline>
        </w:drawing>
      </w:r>
    </w:p>
    <w:p w14:paraId="79EF78A6" w14:textId="77777777" w:rsidR="00507C2D" w:rsidRPr="00524435" w:rsidRDefault="00507C2D" w:rsidP="00507C2D">
      <w:r w:rsidRPr="00524435">
        <w:br w:type="page"/>
      </w:r>
    </w:p>
    <w:p w14:paraId="72F47C67" w14:textId="77777777" w:rsidR="00507C2D" w:rsidRPr="00524435" w:rsidRDefault="00507C2D" w:rsidP="000A0FBD">
      <w:pPr>
        <w:pStyle w:val="NoSpacing"/>
      </w:pPr>
    </w:p>
    <w:p w14:paraId="28555E40" w14:textId="77777777" w:rsidR="00507C2D" w:rsidRPr="00524435" w:rsidRDefault="00507C2D" w:rsidP="000A0FBD">
      <w:pPr>
        <w:pStyle w:val="NoSpacing"/>
      </w:pPr>
    </w:p>
    <w:p w14:paraId="6E0D8734" w14:textId="77777777" w:rsidR="00507C2D" w:rsidRPr="00524435" w:rsidRDefault="00507C2D" w:rsidP="00E82663">
      <w:pPr>
        <w:pStyle w:val="Heading3"/>
      </w:pPr>
      <w:r w:rsidRPr="00524435">
        <w:t>Requests for precautionary measures received per year</w:t>
      </w:r>
    </w:p>
    <w:p w14:paraId="1808BA72" w14:textId="5F3124A9" w:rsidR="00507C2D" w:rsidRPr="00524435" w:rsidRDefault="00507C2D" w:rsidP="000A0FBD">
      <w:pPr>
        <w:pStyle w:val="NoSpacing"/>
      </w:pPr>
    </w:p>
    <w:p w14:paraId="7B58595B" w14:textId="77777777" w:rsidR="00192E0A" w:rsidRPr="00524435" w:rsidRDefault="00192E0A" w:rsidP="000A0FBD">
      <w:pPr>
        <w:pStyle w:val="NoSpacing"/>
      </w:pPr>
    </w:p>
    <w:p w14:paraId="224DE0F2" w14:textId="77777777" w:rsidR="000A0FBD" w:rsidRPr="00524435" w:rsidRDefault="000A0FBD" w:rsidP="000A0FBD">
      <w:pPr>
        <w:pStyle w:val="NoSpacing"/>
      </w:pPr>
    </w:p>
    <w:p w14:paraId="21E57844" w14:textId="33F5061E" w:rsidR="00507C2D" w:rsidRPr="00524435" w:rsidRDefault="00686501" w:rsidP="00686501">
      <w:pPr>
        <w:pStyle w:val="NoSpacing"/>
        <w:jc w:val="center"/>
      </w:pPr>
      <w:r w:rsidRPr="00524435">
        <w:rPr>
          <w:noProof/>
          <w:sz w:val="20"/>
          <w:szCs w:val="20"/>
        </w:rPr>
        <w:drawing>
          <wp:inline distT="0" distB="0" distL="0" distR="0" wp14:anchorId="59F87235" wp14:editId="2B4235C5">
            <wp:extent cx="5279281" cy="3986530"/>
            <wp:effectExtent l="0" t="0" r="0" b="0"/>
            <wp:docPr id="41" name="Picture 4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bar chart&#10;&#10;Description automatically generated"/>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282708" cy="3989118"/>
                    </a:xfrm>
                    <a:prstGeom prst="rect">
                      <a:avLst/>
                    </a:prstGeom>
                    <a:noFill/>
                  </pic:spPr>
                </pic:pic>
              </a:graphicData>
            </a:graphic>
          </wp:inline>
        </w:drawing>
      </w:r>
    </w:p>
    <w:p w14:paraId="7B437BCD" w14:textId="77777777" w:rsidR="00507C2D" w:rsidRPr="00524435" w:rsidRDefault="00507C2D" w:rsidP="00507C2D">
      <w:r w:rsidRPr="00524435">
        <w:br w:type="page"/>
      </w:r>
    </w:p>
    <w:p w14:paraId="66F16307" w14:textId="77777777" w:rsidR="00507C2D" w:rsidRPr="00524435" w:rsidRDefault="00507C2D" w:rsidP="000A0FBD">
      <w:pPr>
        <w:pStyle w:val="NoSpacing"/>
      </w:pPr>
    </w:p>
    <w:p w14:paraId="5570F19D" w14:textId="77777777" w:rsidR="00507C2D" w:rsidRPr="00524435" w:rsidRDefault="00507C2D" w:rsidP="000A0FBD">
      <w:pPr>
        <w:pStyle w:val="NoSpacing"/>
      </w:pPr>
    </w:p>
    <w:p w14:paraId="68F1E75A" w14:textId="77777777" w:rsidR="00507C2D" w:rsidRPr="00524435" w:rsidRDefault="00507C2D" w:rsidP="00E82663">
      <w:pPr>
        <w:pStyle w:val="Heading3"/>
      </w:pPr>
      <w:r w:rsidRPr="00524435">
        <w:t>Requests for precautionary measures received by country (2021)</w:t>
      </w:r>
    </w:p>
    <w:p w14:paraId="2345674D" w14:textId="0B40DA28" w:rsidR="00507C2D" w:rsidRPr="00524435" w:rsidRDefault="00507C2D" w:rsidP="000A0FBD">
      <w:pPr>
        <w:pStyle w:val="NoSpacing"/>
      </w:pPr>
    </w:p>
    <w:p w14:paraId="51FDE98D" w14:textId="77777777" w:rsidR="00686501" w:rsidRPr="00524435" w:rsidRDefault="00686501" w:rsidP="000A0FBD">
      <w:pPr>
        <w:pStyle w:val="NoSpacing"/>
      </w:pPr>
    </w:p>
    <w:p w14:paraId="3898B543" w14:textId="4525E3AD" w:rsidR="00507C2D" w:rsidRPr="00524435" w:rsidRDefault="00686501" w:rsidP="000A0FBD">
      <w:pPr>
        <w:pStyle w:val="NoSpacing"/>
      </w:pPr>
      <w:r w:rsidRPr="00524435">
        <w:rPr>
          <w:noProof/>
          <w:sz w:val="20"/>
          <w:szCs w:val="20"/>
        </w:rPr>
        <w:drawing>
          <wp:inline distT="0" distB="0" distL="0" distR="0" wp14:anchorId="599C3479" wp14:editId="7C2AA675">
            <wp:extent cx="5943600" cy="4652202"/>
            <wp:effectExtent l="0" t="0" r="0" b="0"/>
            <wp:docPr id="42" name="Picture 4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10;&#10;Description automatically generated"/>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943600" cy="4652202"/>
                    </a:xfrm>
                    <a:prstGeom prst="rect">
                      <a:avLst/>
                    </a:prstGeom>
                    <a:noFill/>
                  </pic:spPr>
                </pic:pic>
              </a:graphicData>
            </a:graphic>
          </wp:inline>
        </w:drawing>
      </w:r>
    </w:p>
    <w:p w14:paraId="023EFABD" w14:textId="77777777" w:rsidR="00686501" w:rsidRPr="00524435" w:rsidRDefault="00686501" w:rsidP="000A0FBD">
      <w:pPr>
        <w:pStyle w:val="NoSpacing"/>
      </w:pPr>
    </w:p>
    <w:p w14:paraId="556E9F55" w14:textId="77777777" w:rsidR="00507C2D" w:rsidRPr="00524435" w:rsidRDefault="00507C2D" w:rsidP="00507C2D">
      <w:r w:rsidRPr="00524435">
        <w:br w:type="page"/>
      </w:r>
    </w:p>
    <w:p w14:paraId="0FE37179" w14:textId="77777777" w:rsidR="00507C2D" w:rsidRPr="00524435" w:rsidRDefault="00507C2D" w:rsidP="000A0FBD">
      <w:pPr>
        <w:pStyle w:val="NoSpacing"/>
      </w:pPr>
    </w:p>
    <w:p w14:paraId="2384F085" w14:textId="77777777" w:rsidR="00507C2D" w:rsidRPr="00524435" w:rsidRDefault="00507C2D" w:rsidP="000A0FBD">
      <w:pPr>
        <w:pStyle w:val="NoSpacing"/>
      </w:pPr>
    </w:p>
    <w:p w14:paraId="3E0BF5AF" w14:textId="77777777" w:rsidR="00507C2D" w:rsidRPr="00524435" w:rsidRDefault="00507C2D" w:rsidP="00E82663">
      <w:pPr>
        <w:pStyle w:val="Heading3"/>
      </w:pPr>
      <w:r w:rsidRPr="00524435">
        <w:t>Precautionary measures granted or extended per year</w:t>
      </w:r>
    </w:p>
    <w:p w14:paraId="6BDD0C78" w14:textId="77777777" w:rsidR="00507C2D" w:rsidRPr="00524435" w:rsidRDefault="00507C2D" w:rsidP="000A0FBD">
      <w:pPr>
        <w:pStyle w:val="NoSpacing"/>
      </w:pPr>
    </w:p>
    <w:p w14:paraId="1A3445E4" w14:textId="77777777" w:rsidR="00507C2D" w:rsidRPr="00524435" w:rsidRDefault="00507C2D" w:rsidP="000A0FBD">
      <w:pPr>
        <w:pStyle w:val="NoSpacing"/>
      </w:pPr>
    </w:p>
    <w:p w14:paraId="6269FDB0" w14:textId="77777777" w:rsidR="00507C2D" w:rsidRPr="00524435" w:rsidRDefault="00507C2D" w:rsidP="000A0FBD">
      <w:pPr>
        <w:pStyle w:val="NoSpacing"/>
      </w:pPr>
    </w:p>
    <w:p w14:paraId="17363C2E" w14:textId="72A87BE0" w:rsidR="00507C2D" w:rsidRPr="00524435" w:rsidRDefault="00686501" w:rsidP="000A0FBD">
      <w:pPr>
        <w:pStyle w:val="NoSpacing"/>
      </w:pPr>
      <w:r w:rsidRPr="00524435">
        <w:rPr>
          <w:noProof/>
          <w:sz w:val="20"/>
          <w:szCs w:val="20"/>
        </w:rPr>
        <w:drawing>
          <wp:inline distT="0" distB="0" distL="0" distR="0" wp14:anchorId="44A546B9" wp14:editId="5B131D53">
            <wp:extent cx="5943600" cy="4674776"/>
            <wp:effectExtent l="0" t="0" r="0" b="0"/>
            <wp:docPr id="43" name="Picture 43"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bar chart, histogram&#10;&#10;Description automatically generated"/>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943600" cy="4674776"/>
                    </a:xfrm>
                    <a:prstGeom prst="rect">
                      <a:avLst/>
                    </a:prstGeom>
                    <a:noFill/>
                  </pic:spPr>
                </pic:pic>
              </a:graphicData>
            </a:graphic>
          </wp:inline>
        </w:drawing>
      </w:r>
    </w:p>
    <w:p w14:paraId="16AF7220" w14:textId="77777777" w:rsidR="00507C2D" w:rsidRPr="00524435" w:rsidRDefault="00507C2D" w:rsidP="00507C2D">
      <w:r w:rsidRPr="00524435">
        <w:br w:type="page"/>
      </w:r>
    </w:p>
    <w:p w14:paraId="63B9FF0E" w14:textId="77777777" w:rsidR="00507C2D" w:rsidRPr="00524435" w:rsidRDefault="00507C2D" w:rsidP="000A0FBD">
      <w:pPr>
        <w:pStyle w:val="NoSpacing"/>
      </w:pPr>
    </w:p>
    <w:p w14:paraId="717A9639" w14:textId="77777777" w:rsidR="00507C2D" w:rsidRPr="00524435" w:rsidRDefault="00507C2D" w:rsidP="000A0FBD">
      <w:pPr>
        <w:pStyle w:val="NoSpacing"/>
      </w:pPr>
    </w:p>
    <w:p w14:paraId="06E1F642" w14:textId="77777777" w:rsidR="00507C2D" w:rsidRPr="00524435" w:rsidRDefault="00507C2D" w:rsidP="00E82663">
      <w:pPr>
        <w:pStyle w:val="Heading3"/>
      </w:pPr>
      <w:r w:rsidRPr="00524435">
        <w:t>Precautionary measures granted or extended by country (2021)</w:t>
      </w:r>
    </w:p>
    <w:p w14:paraId="25B0E4AC" w14:textId="77777777" w:rsidR="00507C2D" w:rsidRPr="00524435" w:rsidRDefault="00507C2D" w:rsidP="000A0FBD">
      <w:pPr>
        <w:pStyle w:val="NoSpacing"/>
      </w:pPr>
    </w:p>
    <w:p w14:paraId="0E4151C9" w14:textId="2EC6728B" w:rsidR="00507C2D" w:rsidRPr="00524435" w:rsidRDefault="00507C2D" w:rsidP="000A0FBD">
      <w:pPr>
        <w:pStyle w:val="NoSpacing"/>
      </w:pPr>
    </w:p>
    <w:p w14:paraId="0E251D82" w14:textId="40E9C3FE" w:rsidR="00686501" w:rsidRPr="00524435" w:rsidRDefault="00686501" w:rsidP="000A0FBD">
      <w:pPr>
        <w:pStyle w:val="NoSpacing"/>
      </w:pPr>
      <w:r w:rsidRPr="00524435">
        <w:rPr>
          <w:noProof/>
          <w:sz w:val="20"/>
          <w:szCs w:val="20"/>
        </w:rPr>
        <w:drawing>
          <wp:inline distT="0" distB="0" distL="0" distR="0" wp14:anchorId="6310B0DA" wp14:editId="391E6379">
            <wp:extent cx="5943600" cy="4895696"/>
            <wp:effectExtent l="0" t="0" r="0" b="635"/>
            <wp:docPr id="44" name="Picture 4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10;&#10;Description automatically generated with medium confidence"/>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943600" cy="4895696"/>
                    </a:xfrm>
                    <a:prstGeom prst="rect">
                      <a:avLst/>
                    </a:prstGeom>
                    <a:noFill/>
                  </pic:spPr>
                </pic:pic>
              </a:graphicData>
            </a:graphic>
          </wp:inline>
        </w:drawing>
      </w:r>
    </w:p>
    <w:p w14:paraId="7AEB4171" w14:textId="77777777" w:rsidR="00507C2D" w:rsidRPr="00524435" w:rsidRDefault="00507C2D" w:rsidP="000A0FBD">
      <w:pPr>
        <w:pStyle w:val="NoSpacing"/>
      </w:pPr>
      <w:r w:rsidRPr="00524435">
        <w:br w:type="page"/>
      </w:r>
    </w:p>
    <w:p w14:paraId="2E3A7973" w14:textId="77777777" w:rsidR="00507C2D" w:rsidRPr="00524435" w:rsidRDefault="00507C2D" w:rsidP="000A0FBD">
      <w:pPr>
        <w:pStyle w:val="NoSpacing"/>
      </w:pPr>
    </w:p>
    <w:p w14:paraId="1451EBC0" w14:textId="77777777" w:rsidR="00507C2D" w:rsidRPr="00524435" w:rsidRDefault="00507C2D" w:rsidP="000A0FBD">
      <w:pPr>
        <w:pStyle w:val="NoSpacing"/>
      </w:pPr>
    </w:p>
    <w:p w14:paraId="25CDD65B" w14:textId="77777777" w:rsidR="00507C2D" w:rsidRPr="00524435" w:rsidRDefault="00507C2D" w:rsidP="00E82663">
      <w:pPr>
        <w:pStyle w:val="Heading3"/>
      </w:pPr>
      <w:r w:rsidRPr="00524435">
        <w:t>Granting or extension time</w:t>
      </w:r>
    </w:p>
    <w:p w14:paraId="64A51DF9" w14:textId="77777777" w:rsidR="00507C2D" w:rsidRPr="00524435" w:rsidRDefault="00507C2D" w:rsidP="000A0FBD">
      <w:pPr>
        <w:pStyle w:val="NoSpacing"/>
      </w:pPr>
    </w:p>
    <w:p w14:paraId="2D7BCD26" w14:textId="77777777" w:rsidR="00507C2D" w:rsidRPr="00524435" w:rsidRDefault="00507C2D" w:rsidP="000A0FBD">
      <w:pPr>
        <w:pStyle w:val="NoSpacing"/>
      </w:pPr>
    </w:p>
    <w:p w14:paraId="0179EFAB" w14:textId="561DA2D4" w:rsidR="00507C2D" w:rsidRPr="00524435" w:rsidRDefault="00686501" w:rsidP="000A0FBD">
      <w:pPr>
        <w:pStyle w:val="NoSpacing"/>
      </w:pPr>
      <w:r w:rsidRPr="00524435">
        <w:rPr>
          <w:noProof/>
          <w:sz w:val="20"/>
          <w:szCs w:val="20"/>
        </w:rPr>
        <w:drawing>
          <wp:inline distT="0" distB="0" distL="0" distR="0" wp14:anchorId="49FC7CC0" wp14:editId="764AB481">
            <wp:extent cx="5527599" cy="3982720"/>
            <wp:effectExtent l="0" t="0" r="0" b="0"/>
            <wp:docPr id="45" name="Picture 4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pie chart&#10;&#10;Description automatically generated"/>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530114" cy="3984532"/>
                    </a:xfrm>
                    <a:prstGeom prst="rect">
                      <a:avLst/>
                    </a:prstGeom>
                    <a:noFill/>
                  </pic:spPr>
                </pic:pic>
              </a:graphicData>
            </a:graphic>
          </wp:inline>
        </w:drawing>
      </w:r>
    </w:p>
    <w:p w14:paraId="3DEC23D3" w14:textId="77777777" w:rsidR="00507C2D" w:rsidRPr="00524435" w:rsidRDefault="00507C2D" w:rsidP="000A0FBD">
      <w:pPr>
        <w:pStyle w:val="NoSpacing"/>
      </w:pPr>
    </w:p>
    <w:p w14:paraId="2727320B" w14:textId="77777777" w:rsidR="00507C2D" w:rsidRPr="00524435" w:rsidRDefault="00507C2D" w:rsidP="000A0FBD">
      <w:pPr>
        <w:pStyle w:val="NoSpacing"/>
      </w:pPr>
    </w:p>
    <w:p w14:paraId="25B78D84" w14:textId="77777777" w:rsidR="00507C2D" w:rsidRPr="00524435" w:rsidRDefault="00507C2D" w:rsidP="000A0FBD">
      <w:pPr>
        <w:pStyle w:val="NoSpacing"/>
      </w:pPr>
      <w:r w:rsidRPr="00524435">
        <w:br w:type="page"/>
      </w:r>
    </w:p>
    <w:p w14:paraId="0DBCB94D" w14:textId="77777777" w:rsidR="00507C2D" w:rsidRPr="00524435" w:rsidRDefault="00507C2D" w:rsidP="00CC4DC3">
      <w:pPr>
        <w:pStyle w:val="NoSpacing"/>
      </w:pPr>
    </w:p>
    <w:p w14:paraId="1C1D893B" w14:textId="77777777" w:rsidR="00507C2D" w:rsidRPr="00524435" w:rsidRDefault="00507C2D" w:rsidP="00CC4DC3">
      <w:pPr>
        <w:pStyle w:val="NoSpacing"/>
      </w:pPr>
    </w:p>
    <w:p w14:paraId="34265023" w14:textId="77777777" w:rsidR="00507C2D" w:rsidRPr="00524435" w:rsidRDefault="00507C2D" w:rsidP="00E82663">
      <w:pPr>
        <w:pStyle w:val="Heading3"/>
      </w:pPr>
      <w:r w:rsidRPr="00524435">
        <w:t>Precautionary measures lifted by country (2021)</w:t>
      </w:r>
    </w:p>
    <w:p w14:paraId="3CDD0EEE" w14:textId="77777777" w:rsidR="00507C2D" w:rsidRPr="00524435" w:rsidRDefault="00507C2D" w:rsidP="00CC4DC3">
      <w:pPr>
        <w:pStyle w:val="NoSpacing"/>
      </w:pPr>
    </w:p>
    <w:p w14:paraId="07928D7E" w14:textId="77777777" w:rsidR="00507C2D" w:rsidRPr="00524435" w:rsidRDefault="00507C2D" w:rsidP="00CC4DC3">
      <w:pPr>
        <w:pStyle w:val="NoSpacing"/>
      </w:pPr>
    </w:p>
    <w:p w14:paraId="1C4AC3C3" w14:textId="6C6E7EE7" w:rsidR="00507C2D" w:rsidRPr="00524435" w:rsidRDefault="00686501" w:rsidP="00686501">
      <w:pPr>
        <w:pStyle w:val="NoSpacing"/>
      </w:pPr>
      <w:r w:rsidRPr="00524435">
        <w:rPr>
          <w:noProof/>
          <w:sz w:val="20"/>
          <w:szCs w:val="20"/>
        </w:rPr>
        <w:drawing>
          <wp:inline distT="0" distB="0" distL="0" distR="0" wp14:anchorId="6607464C" wp14:editId="4A2384B5">
            <wp:extent cx="5943600" cy="4668954"/>
            <wp:effectExtent l="0" t="0" r="0" b="0"/>
            <wp:docPr id="49" name="Picture 4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bar chart&#10;&#10;Description automatically generated"/>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43600" cy="4668954"/>
                    </a:xfrm>
                    <a:prstGeom prst="rect">
                      <a:avLst/>
                    </a:prstGeom>
                    <a:noFill/>
                  </pic:spPr>
                </pic:pic>
              </a:graphicData>
            </a:graphic>
          </wp:inline>
        </w:drawing>
      </w:r>
    </w:p>
    <w:p w14:paraId="7B44D106" w14:textId="77777777" w:rsidR="00507C2D" w:rsidRPr="00524435" w:rsidRDefault="00507C2D" w:rsidP="00CC4DC3">
      <w:pPr>
        <w:pStyle w:val="NoSpacing"/>
      </w:pPr>
      <w:r w:rsidRPr="00524435">
        <w:br w:type="page"/>
      </w:r>
    </w:p>
    <w:p w14:paraId="1A13D46F" w14:textId="77777777" w:rsidR="00507C2D" w:rsidRPr="00524435" w:rsidRDefault="00507C2D" w:rsidP="00CC4DC3">
      <w:pPr>
        <w:pStyle w:val="NoSpacing"/>
      </w:pPr>
    </w:p>
    <w:p w14:paraId="05C9668B" w14:textId="77777777" w:rsidR="00507C2D" w:rsidRPr="00524435" w:rsidRDefault="00507C2D" w:rsidP="00CC4DC3">
      <w:pPr>
        <w:pStyle w:val="NoSpacing"/>
      </w:pPr>
    </w:p>
    <w:p w14:paraId="11E86714" w14:textId="79468392" w:rsidR="00507C2D" w:rsidRDefault="00507C2D" w:rsidP="00E82663">
      <w:pPr>
        <w:pStyle w:val="Heading3"/>
      </w:pPr>
      <w:r w:rsidRPr="00524435">
        <w:t>Thematic reports approved per year</w:t>
      </w:r>
    </w:p>
    <w:p w14:paraId="21326F41" w14:textId="26E2C3CB" w:rsidR="00292505" w:rsidRDefault="00292505" w:rsidP="00292505">
      <w:pPr>
        <w:spacing w:after="0" w:line="240" w:lineRule="auto"/>
      </w:pPr>
    </w:p>
    <w:p w14:paraId="0D3AA816" w14:textId="77777777" w:rsidR="00292505" w:rsidRDefault="00292505" w:rsidP="00292505">
      <w:pPr>
        <w:spacing w:after="0" w:line="240" w:lineRule="auto"/>
        <w:jc w:val="both"/>
        <w:rPr>
          <w:sz w:val="20"/>
          <w:szCs w:val="20"/>
          <w:lang w:val="es-ES"/>
        </w:rPr>
      </w:pPr>
    </w:p>
    <w:p w14:paraId="1E4F193A" w14:textId="77777777" w:rsidR="00292505" w:rsidRDefault="00292505" w:rsidP="00292505">
      <w:pPr>
        <w:spacing w:after="0" w:line="240" w:lineRule="auto"/>
        <w:jc w:val="both"/>
        <w:rPr>
          <w:sz w:val="20"/>
          <w:szCs w:val="20"/>
          <w:lang w:val="es-ES"/>
        </w:rPr>
      </w:pPr>
      <w:r>
        <w:rPr>
          <w:noProof/>
          <w:sz w:val="20"/>
          <w:szCs w:val="20"/>
          <w:lang w:val="es-ES"/>
        </w:rPr>
        <w:drawing>
          <wp:inline distT="0" distB="0" distL="0" distR="0" wp14:anchorId="30410571" wp14:editId="03353867">
            <wp:extent cx="5558566" cy="4773930"/>
            <wp:effectExtent l="0" t="0" r="4445" b="7620"/>
            <wp:docPr id="53" name="Picture 5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bar chart&#10;&#10;Description automatically generated"/>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558566" cy="4773930"/>
                    </a:xfrm>
                    <a:prstGeom prst="rect">
                      <a:avLst/>
                    </a:prstGeom>
                    <a:noFill/>
                  </pic:spPr>
                </pic:pic>
              </a:graphicData>
            </a:graphic>
          </wp:inline>
        </w:drawing>
      </w:r>
    </w:p>
    <w:p w14:paraId="5B87999D" w14:textId="77777777" w:rsidR="00292505" w:rsidRDefault="00292505" w:rsidP="00292505">
      <w:pPr>
        <w:spacing w:after="0" w:line="240" w:lineRule="auto"/>
        <w:jc w:val="both"/>
        <w:rPr>
          <w:sz w:val="20"/>
          <w:szCs w:val="20"/>
          <w:lang w:val="es-ES"/>
        </w:rPr>
      </w:pPr>
    </w:p>
    <w:p w14:paraId="72A4419C" w14:textId="77777777" w:rsidR="00292505" w:rsidRDefault="00292505" w:rsidP="00292505">
      <w:pPr>
        <w:spacing w:after="0" w:line="240" w:lineRule="auto"/>
        <w:jc w:val="both"/>
        <w:rPr>
          <w:sz w:val="18"/>
          <w:szCs w:val="18"/>
        </w:rPr>
      </w:pPr>
    </w:p>
    <w:p w14:paraId="0840CFCD" w14:textId="3308C617" w:rsidR="00292505" w:rsidRPr="00C05D04" w:rsidRDefault="00292505" w:rsidP="00292505">
      <w:pPr>
        <w:spacing w:after="0" w:line="240" w:lineRule="auto"/>
        <w:jc w:val="both"/>
        <w:rPr>
          <w:sz w:val="18"/>
          <w:szCs w:val="18"/>
        </w:rPr>
      </w:pPr>
      <w:r w:rsidRPr="00C05D04">
        <w:rPr>
          <w:sz w:val="18"/>
          <w:szCs w:val="18"/>
        </w:rPr>
        <w:t>In 2021 the IACHR approved 10 thematic reports and 2 country reports. The thematic reporte</w:t>
      </w:r>
      <w:r>
        <w:rPr>
          <w:sz w:val="18"/>
          <w:szCs w:val="18"/>
        </w:rPr>
        <w:t>d</w:t>
      </w:r>
      <w:r w:rsidRPr="00C05D04">
        <w:rPr>
          <w:sz w:val="18"/>
          <w:szCs w:val="18"/>
        </w:rPr>
        <w:t xml:space="preserve"> of the IACHR include other documents and studies.</w:t>
      </w:r>
    </w:p>
    <w:p w14:paraId="647DF88B" w14:textId="77777777" w:rsidR="00292505" w:rsidRPr="00292505" w:rsidRDefault="00292505" w:rsidP="00292505">
      <w:pPr>
        <w:spacing w:after="0" w:line="240" w:lineRule="auto"/>
      </w:pPr>
    </w:p>
    <w:sectPr w:rsidR="00292505" w:rsidRPr="00292505" w:rsidSect="00CC1D0A">
      <w:headerReference w:type="default" r:id="rId238"/>
      <w:footerReference w:type="default" r:id="rId239"/>
      <w:headerReference w:type="first" r:id="rId240"/>
      <w:pgSz w:w="12240" w:h="15840" w:code="1"/>
      <w:pgMar w:top="1440" w:right="1440" w:bottom="1440" w:left="1440" w:header="706" w:footer="706" w:gutter="0"/>
      <w:pgNumType w:start="11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7073A" w14:textId="77777777" w:rsidR="008017FC" w:rsidRDefault="008017FC" w:rsidP="00025891">
      <w:pPr>
        <w:spacing w:after="0" w:line="240" w:lineRule="auto"/>
      </w:pPr>
      <w:r>
        <w:separator/>
      </w:r>
    </w:p>
    <w:p w14:paraId="03CD329C" w14:textId="77777777" w:rsidR="008017FC" w:rsidRDefault="008017FC"/>
  </w:endnote>
  <w:endnote w:type="continuationSeparator" w:id="0">
    <w:p w14:paraId="1C3731F1" w14:textId="77777777" w:rsidR="008017FC" w:rsidRDefault="008017FC" w:rsidP="00025891">
      <w:pPr>
        <w:spacing w:after="0" w:line="240" w:lineRule="auto"/>
      </w:pPr>
      <w:r>
        <w:continuationSeparator/>
      </w:r>
    </w:p>
    <w:p w14:paraId="0C83AED0" w14:textId="77777777" w:rsidR="008017FC" w:rsidRDefault="008017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ucida Grande">
    <w:altName w:val="Segoe UI"/>
    <w:charset w:val="00"/>
    <w:family w:val="auto"/>
    <w:pitch w:val="variable"/>
    <w:sig w:usb0="00000000"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274284"/>
      <w:docPartObj>
        <w:docPartGallery w:val="Page Numbers (Bottom of Page)"/>
        <w:docPartUnique/>
      </w:docPartObj>
    </w:sdtPr>
    <w:sdtEndPr>
      <w:rPr>
        <w:noProof/>
        <w:sz w:val="20"/>
        <w:szCs w:val="20"/>
      </w:rPr>
    </w:sdtEndPr>
    <w:sdtContent>
      <w:p w14:paraId="24B17E03" w14:textId="2BB03053" w:rsidR="00F756FC" w:rsidRPr="008C6349" w:rsidRDefault="00F756FC" w:rsidP="008C6349">
        <w:pPr>
          <w:pStyle w:val="Footer"/>
          <w:jc w:val="center"/>
          <w:rPr>
            <w:sz w:val="20"/>
            <w:szCs w:val="20"/>
          </w:rPr>
        </w:pPr>
        <w:r w:rsidRPr="008C6349">
          <w:rPr>
            <w:sz w:val="20"/>
            <w:szCs w:val="20"/>
          </w:rPr>
          <w:fldChar w:fldCharType="begin"/>
        </w:r>
        <w:r w:rsidRPr="008C6349">
          <w:rPr>
            <w:sz w:val="20"/>
            <w:szCs w:val="20"/>
          </w:rPr>
          <w:instrText xml:space="preserve"> PAGE   \* MERGEFORMAT </w:instrText>
        </w:r>
        <w:r w:rsidRPr="008C6349">
          <w:rPr>
            <w:sz w:val="20"/>
            <w:szCs w:val="20"/>
          </w:rPr>
          <w:fldChar w:fldCharType="separate"/>
        </w:r>
        <w:r w:rsidR="00B5755A" w:rsidRPr="008C6349">
          <w:rPr>
            <w:noProof/>
            <w:sz w:val="20"/>
            <w:szCs w:val="20"/>
          </w:rPr>
          <w:t>8</w:t>
        </w:r>
        <w:r w:rsidRPr="008C6349">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DC655" w14:textId="77777777" w:rsidR="008017FC" w:rsidRDefault="008017FC" w:rsidP="00977CC8">
      <w:pPr>
        <w:spacing w:after="120" w:line="240" w:lineRule="auto"/>
      </w:pPr>
      <w:r>
        <w:separator/>
      </w:r>
    </w:p>
  </w:footnote>
  <w:footnote w:type="continuationSeparator" w:id="0">
    <w:p w14:paraId="51CE5AA4" w14:textId="77777777" w:rsidR="008017FC" w:rsidRDefault="008017FC" w:rsidP="00025891">
      <w:pPr>
        <w:spacing w:after="0" w:line="240" w:lineRule="auto"/>
      </w:pPr>
      <w:r>
        <w:continuationSeparator/>
      </w:r>
    </w:p>
    <w:p w14:paraId="74782615" w14:textId="77777777" w:rsidR="008017FC" w:rsidRDefault="008017FC"/>
  </w:footnote>
  <w:footnote w:id="1">
    <w:p w14:paraId="71EF7282" w14:textId="3D03C4B3" w:rsidR="00F756FC" w:rsidRPr="0048555E" w:rsidRDefault="00F756FC"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It should be noted that, in accordance with the provisions of Article 17.2.a of the Commission's Rules of Procedure, Commissioner Esmeralda </w:t>
      </w:r>
      <w:proofErr w:type="spellStart"/>
      <w:r w:rsidRPr="0048555E">
        <w:rPr>
          <w:rFonts w:ascii="Cambria" w:hAnsi="Cambria"/>
          <w:sz w:val="16"/>
          <w:szCs w:val="16"/>
        </w:rPr>
        <w:t>Arosemena</w:t>
      </w:r>
      <w:proofErr w:type="spellEnd"/>
      <w:r w:rsidRPr="0048555E">
        <w:rPr>
          <w:rFonts w:ascii="Cambria" w:hAnsi="Cambria"/>
          <w:sz w:val="16"/>
          <w:szCs w:val="16"/>
        </w:rPr>
        <w:t xml:space="preserve"> de </w:t>
      </w:r>
      <w:proofErr w:type="spellStart"/>
      <w:r w:rsidRPr="0048555E">
        <w:rPr>
          <w:rFonts w:ascii="Cambria" w:hAnsi="Cambria"/>
          <w:sz w:val="16"/>
          <w:szCs w:val="16"/>
        </w:rPr>
        <w:t>Troitiño</w:t>
      </w:r>
      <w:proofErr w:type="spellEnd"/>
      <w:r w:rsidRPr="0048555E">
        <w:rPr>
          <w:rFonts w:ascii="Cambria" w:hAnsi="Cambria"/>
          <w:sz w:val="16"/>
          <w:szCs w:val="16"/>
        </w:rPr>
        <w:t xml:space="preserve">, a national of Panama, did not participate in the debate or in the conclusions of the reports or precautionary measures referring to that country; nor did Commissioners Joel Hernández García in the case of Mexico; Antonia Urrejola </w:t>
      </w:r>
      <w:proofErr w:type="spellStart"/>
      <w:r w:rsidRPr="0048555E">
        <w:rPr>
          <w:rFonts w:ascii="Cambria" w:hAnsi="Cambria"/>
          <w:sz w:val="16"/>
          <w:szCs w:val="16"/>
        </w:rPr>
        <w:t>Noguera</w:t>
      </w:r>
      <w:proofErr w:type="spellEnd"/>
      <w:r w:rsidRPr="0048555E">
        <w:rPr>
          <w:rFonts w:ascii="Cambria" w:hAnsi="Cambria"/>
          <w:sz w:val="16"/>
          <w:szCs w:val="16"/>
        </w:rPr>
        <w:t xml:space="preserve"> in the case of Chile; Margarette May Macaulay, in the case of Jamaica; Julissa Mantilla in the case of Peru; </w:t>
      </w:r>
      <w:proofErr w:type="spellStart"/>
      <w:r w:rsidRPr="0048555E">
        <w:rPr>
          <w:rFonts w:ascii="Cambria" w:hAnsi="Cambria"/>
          <w:sz w:val="16"/>
          <w:szCs w:val="16"/>
        </w:rPr>
        <w:t>Stuardo</w:t>
      </w:r>
      <w:proofErr w:type="spellEnd"/>
      <w:r w:rsidRPr="0048555E">
        <w:rPr>
          <w:rFonts w:ascii="Cambria" w:hAnsi="Cambria"/>
          <w:sz w:val="16"/>
          <w:szCs w:val="16"/>
        </w:rPr>
        <w:t xml:space="preserve"> </w:t>
      </w:r>
      <w:proofErr w:type="spellStart"/>
      <w:r w:rsidRPr="0048555E">
        <w:rPr>
          <w:rFonts w:ascii="Cambria" w:hAnsi="Cambria"/>
          <w:sz w:val="16"/>
          <w:szCs w:val="16"/>
        </w:rPr>
        <w:t>Ralon</w:t>
      </w:r>
      <w:proofErr w:type="spellEnd"/>
      <w:r w:rsidRPr="0048555E">
        <w:rPr>
          <w:rFonts w:ascii="Cambria" w:hAnsi="Cambria"/>
          <w:sz w:val="16"/>
          <w:szCs w:val="16"/>
        </w:rPr>
        <w:t xml:space="preserve"> in the case of Guatemala; or </w:t>
      </w:r>
      <w:proofErr w:type="spellStart"/>
      <w:r w:rsidRPr="0048555E">
        <w:rPr>
          <w:rFonts w:ascii="Cambria" w:hAnsi="Cambria"/>
          <w:sz w:val="16"/>
          <w:szCs w:val="16"/>
        </w:rPr>
        <w:t>Flávia</w:t>
      </w:r>
      <w:proofErr w:type="spellEnd"/>
      <w:r w:rsidRPr="0048555E">
        <w:rPr>
          <w:rFonts w:ascii="Cambria" w:hAnsi="Cambria"/>
          <w:sz w:val="16"/>
          <w:szCs w:val="16"/>
        </w:rPr>
        <w:t xml:space="preserve"> </w:t>
      </w:r>
      <w:proofErr w:type="spellStart"/>
      <w:r w:rsidRPr="0048555E">
        <w:rPr>
          <w:rFonts w:ascii="Cambria" w:hAnsi="Cambria"/>
          <w:sz w:val="16"/>
          <w:szCs w:val="16"/>
        </w:rPr>
        <w:t>Piovesan</w:t>
      </w:r>
      <w:proofErr w:type="spellEnd"/>
      <w:r w:rsidRPr="0048555E">
        <w:rPr>
          <w:rFonts w:ascii="Cambria" w:hAnsi="Cambria"/>
          <w:sz w:val="16"/>
          <w:szCs w:val="16"/>
        </w:rPr>
        <w:t xml:space="preserve"> in the case of Brazil.</w:t>
      </w:r>
    </w:p>
  </w:footnote>
  <w:footnote w:id="2">
    <w:p w14:paraId="1B5E262B" w14:textId="77777777" w:rsidR="00F756FC" w:rsidRPr="0048555E" w:rsidRDefault="00F756FC"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Cases 11.545 Martha </w:t>
      </w:r>
      <w:proofErr w:type="spellStart"/>
      <w:r w:rsidRPr="0048555E">
        <w:rPr>
          <w:rFonts w:ascii="Cambria" w:hAnsi="Cambria"/>
          <w:sz w:val="16"/>
          <w:szCs w:val="16"/>
        </w:rPr>
        <w:t>Saire</w:t>
      </w:r>
      <w:proofErr w:type="spellEnd"/>
      <w:r w:rsidRPr="0048555E">
        <w:rPr>
          <w:rFonts w:ascii="Cambria" w:hAnsi="Cambria"/>
          <w:sz w:val="16"/>
          <w:szCs w:val="16"/>
        </w:rPr>
        <w:t xml:space="preserve"> of Honduras; and friendly settlement agreements approved by Reports No. </w:t>
      </w:r>
      <w:r w:rsidRPr="0048555E">
        <w:rPr>
          <w:rStyle w:val="Nenhum"/>
          <w:rFonts w:ascii="Cambria" w:hAnsi="Cambria"/>
          <w:sz w:val="16"/>
          <w:szCs w:val="16"/>
        </w:rPr>
        <w:t>20/07, 71/07, 20/08 and 22/11</w:t>
      </w:r>
      <w:r w:rsidRPr="0048555E">
        <w:rPr>
          <w:rFonts w:ascii="Cambria" w:hAnsi="Cambria"/>
          <w:sz w:val="16"/>
          <w:szCs w:val="16"/>
        </w:rPr>
        <w:t>.</w:t>
      </w:r>
    </w:p>
  </w:footnote>
  <w:footnote w:id="3">
    <w:p w14:paraId="05EAF1E7" w14:textId="77777777" w:rsidR="00F756FC" w:rsidRPr="0048555E" w:rsidRDefault="00F756FC"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In this regard, see: Canal CIDH (IACHR Channel) website. Available at: </w:t>
      </w:r>
      <w:hyperlink r:id="rId1" w:history="1">
        <w:r w:rsidRPr="0048555E">
          <w:rPr>
            <w:rStyle w:val="Hyperlink"/>
            <w:rFonts w:ascii="Cambria" w:hAnsi="Cambria"/>
            <w:sz w:val="16"/>
            <w:szCs w:val="16"/>
          </w:rPr>
          <w:t>https://www.canalcidh.org/</w:t>
        </w:r>
      </w:hyperlink>
      <w:r w:rsidRPr="0048555E">
        <w:rPr>
          <w:rFonts w:ascii="Cambria" w:hAnsi="Cambria"/>
          <w:sz w:val="16"/>
          <w:szCs w:val="16"/>
        </w:rPr>
        <w:t xml:space="preserve"> </w:t>
      </w:r>
    </w:p>
  </w:footnote>
  <w:footnote w:id="4">
    <w:p w14:paraId="214ED9D3" w14:textId="77777777" w:rsidR="00F756FC" w:rsidRPr="0048555E" w:rsidRDefault="00F756FC"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In this regard see, IACHR Canal. </w:t>
      </w:r>
      <w:hyperlink r:id="rId2" w:history="1">
        <w:r w:rsidRPr="0048555E">
          <w:rPr>
            <w:rStyle w:val="Hyperlink"/>
            <w:rFonts w:ascii="Cambria" w:hAnsi="Cambria"/>
            <w:sz w:val="16"/>
            <w:szCs w:val="16"/>
          </w:rPr>
          <w:t>Graciela Ramos Rocha's struggle for justice and decent housing for her family</w:t>
        </w:r>
      </w:hyperlink>
      <w:r w:rsidRPr="0048555E">
        <w:rPr>
          <w:rFonts w:ascii="Cambria" w:hAnsi="Cambria"/>
          <w:sz w:val="16"/>
          <w:szCs w:val="16"/>
        </w:rPr>
        <w:t>.</w:t>
      </w:r>
    </w:p>
  </w:footnote>
  <w:footnote w:id="5">
    <w:p w14:paraId="69074240" w14:textId="77777777" w:rsidR="00F756FC" w:rsidRPr="0048555E" w:rsidRDefault="00F756FC"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In this regard see, IACHR Canal. </w:t>
      </w:r>
      <w:hyperlink r:id="rId3" w:history="1">
        <w:r w:rsidRPr="0048555E">
          <w:rPr>
            <w:rStyle w:val="Hyperlink"/>
            <w:rFonts w:ascii="Cambria" w:hAnsi="Cambria"/>
            <w:sz w:val="16"/>
            <w:szCs w:val="16"/>
          </w:rPr>
          <w:t>A peasant woman and mother of seven children, María Mamérita Mestanza was forced to have her tubes tied.</w:t>
        </w:r>
      </w:hyperlink>
      <w:hyperlink r:id="rId4" w:history="1">
        <w:r w:rsidRPr="0048555E">
          <w:rPr>
            <w:rStyle w:val="Hyperlink"/>
            <w:rFonts w:ascii="Cambria" w:hAnsi="Cambria"/>
            <w:sz w:val="16"/>
            <w:szCs w:val="16"/>
          </w:rPr>
          <w:t xml:space="preserve"> Died of postoperative complications one month later</w:t>
        </w:r>
      </w:hyperlink>
      <w:r w:rsidRPr="0048555E">
        <w:rPr>
          <w:rFonts w:ascii="Cambria" w:hAnsi="Cambria"/>
          <w:sz w:val="16"/>
          <w:szCs w:val="16"/>
        </w:rPr>
        <w:t>.</w:t>
      </w:r>
    </w:p>
  </w:footnote>
  <w:footnote w:id="6">
    <w:p w14:paraId="56857FD8" w14:textId="77777777" w:rsidR="00F756FC" w:rsidRPr="0048555E" w:rsidRDefault="00F756FC"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In this regard see, IACHR Canal. </w:t>
      </w:r>
      <w:hyperlink r:id="rId5" w:history="1">
        <w:r w:rsidRPr="0048555E">
          <w:rPr>
            <w:rStyle w:val="Hyperlink"/>
            <w:rFonts w:ascii="Cambria" w:hAnsi="Cambria"/>
            <w:sz w:val="16"/>
            <w:szCs w:val="16"/>
          </w:rPr>
          <w:t>"We have a right to housing.</w:t>
        </w:r>
      </w:hyperlink>
      <w:hyperlink r:id="rId6" w:history="1">
        <w:r w:rsidRPr="0048555E">
          <w:rPr>
            <w:rStyle w:val="Hyperlink"/>
            <w:rFonts w:ascii="Cambria" w:hAnsi="Cambria"/>
            <w:sz w:val="16"/>
            <w:szCs w:val="16"/>
          </w:rPr>
          <w:t xml:space="preserve"> We are not trash."</w:t>
        </w:r>
      </w:hyperlink>
    </w:p>
  </w:footnote>
  <w:footnote w:id="7">
    <w:p w14:paraId="5A865F34" w14:textId="77777777" w:rsidR="00F756FC" w:rsidRPr="0048555E" w:rsidRDefault="00F756FC" w:rsidP="00655B94">
      <w:pPr>
        <w:pBdr>
          <w:top w:val="nil"/>
          <w:left w:val="nil"/>
          <w:bottom w:val="nil"/>
          <w:right w:val="nil"/>
          <w:between w:val="nil"/>
          <w:bar w:val="nil"/>
        </w:pBdr>
        <w:spacing w:after="120" w:line="240" w:lineRule="auto"/>
        <w:ind w:firstLine="720"/>
        <w:jc w:val="both"/>
        <w:rPr>
          <w:rFonts w:ascii="Cambria" w:hAnsi="Cambria" w:cs="Calibri Light"/>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r w:rsidRPr="0048555E">
        <w:rPr>
          <w:rStyle w:val="Nenhum"/>
          <w:rFonts w:ascii="Cambria" w:hAnsi="Cambria"/>
          <w:sz w:val="16"/>
          <w:szCs w:val="16"/>
        </w:rPr>
        <w:t xml:space="preserve">On September 23, 2021, Commissioner Julissa Mantilla, IACHR Rapporteur for Argentina, participated in the signing of the agreement and acknowledgement of responsibility regarding Petition P-1256-05 Ivana </w:t>
      </w:r>
      <w:proofErr w:type="spellStart"/>
      <w:r w:rsidRPr="0048555E">
        <w:rPr>
          <w:rStyle w:val="Nenhum"/>
          <w:rFonts w:ascii="Cambria" w:hAnsi="Cambria"/>
          <w:sz w:val="16"/>
          <w:szCs w:val="16"/>
        </w:rPr>
        <w:t>Emilce</w:t>
      </w:r>
      <w:proofErr w:type="spellEnd"/>
      <w:r w:rsidRPr="0048555E">
        <w:rPr>
          <w:rStyle w:val="Nenhum"/>
          <w:rFonts w:ascii="Cambria" w:hAnsi="Cambria"/>
          <w:sz w:val="16"/>
          <w:szCs w:val="16"/>
        </w:rPr>
        <w:t xml:space="preserve"> Rosales of Argentina. Available at: </w:t>
      </w:r>
      <w:hyperlink r:id="rId7" w:history="1">
        <w:r w:rsidRPr="0048555E">
          <w:rPr>
            <w:rStyle w:val="Hyperlink"/>
            <w:rFonts w:ascii="Cambria" w:hAnsi="Cambria"/>
            <w:sz w:val="16"/>
            <w:szCs w:val="16"/>
          </w:rPr>
          <w:t>https://www.youtube.com/watch?v=u24ONB4Mhys</w:t>
        </w:r>
      </w:hyperlink>
      <w:r w:rsidRPr="0048555E">
        <w:rPr>
          <w:rStyle w:val="Nenhum"/>
          <w:rFonts w:ascii="Cambria" w:hAnsi="Cambria"/>
          <w:sz w:val="16"/>
          <w:szCs w:val="16"/>
        </w:rPr>
        <w:t xml:space="preserve"> </w:t>
      </w:r>
    </w:p>
  </w:footnote>
  <w:footnote w:id="8">
    <w:p w14:paraId="6FFF30A5" w14:textId="77777777" w:rsidR="00F756FC" w:rsidRPr="0048555E" w:rsidRDefault="00F756FC" w:rsidP="00655B94">
      <w:pPr>
        <w:spacing w:after="120" w:line="240" w:lineRule="auto"/>
        <w:ind w:firstLine="720"/>
        <w:jc w:val="both"/>
        <w:rPr>
          <w:rFonts w:ascii="Cambria" w:hAnsi="Cambria" w:cs="Calibri Light"/>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r w:rsidRPr="0048555E">
        <w:rPr>
          <w:rStyle w:val="Nenhum"/>
          <w:rFonts w:ascii="Cambria" w:hAnsi="Cambria"/>
          <w:sz w:val="16"/>
          <w:szCs w:val="16"/>
        </w:rPr>
        <w:t>On August 3, 2021, Commissioner Joel Hernandez, IACHR Rapporteur for Chile, participated in the signing ceremony of the friendly settlement agreement in Case 12.956 F.S. de Chile</w:t>
      </w:r>
      <w:r w:rsidRPr="0048555E">
        <w:rPr>
          <w:rFonts w:ascii="Cambria" w:hAnsi="Cambria"/>
          <w:sz w:val="16"/>
          <w:szCs w:val="16"/>
        </w:rPr>
        <w:t xml:space="preserve">.  </w:t>
      </w:r>
    </w:p>
  </w:footnote>
  <w:footnote w:id="9">
    <w:p w14:paraId="2BFA1338" w14:textId="171713F0" w:rsidR="00F756FC" w:rsidRPr="0048555E" w:rsidRDefault="00F756FC" w:rsidP="00655B94">
      <w:pPr>
        <w:shd w:val="clear" w:color="auto" w:fill="FFFFFF"/>
        <w:spacing w:after="120" w:line="240" w:lineRule="auto"/>
        <w:ind w:firstLine="720"/>
        <w:jc w:val="both"/>
        <w:outlineLvl w:val="0"/>
        <w:rPr>
          <w:rFonts w:ascii="Cambria" w:hAnsi="Cambria" w:cs="Calibri Light"/>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Commissioner Antonia Urrejola participated in acts of acknowledgment of responsibility in cases in Colombia in her capacity as IACHR Presiding Commissioner and Rapporteur for the country, on the following dates and regarding the following cases:</w:t>
      </w:r>
      <w:r w:rsidRPr="0048555E">
        <w:rPr>
          <w:rStyle w:val="Nenhum"/>
          <w:rFonts w:ascii="Cambria" w:hAnsi="Cambria"/>
          <w:sz w:val="16"/>
          <w:szCs w:val="16"/>
        </w:rPr>
        <w:t xml:space="preserve"> on February 25, 2021, in Case 13,171 Luis </w:t>
      </w:r>
      <w:proofErr w:type="spellStart"/>
      <w:r w:rsidRPr="0048555E">
        <w:rPr>
          <w:rStyle w:val="Nenhum"/>
          <w:rFonts w:ascii="Cambria" w:hAnsi="Cambria"/>
          <w:sz w:val="16"/>
          <w:szCs w:val="16"/>
        </w:rPr>
        <w:t>Argemiro</w:t>
      </w:r>
      <w:proofErr w:type="spellEnd"/>
      <w:r w:rsidRPr="0048555E">
        <w:rPr>
          <w:rStyle w:val="Nenhum"/>
          <w:rFonts w:ascii="Cambria" w:hAnsi="Cambria"/>
          <w:sz w:val="16"/>
          <w:szCs w:val="16"/>
        </w:rPr>
        <w:t xml:space="preserve"> Gómez; on May 18, 2021, in Case </w:t>
      </w:r>
      <w:r w:rsidRPr="0048555E">
        <w:rPr>
          <w:rFonts w:ascii="Cambria" w:hAnsi="Cambria"/>
          <w:color w:val="333333"/>
          <w:sz w:val="16"/>
          <w:szCs w:val="16"/>
        </w:rPr>
        <w:t>13.571 Carlos Mario Muñoz Gómez;</w:t>
      </w:r>
      <w:r w:rsidRPr="0048555E">
        <w:rPr>
          <w:rFonts w:ascii="Cambria" w:hAnsi="Cambria"/>
          <w:sz w:val="16"/>
          <w:szCs w:val="16"/>
        </w:rPr>
        <w:t xml:space="preserve"> on August 4, 2021, in Case 13.226 Dora Inés </w:t>
      </w:r>
      <w:proofErr w:type="spellStart"/>
      <w:r w:rsidRPr="0048555E">
        <w:rPr>
          <w:rFonts w:ascii="Cambria" w:hAnsi="Cambria"/>
          <w:sz w:val="16"/>
          <w:szCs w:val="16"/>
        </w:rPr>
        <w:t>Meneses</w:t>
      </w:r>
      <w:proofErr w:type="spellEnd"/>
      <w:r w:rsidRPr="0048555E">
        <w:rPr>
          <w:rFonts w:ascii="Cambria" w:hAnsi="Cambria"/>
          <w:sz w:val="16"/>
          <w:szCs w:val="16"/>
        </w:rPr>
        <w:t xml:space="preserve"> </w:t>
      </w:r>
      <w:r w:rsidRPr="0048555E">
        <w:rPr>
          <w:rStyle w:val="Nenhum"/>
          <w:rFonts w:ascii="Cambria" w:hAnsi="Cambria"/>
          <w:sz w:val="16"/>
          <w:szCs w:val="16"/>
        </w:rPr>
        <w:t>on October 22, 2021, in Case 13.758, Franklin Bustamante Restrepo; on November 5, 2021</w:t>
      </w:r>
      <w:r w:rsidRPr="0048555E">
        <w:rPr>
          <w:rFonts w:ascii="Cambria" w:hAnsi="Cambria"/>
          <w:sz w:val="16"/>
          <w:szCs w:val="16"/>
        </w:rPr>
        <w:t xml:space="preserve">, in Petition P-514- 11, Luis Hernando </w:t>
      </w:r>
      <w:proofErr w:type="spellStart"/>
      <w:r w:rsidRPr="0048555E">
        <w:rPr>
          <w:rFonts w:ascii="Cambria" w:hAnsi="Cambria"/>
          <w:sz w:val="16"/>
          <w:szCs w:val="16"/>
        </w:rPr>
        <w:t>Morera</w:t>
      </w:r>
      <w:proofErr w:type="spellEnd"/>
      <w:r w:rsidRPr="0048555E">
        <w:rPr>
          <w:rFonts w:ascii="Cambria" w:hAnsi="Cambria"/>
          <w:sz w:val="16"/>
          <w:szCs w:val="16"/>
        </w:rPr>
        <w:t xml:space="preserve"> Garzón; and on November 16, 2021, in Petition P-535-17, Luis Gerardo </w:t>
      </w:r>
      <w:proofErr w:type="spellStart"/>
      <w:r w:rsidRPr="0048555E">
        <w:rPr>
          <w:rFonts w:ascii="Cambria" w:hAnsi="Cambria"/>
          <w:sz w:val="16"/>
          <w:szCs w:val="16"/>
        </w:rPr>
        <w:t>Bermúdez</w:t>
      </w:r>
      <w:proofErr w:type="spellEnd"/>
      <w:r w:rsidRPr="0048555E">
        <w:rPr>
          <w:rFonts w:ascii="Cambria" w:hAnsi="Cambria"/>
          <w:sz w:val="16"/>
          <w:szCs w:val="16"/>
        </w:rPr>
        <w:t xml:space="preserve">. Available at: </w:t>
      </w:r>
      <w:hyperlink r:id="rId8" w:history="1">
        <w:r w:rsidRPr="0048555E">
          <w:rPr>
            <w:rStyle w:val="Hyperlink"/>
            <w:rFonts w:ascii="Cambria" w:hAnsi="Cambria"/>
            <w:sz w:val="16"/>
            <w:szCs w:val="16"/>
          </w:rPr>
          <w:t>ANDJE's YouTube</w:t>
        </w:r>
      </w:hyperlink>
      <w:r w:rsidRPr="0048555E">
        <w:rPr>
          <w:rStyle w:val="Nenhum"/>
          <w:rFonts w:ascii="Cambria" w:hAnsi="Cambria"/>
          <w:sz w:val="16"/>
          <w:szCs w:val="16"/>
          <w:u w:val="single"/>
        </w:rPr>
        <w:t>.</w:t>
      </w:r>
    </w:p>
    <w:p w14:paraId="33C006C3" w14:textId="77777777" w:rsidR="00F756FC" w:rsidRPr="0048555E" w:rsidRDefault="00F756FC" w:rsidP="00655B94">
      <w:pPr>
        <w:pStyle w:val="ListParagraph"/>
        <w:numPr>
          <w:ilvl w:val="0"/>
          <w:numId w:val="0"/>
        </w:numPr>
        <w:spacing w:after="120"/>
        <w:ind w:left="720"/>
        <w:rPr>
          <w:rFonts w:cs="Calibri Light"/>
          <w:sz w:val="16"/>
          <w:szCs w:val="16"/>
        </w:rPr>
      </w:pPr>
      <w:r w:rsidRPr="0048555E">
        <w:rPr>
          <w:sz w:val="16"/>
          <w:szCs w:val="16"/>
        </w:rPr>
        <w:t xml:space="preserve">Also, on November 9, 2021, the Assistant Executive Secretary for the Area of Petitions and Cases of the Executive Secretariat of the IACHR, Marisol Blanchard, participated in a private meeting to acknowledge responsibility </w:t>
      </w:r>
      <w:proofErr w:type="gramStart"/>
      <w:r w:rsidRPr="0048555E">
        <w:rPr>
          <w:sz w:val="16"/>
          <w:szCs w:val="16"/>
        </w:rPr>
        <w:t>with regard to</w:t>
      </w:r>
      <w:proofErr w:type="gramEnd"/>
      <w:r w:rsidRPr="0048555E">
        <w:rPr>
          <w:sz w:val="16"/>
          <w:szCs w:val="16"/>
        </w:rPr>
        <w:t xml:space="preserve"> Petition P- 1391-15 Mario Cardona of Colombia.    </w:t>
      </w:r>
    </w:p>
    <w:p w14:paraId="68D04240" w14:textId="77777777" w:rsidR="00F756FC" w:rsidRPr="0048555E" w:rsidRDefault="00F756FC" w:rsidP="00655B94">
      <w:pPr>
        <w:pStyle w:val="ListParagraph"/>
        <w:numPr>
          <w:ilvl w:val="0"/>
          <w:numId w:val="0"/>
        </w:numPr>
        <w:spacing w:after="120"/>
        <w:ind w:left="720"/>
        <w:rPr>
          <w:rFonts w:cs="Calibri Light"/>
          <w:sz w:val="16"/>
          <w:szCs w:val="16"/>
        </w:rPr>
      </w:pPr>
    </w:p>
    <w:p w14:paraId="188A822B" w14:textId="77777777" w:rsidR="00F756FC" w:rsidRPr="0048555E" w:rsidRDefault="00F756FC" w:rsidP="00655B94">
      <w:pPr>
        <w:spacing w:after="120" w:line="240" w:lineRule="auto"/>
        <w:ind w:firstLine="720"/>
        <w:jc w:val="both"/>
        <w:rPr>
          <w:rFonts w:ascii="Cambria" w:hAnsi="Cambria" w:cs="Calibri Light"/>
          <w:sz w:val="16"/>
          <w:szCs w:val="16"/>
        </w:rPr>
      </w:pPr>
    </w:p>
  </w:footnote>
  <w:footnote w:id="10">
    <w:p w14:paraId="3DE4C814" w14:textId="77777777" w:rsidR="007E31E3" w:rsidRPr="0048555E" w:rsidRDefault="007E31E3" w:rsidP="00655B94">
      <w:pPr>
        <w:spacing w:after="120" w:line="240" w:lineRule="auto"/>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In this respect, see IACHR, Report No. 42/21, Case 12,961E. </w:t>
      </w:r>
      <w:proofErr w:type="spellStart"/>
      <w:r w:rsidRPr="0048555E">
        <w:rPr>
          <w:rFonts w:ascii="Cambria" w:hAnsi="Cambria"/>
          <w:sz w:val="16"/>
          <w:szCs w:val="16"/>
          <w:lang w:val="es-CO"/>
        </w:rPr>
        <w:t>Friendly</w:t>
      </w:r>
      <w:proofErr w:type="spellEnd"/>
      <w:r w:rsidRPr="0048555E">
        <w:rPr>
          <w:rFonts w:ascii="Cambria" w:hAnsi="Cambria"/>
          <w:sz w:val="16"/>
          <w:szCs w:val="16"/>
          <w:lang w:val="es-CO"/>
        </w:rPr>
        <w:t xml:space="preserve"> </w:t>
      </w:r>
      <w:proofErr w:type="spellStart"/>
      <w:r w:rsidRPr="0048555E">
        <w:rPr>
          <w:rFonts w:ascii="Cambria" w:hAnsi="Cambria"/>
          <w:sz w:val="16"/>
          <w:szCs w:val="16"/>
          <w:lang w:val="es-CO"/>
        </w:rPr>
        <w:t>Settlement</w:t>
      </w:r>
      <w:proofErr w:type="spellEnd"/>
      <w:r w:rsidRPr="0048555E">
        <w:rPr>
          <w:rFonts w:ascii="Cambria" w:hAnsi="Cambria"/>
          <w:sz w:val="16"/>
          <w:szCs w:val="16"/>
          <w:lang w:val="es-CO"/>
        </w:rPr>
        <w:t xml:space="preserve">. </w:t>
      </w:r>
      <w:proofErr w:type="spellStart"/>
      <w:r w:rsidRPr="00E46605">
        <w:rPr>
          <w:rFonts w:ascii="Cambria" w:hAnsi="Cambria"/>
          <w:sz w:val="16"/>
          <w:szCs w:val="16"/>
          <w:lang w:val="es-US"/>
        </w:rPr>
        <w:t>Ecar</w:t>
      </w:r>
      <w:proofErr w:type="spellEnd"/>
      <w:r w:rsidRPr="00E46605">
        <w:rPr>
          <w:rFonts w:ascii="Cambria" w:hAnsi="Cambria"/>
          <w:sz w:val="16"/>
          <w:szCs w:val="16"/>
          <w:lang w:val="es-US"/>
        </w:rPr>
        <w:t xml:space="preserve"> Fernando Zavala Valladares. Honduras. </w:t>
      </w:r>
      <w:r w:rsidRPr="0048555E">
        <w:rPr>
          <w:rFonts w:ascii="Cambria" w:hAnsi="Cambria"/>
          <w:sz w:val="16"/>
          <w:szCs w:val="16"/>
        </w:rPr>
        <w:t>March 20, 2021. See also, IACHR, Report No. 205/21, Case 12,961 J. Friendly Settlement. Faustino Garcia Cárdenas and one other. Honduras. September 4, 2021.</w:t>
      </w:r>
    </w:p>
  </w:footnote>
  <w:footnote w:id="11">
    <w:p w14:paraId="0CDC6BC1" w14:textId="77777777" w:rsidR="007E31E3" w:rsidRPr="007A5442" w:rsidRDefault="007E31E3" w:rsidP="00655B94">
      <w:pPr>
        <w:pStyle w:val="FootnoteText"/>
        <w:spacing w:after="120"/>
        <w:ind w:firstLine="720"/>
        <w:jc w:val="both"/>
        <w:rPr>
          <w:rFonts w:ascii="Cambria" w:hAnsi="Cambria"/>
          <w:strike/>
          <w:sz w:val="16"/>
          <w:szCs w:val="16"/>
          <w:lang w:val="pt-PT"/>
        </w:rPr>
      </w:pPr>
      <w:r w:rsidRPr="0048555E">
        <w:rPr>
          <w:rStyle w:val="FootnoteReference"/>
          <w:rFonts w:ascii="Cambria" w:hAnsi="Cambria"/>
          <w:sz w:val="16"/>
          <w:szCs w:val="16"/>
        </w:rPr>
        <w:footnoteRef/>
      </w:r>
      <w:r w:rsidRPr="0048555E">
        <w:rPr>
          <w:rFonts w:ascii="Cambria" w:hAnsi="Cambria"/>
          <w:sz w:val="16"/>
          <w:szCs w:val="16"/>
        </w:rPr>
        <w:t xml:space="preserve"> In this respect see, Petition 242-03, Report No. 160/10, Inocencia Luca Pegoraro (Argentina); Case 13,011, Report No. 197/20, Graciela Ramos Rocha and family (Argentina); Petition 245-03, Report No. 39/21, Walter Mauro </w:t>
      </w:r>
      <w:proofErr w:type="spellStart"/>
      <w:r w:rsidRPr="0048555E">
        <w:rPr>
          <w:rFonts w:ascii="Cambria" w:hAnsi="Cambria"/>
          <w:sz w:val="16"/>
          <w:szCs w:val="16"/>
        </w:rPr>
        <w:t>Yáñez</w:t>
      </w:r>
      <w:proofErr w:type="spellEnd"/>
      <w:r w:rsidRPr="0048555E">
        <w:rPr>
          <w:rFonts w:ascii="Cambria" w:hAnsi="Cambria"/>
          <w:sz w:val="16"/>
          <w:szCs w:val="16"/>
        </w:rPr>
        <w:t xml:space="preserve"> (Argentina); Case 12,957, Report No. 167/18, Luis Bolívar Hernández </w:t>
      </w:r>
      <w:proofErr w:type="spellStart"/>
      <w:r w:rsidRPr="0048555E">
        <w:rPr>
          <w:rFonts w:ascii="Cambria" w:hAnsi="Cambria"/>
          <w:sz w:val="16"/>
          <w:szCs w:val="16"/>
        </w:rPr>
        <w:t>Peñaherrera</w:t>
      </w:r>
      <w:proofErr w:type="spellEnd"/>
      <w:r w:rsidRPr="0048555E">
        <w:rPr>
          <w:rFonts w:ascii="Cambria" w:hAnsi="Cambria"/>
          <w:sz w:val="16"/>
          <w:szCs w:val="16"/>
        </w:rPr>
        <w:t xml:space="preserve"> (Ecuador); Case 12,961E, Report No. 42/21, </w:t>
      </w:r>
      <w:proofErr w:type="spellStart"/>
      <w:r w:rsidRPr="0048555E">
        <w:rPr>
          <w:rFonts w:ascii="Cambria" w:hAnsi="Cambria"/>
          <w:sz w:val="16"/>
          <w:szCs w:val="16"/>
        </w:rPr>
        <w:t>Ecar</w:t>
      </w:r>
      <w:proofErr w:type="spellEnd"/>
      <w:r w:rsidRPr="0048555E">
        <w:rPr>
          <w:rFonts w:ascii="Cambria" w:hAnsi="Cambria"/>
          <w:sz w:val="16"/>
          <w:szCs w:val="16"/>
        </w:rPr>
        <w:t xml:space="preserve"> Fernando Zavala Valladares et al. </w:t>
      </w:r>
      <w:r w:rsidRPr="007A5442">
        <w:rPr>
          <w:rFonts w:ascii="Cambria" w:hAnsi="Cambria"/>
          <w:sz w:val="16"/>
          <w:szCs w:val="16"/>
        </w:rPr>
        <w:t xml:space="preserve">(Honduras); Case 12,961J, Report No. 205/21, Faustino Garcia Cárdenas and one other (Honduras); Case 12,960, Report No. 269/21, Ronald Jared Martínez (Honduras); Case 12,847, Report No. 16/16, Vicenta Sanchez </w:t>
      </w:r>
      <w:proofErr w:type="spellStart"/>
      <w:r w:rsidRPr="007A5442">
        <w:rPr>
          <w:rFonts w:ascii="Cambria" w:hAnsi="Cambria"/>
          <w:sz w:val="16"/>
          <w:szCs w:val="16"/>
        </w:rPr>
        <w:t>Valdivieso</w:t>
      </w:r>
      <w:proofErr w:type="spellEnd"/>
      <w:r w:rsidRPr="007A5442">
        <w:rPr>
          <w:rFonts w:ascii="Cambria" w:hAnsi="Cambria"/>
          <w:sz w:val="16"/>
          <w:szCs w:val="16"/>
        </w:rPr>
        <w:t xml:space="preserve"> (Mexico); Case 12,627, Report No. 92/17, Maria </w:t>
      </w:r>
      <w:proofErr w:type="spellStart"/>
      <w:r w:rsidRPr="007A5442">
        <w:rPr>
          <w:rFonts w:ascii="Cambria" w:hAnsi="Cambria"/>
          <w:sz w:val="16"/>
          <w:szCs w:val="16"/>
        </w:rPr>
        <w:t>Nicolasa</w:t>
      </w:r>
      <w:proofErr w:type="spellEnd"/>
      <w:r w:rsidRPr="007A5442">
        <w:rPr>
          <w:rFonts w:ascii="Cambria" w:hAnsi="Cambria"/>
          <w:sz w:val="16"/>
          <w:szCs w:val="16"/>
        </w:rPr>
        <w:t xml:space="preserve"> Garcia Reynoso (Mexico); Case 12,915, Report No. 2/20, Angel Díaz Cruz et al. </w:t>
      </w:r>
      <w:r w:rsidRPr="007A5442">
        <w:rPr>
          <w:rFonts w:ascii="Cambria" w:hAnsi="Cambria"/>
          <w:sz w:val="16"/>
          <w:szCs w:val="16"/>
          <w:lang w:val="pt-PT"/>
        </w:rPr>
        <w:t xml:space="preserve">(Mexico); and Case 12,374, Report No. 85/20, Jorge Enrique Patiño Palacios (Paraguay). </w:t>
      </w:r>
    </w:p>
  </w:footnote>
  <w:footnote w:id="12">
    <w:p w14:paraId="7F1E7F56" w14:textId="77777777" w:rsidR="007E31E3" w:rsidRPr="007A5442" w:rsidRDefault="007E31E3" w:rsidP="00655B94">
      <w:pPr>
        <w:pStyle w:val="FootnoteText"/>
        <w:spacing w:after="120"/>
        <w:ind w:firstLine="720"/>
        <w:jc w:val="both"/>
        <w:rPr>
          <w:rFonts w:ascii="Cambria" w:hAnsi="Cambria"/>
          <w:sz w:val="16"/>
          <w:szCs w:val="16"/>
          <w:lang w:val="pt-PT"/>
        </w:rPr>
      </w:pPr>
      <w:r w:rsidRPr="0048555E">
        <w:rPr>
          <w:rStyle w:val="FootnoteReference"/>
          <w:rFonts w:ascii="Cambria" w:hAnsi="Cambria"/>
          <w:sz w:val="16"/>
          <w:szCs w:val="16"/>
        </w:rPr>
        <w:footnoteRef/>
      </w:r>
      <w:r w:rsidRPr="007A5442">
        <w:rPr>
          <w:rFonts w:ascii="Cambria" w:hAnsi="Cambria"/>
          <w:sz w:val="16"/>
          <w:szCs w:val="16"/>
          <w:lang w:val="pt-PT"/>
        </w:rPr>
        <w:t xml:space="preserve"> </w:t>
      </w:r>
      <w:r w:rsidRPr="007A5442">
        <w:rPr>
          <w:rFonts w:ascii="Cambria" w:hAnsi="Cambria"/>
          <w:sz w:val="16"/>
          <w:szCs w:val="16"/>
          <w:lang w:val="pt-PT"/>
        </w:rPr>
        <w:t xml:space="preserve">In </w:t>
      </w:r>
      <w:r w:rsidRPr="007A5442">
        <w:rPr>
          <w:rFonts w:ascii="Cambria" w:hAnsi="Cambria"/>
          <w:sz w:val="16"/>
          <w:szCs w:val="16"/>
          <w:lang w:val="pt-PT"/>
        </w:rPr>
        <w:t xml:space="preserve">this respect see Case 12,277, Report No. 136/21, Fazenda Ubá (Brazil); Petition 595-09, Report No. 84/20, Jorge Alberto Montes Gallego and family (Colombia); Case 13,319, Report No. 213/20, William Fernández Becerra and family (Colombia); Case 13,642, Report No. 41/21, Edgar José Sánchez Duarte and family (Colombia); Case 13,171, Report No. 115/21, Luis Argemiro Gómez Atehortua (Colombia); Case 13,571, Report 336/21, Carlos Mario Muñoz Gómez (Colombia); Case 13,758, Report 337/21, Franklin Bustamante Restrepo (Colombia); Case 12,737, Report No. 114/21, Carlos Raúl Morales Catalan (Guatemala); Case 11,562, Report No. 40/21, Dixie Miguel Urbina Rosales (Honduras); Case 11,545, Report No. 204/21, Martha María Saire (Honduras); Case 12,610, Report No. 208/21, Faustino Jiménez Álvarez (Mexico); and Case 12,330, Report No. 206/21, Marcelino Gómez and one other (Paraguay). </w:t>
      </w:r>
    </w:p>
  </w:footnote>
  <w:footnote w:id="13">
    <w:p w14:paraId="5007F73C" w14:textId="77777777" w:rsidR="007E31E3" w:rsidRPr="0048555E" w:rsidRDefault="007E31E3" w:rsidP="00655B94">
      <w:pPr>
        <w:pStyle w:val="FootnoteText"/>
        <w:spacing w:after="120"/>
        <w:ind w:firstLine="720"/>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r w:rsidRPr="0048555E">
        <w:rPr>
          <w:rFonts w:ascii="Cambria" w:eastAsia="MS Mincho" w:hAnsi="Cambria" w:cs="Times New Roman"/>
          <w:sz w:val="16"/>
          <w:szCs w:val="16"/>
        </w:rPr>
        <w:t>The Commission reserves the amounts of economic compensation agreed upon according to the provisions of the ninth clause of the friendly settlement agreement.</w:t>
      </w:r>
    </w:p>
  </w:footnote>
  <w:footnote w:id="14">
    <w:p w14:paraId="5CA48F56" w14:textId="77777777" w:rsidR="007E31E3" w:rsidRPr="0048555E" w:rsidRDefault="007E31E3" w:rsidP="008B073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rPr>
      </w:pPr>
      <w:r w:rsidRPr="0048555E">
        <w:rPr>
          <w:rStyle w:val="FootnoteReference"/>
          <w:rFonts w:ascii="Cambria" w:eastAsiaTheme="minorEastAsia" w:hAnsi="Cambria"/>
          <w:sz w:val="16"/>
          <w:szCs w:val="16"/>
        </w:rPr>
        <w:footnoteRef/>
      </w:r>
      <w:r w:rsidRPr="0048555E">
        <w:rPr>
          <w:rFonts w:ascii="Cambria" w:hAnsi="Cambria"/>
          <w:sz w:val="16"/>
          <w:szCs w:val="16"/>
        </w:rPr>
        <w:t xml:space="preserve"> </w:t>
      </w:r>
      <w:bookmarkStart w:id="3" w:name="_Hlk88212480"/>
      <w:r w:rsidRPr="0048555E">
        <w:rPr>
          <w:rFonts w:ascii="Cambria" w:hAnsi="Cambria"/>
          <w:sz w:val="16"/>
          <w:szCs w:val="16"/>
        </w:rPr>
        <w:t xml:space="preserve">In this respect, see press releases of the IACHR on friendly settlements in </w:t>
      </w:r>
      <w:r w:rsidRPr="0048555E">
        <w:rPr>
          <w:rFonts w:ascii="Cambria" w:hAnsi="Cambria" w:cs="Calibri"/>
          <w:color w:val="201F1E"/>
          <w:sz w:val="16"/>
          <w:szCs w:val="16"/>
          <w:bdr w:val="none" w:sz="0" w:space="0" w:color="auto" w:frame="1"/>
        </w:rPr>
        <w:t>2021:</w:t>
      </w:r>
    </w:p>
    <w:p w14:paraId="301BCE94" w14:textId="77777777" w:rsidR="007E31E3" w:rsidRPr="0048555E" w:rsidRDefault="007E31E3" w:rsidP="008B073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rPr>
      </w:pPr>
      <w:r w:rsidRPr="0048555E">
        <w:rPr>
          <w:rFonts w:ascii="Cambria" w:hAnsi="Cambria" w:cs="Calibri"/>
          <w:color w:val="201F1E"/>
          <w:sz w:val="16"/>
          <w:szCs w:val="16"/>
          <w:bdr w:val="none" w:sz="0" w:space="0" w:color="auto" w:frame="1"/>
        </w:rPr>
        <w:t xml:space="preserve">IACHR Welcomes Signing of Friendly Settlement for Case 13.171 Luis </w:t>
      </w:r>
      <w:proofErr w:type="spellStart"/>
      <w:r w:rsidRPr="0048555E">
        <w:rPr>
          <w:rFonts w:ascii="Cambria" w:hAnsi="Cambria" w:cs="Calibri"/>
          <w:color w:val="201F1E"/>
          <w:sz w:val="16"/>
          <w:szCs w:val="16"/>
          <w:bdr w:val="none" w:sz="0" w:space="0" w:color="auto" w:frame="1"/>
        </w:rPr>
        <w:t>Argemiro</w:t>
      </w:r>
      <w:proofErr w:type="spellEnd"/>
      <w:r w:rsidRPr="0048555E">
        <w:rPr>
          <w:rFonts w:ascii="Cambria" w:hAnsi="Cambria" w:cs="Calibri"/>
          <w:color w:val="201F1E"/>
          <w:sz w:val="16"/>
          <w:szCs w:val="16"/>
          <w:bdr w:val="none" w:sz="0" w:space="0" w:color="auto" w:frame="1"/>
        </w:rPr>
        <w:t xml:space="preserve"> Gómez </w:t>
      </w:r>
      <w:proofErr w:type="spellStart"/>
      <w:r w:rsidRPr="0048555E">
        <w:rPr>
          <w:rFonts w:ascii="Cambria" w:hAnsi="Cambria" w:cs="Calibri"/>
          <w:color w:val="201F1E"/>
          <w:sz w:val="16"/>
          <w:szCs w:val="16"/>
          <w:bdr w:val="none" w:sz="0" w:space="0" w:color="auto" w:frame="1"/>
        </w:rPr>
        <w:t>Atehortua</w:t>
      </w:r>
      <w:proofErr w:type="spellEnd"/>
      <w:r w:rsidRPr="0048555E">
        <w:rPr>
          <w:rFonts w:ascii="Cambria" w:hAnsi="Cambria" w:cs="Calibri"/>
          <w:color w:val="201F1E"/>
          <w:sz w:val="16"/>
          <w:szCs w:val="16"/>
          <w:bdr w:val="none" w:sz="0" w:space="0" w:color="auto" w:frame="1"/>
        </w:rPr>
        <w:t xml:space="preserve">, concerning Colombia, January 29, </w:t>
      </w:r>
      <w:proofErr w:type="gramStart"/>
      <w:r w:rsidRPr="0048555E">
        <w:rPr>
          <w:rFonts w:ascii="Cambria" w:hAnsi="Cambria" w:cs="Calibri"/>
          <w:color w:val="201F1E"/>
          <w:sz w:val="16"/>
          <w:szCs w:val="16"/>
          <w:bdr w:val="none" w:sz="0" w:space="0" w:color="auto" w:frame="1"/>
        </w:rPr>
        <w:t>2021;</w:t>
      </w:r>
      <w:proofErr w:type="gramEnd"/>
    </w:p>
    <w:p w14:paraId="35D0D2AB" w14:textId="77777777" w:rsidR="007E31E3" w:rsidRPr="0048555E" w:rsidRDefault="007E31E3" w:rsidP="008B073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rPr>
      </w:pPr>
      <w:r w:rsidRPr="0048555E">
        <w:rPr>
          <w:rFonts w:ascii="Cambria" w:hAnsi="Cambria" w:cs="Calibri"/>
          <w:color w:val="201F1E"/>
          <w:sz w:val="16"/>
          <w:szCs w:val="16"/>
          <w:bdr w:val="none" w:sz="0" w:space="0" w:color="auto" w:frame="1"/>
        </w:rPr>
        <w:t xml:space="preserve">IACHR Takes Part in Event Where the State of Colombia Acknowledges Its Responsibility for Case 13.171—Luis </w:t>
      </w:r>
      <w:proofErr w:type="spellStart"/>
      <w:r w:rsidRPr="0048555E">
        <w:rPr>
          <w:rFonts w:ascii="Cambria" w:hAnsi="Cambria" w:cs="Calibri"/>
          <w:color w:val="201F1E"/>
          <w:sz w:val="16"/>
          <w:szCs w:val="16"/>
          <w:bdr w:val="none" w:sz="0" w:space="0" w:color="auto" w:frame="1"/>
        </w:rPr>
        <w:t>Argemiro</w:t>
      </w:r>
      <w:proofErr w:type="spellEnd"/>
      <w:r w:rsidRPr="0048555E">
        <w:rPr>
          <w:rFonts w:ascii="Cambria" w:hAnsi="Cambria" w:cs="Calibri"/>
          <w:color w:val="201F1E"/>
          <w:sz w:val="16"/>
          <w:szCs w:val="16"/>
          <w:bdr w:val="none" w:sz="0" w:space="0" w:color="auto" w:frame="1"/>
        </w:rPr>
        <w:t xml:space="preserve"> Gómez </w:t>
      </w:r>
      <w:proofErr w:type="spellStart"/>
      <w:r w:rsidRPr="0048555E">
        <w:rPr>
          <w:rFonts w:ascii="Cambria" w:hAnsi="Cambria" w:cs="Calibri"/>
          <w:color w:val="201F1E"/>
          <w:sz w:val="16"/>
          <w:szCs w:val="16"/>
          <w:bdr w:val="none" w:sz="0" w:space="0" w:color="auto" w:frame="1"/>
        </w:rPr>
        <w:t>Atehortua</w:t>
      </w:r>
      <w:proofErr w:type="spellEnd"/>
      <w:r w:rsidRPr="0048555E">
        <w:rPr>
          <w:rFonts w:ascii="Cambria" w:hAnsi="Cambria" w:cs="Calibri"/>
          <w:color w:val="201F1E"/>
          <w:sz w:val="16"/>
          <w:szCs w:val="16"/>
          <w:bdr w:val="none" w:sz="0" w:space="0" w:color="auto" w:frame="1"/>
        </w:rPr>
        <w:t xml:space="preserve">, February 26, </w:t>
      </w:r>
      <w:proofErr w:type="gramStart"/>
      <w:r w:rsidRPr="0048555E">
        <w:rPr>
          <w:rFonts w:ascii="Cambria" w:hAnsi="Cambria" w:cs="Calibri"/>
          <w:color w:val="201F1E"/>
          <w:sz w:val="16"/>
          <w:szCs w:val="16"/>
          <w:bdr w:val="none" w:sz="0" w:space="0" w:color="auto" w:frame="1"/>
        </w:rPr>
        <w:t>2021;</w:t>
      </w:r>
      <w:proofErr w:type="gramEnd"/>
      <w:r w:rsidRPr="0048555E">
        <w:rPr>
          <w:rFonts w:ascii="Cambria" w:hAnsi="Cambria" w:cs="Calibri"/>
          <w:color w:val="201F1E"/>
          <w:sz w:val="16"/>
          <w:szCs w:val="16"/>
          <w:bdr w:val="none" w:sz="0" w:space="0" w:color="auto" w:frame="1"/>
        </w:rPr>
        <w:t xml:space="preserve"> </w:t>
      </w:r>
    </w:p>
    <w:p w14:paraId="272EA7DD" w14:textId="77777777" w:rsidR="007E31E3" w:rsidRPr="0048555E" w:rsidRDefault="007E31E3" w:rsidP="008B073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rPr>
      </w:pPr>
      <w:r w:rsidRPr="0048555E">
        <w:rPr>
          <w:rFonts w:ascii="Cambria" w:hAnsi="Cambria" w:cs="Calibri"/>
          <w:color w:val="201F1E"/>
          <w:sz w:val="16"/>
          <w:szCs w:val="16"/>
          <w:bdr w:val="none" w:sz="0" w:space="0" w:color="auto" w:frame="1"/>
        </w:rPr>
        <w:t xml:space="preserve">IACHR Welcomes Full Compliance with 10 Friendly Settlement Agreements in 2020, March 9, </w:t>
      </w:r>
      <w:proofErr w:type="gramStart"/>
      <w:r w:rsidRPr="0048555E">
        <w:rPr>
          <w:rFonts w:ascii="Cambria" w:hAnsi="Cambria" w:cs="Calibri"/>
          <w:color w:val="201F1E"/>
          <w:sz w:val="16"/>
          <w:szCs w:val="16"/>
          <w:bdr w:val="none" w:sz="0" w:space="0" w:color="auto" w:frame="1"/>
        </w:rPr>
        <w:t>2021;</w:t>
      </w:r>
      <w:proofErr w:type="gramEnd"/>
    </w:p>
    <w:p w14:paraId="43EA9689" w14:textId="77777777" w:rsidR="007E31E3" w:rsidRPr="0048555E" w:rsidRDefault="007E31E3" w:rsidP="008B073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rPr>
      </w:pPr>
      <w:r w:rsidRPr="0048555E">
        <w:rPr>
          <w:rFonts w:ascii="Cambria" w:hAnsi="Cambria" w:cs="Calibri"/>
          <w:color w:val="201F1E"/>
          <w:sz w:val="16"/>
          <w:szCs w:val="16"/>
          <w:bdr w:val="none" w:sz="0" w:space="0" w:color="auto" w:frame="1"/>
        </w:rPr>
        <w:t xml:space="preserve">IACHR Congratulates State of Mexico on Full Compliance with Friendly Settlement Agreement on Petition P-1275-04A, Juan Luis Rivera </w:t>
      </w:r>
      <w:proofErr w:type="spellStart"/>
      <w:r w:rsidRPr="0048555E">
        <w:rPr>
          <w:rFonts w:ascii="Cambria" w:hAnsi="Cambria" w:cs="Calibri"/>
          <w:color w:val="201F1E"/>
          <w:sz w:val="16"/>
          <w:szCs w:val="16"/>
          <w:bdr w:val="none" w:sz="0" w:space="0" w:color="auto" w:frame="1"/>
        </w:rPr>
        <w:t>Matus</w:t>
      </w:r>
      <w:proofErr w:type="spellEnd"/>
      <w:r w:rsidRPr="0048555E">
        <w:rPr>
          <w:rFonts w:ascii="Cambria" w:hAnsi="Cambria" w:cs="Calibri"/>
          <w:color w:val="201F1E"/>
          <w:sz w:val="16"/>
          <w:szCs w:val="16"/>
          <w:bdr w:val="none" w:sz="0" w:space="0" w:color="auto" w:frame="1"/>
        </w:rPr>
        <w:t xml:space="preserve">, March 10, </w:t>
      </w:r>
      <w:proofErr w:type="gramStart"/>
      <w:r w:rsidRPr="0048555E">
        <w:rPr>
          <w:rFonts w:ascii="Cambria" w:hAnsi="Cambria" w:cs="Calibri"/>
          <w:color w:val="201F1E"/>
          <w:sz w:val="16"/>
          <w:szCs w:val="16"/>
          <w:bdr w:val="none" w:sz="0" w:space="0" w:color="auto" w:frame="1"/>
        </w:rPr>
        <w:t>2021;</w:t>
      </w:r>
      <w:proofErr w:type="gramEnd"/>
      <w:r w:rsidRPr="0048555E">
        <w:rPr>
          <w:rFonts w:ascii="Cambria" w:hAnsi="Cambria" w:cs="Calibri"/>
          <w:color w:val="201F1E"/>
          <w:sz w:val="16"/>
          <w:szCs w:val="16"/>
          <w:bdr w:val="none" w:sz="0" w:space="0" w:color="auto" w:frame="1"/>
        </w:rPr>
        <w:t xml:space="preserve"> </w:t>
      </w:r>
    </w:p>
    <w:p w14:paraId="199DEA07" w14:textId="77777777" w:rsidR="007E31E3" w:rsidRPr="0048555E" w:rsidRDefault="007E31E3" w:rsidP="008B073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rPr>
      </w:pPr>
      <w:r w:rsidRPr="0048555E">
        <w:rPr>
          <w:rFonts w:ascii="Cambria" w:hAnsi="Cambria" w:cs="Calibri"/>
          <w:color w:val="201F1E"/>
          <w:sz w:val="16"/>
          <w:szCs w:val="16"/>
          <w:bdr w:val="none" w:sz="0" w:space="0" w:color="auto" w:frame="1"/>
        </w:rPr>
        <w:t xml:space="preserve">IACHR Congratulates State of Mexico on Full Compliance with the Friendly Settlement Agreement Regarding José Antonio Bolaños Juárez, March 11, </w:t>
      </w:r>
      <w:proofErr w:type="gramStart"/>
      <w:r w:rsidRPr="0048555E">
        <w:rPr>
          <w:rFonts w:ascii="Cambria" w:hAnsi="Cambria" w:cs="Calibri"/>
          <w:color w:val="201F1E"/>
          <w:sz w:val="16"/>
          <w:szCs w:val="16"/>
          <w:bdr w:val="none" w:sz="0" w:space="0" w:color="auto" w:frame="1"/>
        </w:rPr>
        <w:t>2021;</w:t>
      </w:r>
      <w:proofErr w:type="gramEnd"/>
    </w:p>
    <w:p w14:paraId="5A27C35E" w14:textId="77777777" w:rsidR="007E31E3" w:rsidRPr="0048555E" w:rsidRDefault="007E31E3" w:rsidP="008B073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rPr>
      </w:pPr>
      <w:r w:rsidRPr="0048555E">
        <w:rPr>
          <w:rFonts w:ascii="Cambria" w:hAnsi="Cambria" w:cs="Calibri"/>
          <w:color w:val="201F1E"/>
          <w:sz w:val="16"/>
          <w:szCs w:val="16"/>
          <w:bdr w:val="none" w:sz="0" w:space="0" w:color="auto" w:frame="1"/>
        </w:rPr>
        <w:t xml:space="preserve">IACHR Congratulates the State of Guatemala for its Full Compliance with the Friendly Settlement Agreement Concerning Fredy Rolando Hernández Rodríguez, March 15, </w:t>
      </w:r>
      <w:proofErr w:type="gramStart"/>
      <w:r w:rsidRPr="0048555E">
        <w:rPr>
          <w:rFonts w:ascii="Cambria" w:hAnsi="Cambria" w:cs="Calibri"/>
          <w:color w:val="201F1E"/>
          <w:sz w:val="16"/>
          <w:szCs w:val="16"/>
          <w:bdr w:val="none" w:sz="0" w:space="0" w:color="auto" w:frame="1"/>
        </w:rPr>
        <w:t>2021;</w:t>
      </w:r>
      <w:proofErr w:type="gramEnd"/>
      <w:r w:rsidRPr="0048555E">
        <w:rPr>
          <w:rFonts w:ascii="Cambria" w:hAnsi="Cambria" w:cs="Calibri"/>
          <w:color w:val="201F1E"/>
          <w:sz w:val="16"/>
          <w:szCs w:val="16"/>
          <w:bdr w:val="none" w:sz="0" w:space="0" w:color="auto" w:frame="1"/>
        </w:rPr>
        <w:t xml:space="preserve"> </w:t>
      </w:r>
    </w:p>
    <w:p w14:paraId="427EC929" w14:textId="77777777" w:rsidR="007E31E3" w:rsidRPr="0048555E" w:rsidRDefault="007E31E3" w:rsidP="008B073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rPr>
      </w:pPr>
      <w:r w:rsidRPr="0048555E">
        <w:rPr>
          <w:rFonts w:ascii="Cambria" w:hAnsi="Cambria" w:cs="Calibri"/>
          <w:color w:val="201F1E"/>
          <w:sz w:val="16"/>
          <w:szCs w:val="16"/>
          <w:bdr w:val="none" w:sz="0" w:space="0" w:color="auto" w:frame="1"/>
        </w:rPr>
        <w:t xml:space="preserve">IACHR Congratulates the State of Colombia on Full Compliance with Friendly Settlement Agreement Regarding </w:t>
      </w:r>
      <w:proofErr w:type="spellStart"/>
      <w:r w:rsidRPr="0048555E">
        <w:rPr>
          <w:rFonts w:ascii="Cambria" w:hAnsi="Cambria" w:cs="Calibri"/>
          <w:color w:val="201F1E"/>
          <w:sz w:val="16"/>
          <w:szCs w:val="16"/>
          <w:bdr w:val="none" w:sz="0" w:space="0" w:color="auto" w:frame="1"/>
        </w:rPr>
        <w:t>Villatina</w:t>
      </w:r>
      <w:proofErr w:type="spellEnd"/>
      <w:r w:rsidRPr="0048555E">
        <w:rPr>
          <w:rFonts w:ascii="Cambria" w:hAnsi="Cambria" w:cs="Calibri"/>
          <w:color w:val="201F1E"/>
          <w:sz w:val="16"/>
          <w:szCs w:val="16"/>
          <w:bdr w:val="none" w:sz="0" w:space="0" w:color="auto" w:frame="1"/>
        </w:rPr>
        <w:t xml:space="preserve"> Massacre, March 16, </w:t>
      </w:r>
      <w:proofErr w:type="gramStart"/>
      <w:r w:rsidRPr="0048555E">
        <w:rPr>
          <w:rFonts w:ascii="Cambria" w:hAnsi="Cambria" w:cs="Calibri"/>
          <w:color w:val="201F1E"/>
          <w:sz w:val="16"/>
          <w:szCs w:val="16"/>
          <w:bdr w:val="none" w:sz="0" w:space="0" w:color="auto" w:frame="1"/>
        </w:rPr>
        <w:t>2021;</w:t>
      </w:r>
      <w:proofErr w:type="gramEnd"/>
      <w:r w:rsidRPr="0048555E">
        <w:rPr>
          <w:rFonts w:ascii="Cambria" w:hAnsi="Cambria" w:cs="Calibri"/>
          <w:color w:val="201F1E"/>
          <w:sz w:val="16"/>
          <w:szCs w:val="16"/>
          <w:bdr w:val="none" w:sz="0" w:space="0" w:color="auto" w:frame="1"/>
        </w:rPr>
        <w:t xml:space="preserve"> </w:t>
      </w:r>
    </w:p>
    <w:p w14:paraId="14F805D6" w14:textId="77777777" w:rsidR="007E31E3" w:rsidRPr="0048555E" w:rsidRDefault="007E31E3" w:rsidP="008B073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rPr>
      </w:pPr>
      <w:r w:rsidRPr="0048555E">
        <w:rPr>
          <w:rFonts w:ascii="Cambria" w:hAnsi="Cambria" w:cs="Calibri"/>
          <w:color w:val="201F1E"/>
          <w:sz w:val="16"/>
          <w:szCs w:val="16"/>
          <w:bdr w:val="none" w:sz="0" w:space="0" w:color="auto" w:frame="1"/>
        </w:rPr>
        <w:t xml:space="preserve">IACHR Congratulates the State of Peru for its Full Compliance with the Friendly Settlement Agreement Concerning Juan Figueroa Acosta, March 23, </w:t>
      </w:r>
      <w:proofErr w:type="gramStart"/>
      <w:r w:rsidRPr="0048555E">
        <w:rPr>
          <w:rFonts w:ascii="Cambria" w:hAnsi="Cambria" w:cs="Calibri"/>
          <w:color w:val="201F1E"/>
          <w:sz w:val="16"/>
          <w:szCs w:val="16"/>
          <w:bdr w:val="none" w:sz="0" w:space="0" w:color="auto" w:frame="1"/>
        </w:rPr>
        <w:t>2021;</w:t>
      </w:r>
      <w:proofErr w:type="gramEnd"/>
      <w:r w:rsidRPr="0048555E">
        <w:rPr>
          <w:rFonts w:ascii="Cambria" w:hAnsi="Cambria" w:cs="Calibri"/>
          <w:color w:val="201F1E"/>
          <w:sz w:val="16"/>
          <w:szCs w:val="16"/>
          <w:bdr w:val="none" w:sz="0" w:space="0" w:color="auto" w:frame="1"/>
        </w:rPr>
        <w:t xml:space="preserve"> </w:t>
      </w:r>
    </w:p>
    <w:p w14:paraId="0A04915A" w14:textId="77777777" w:rsidR="007E31E3" w:rsidRPr="0048555E" w:rsidRDefault="007E31E3" w:rsidP="008B073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rPr>
      </w:pPr>
      <w:r w:rsidRPr="0048555E">
        <w:rPr>
          <w:rFonts w:ascii="Cambria" w:hAnsi="Cambria" w:cs="Calibri"/>
          <w:color w:val="201F1E"/>
          <w:sz w:val="16"/>
          <w:szCs w:val="16"/>
          <w:bdr w:val="none" w:sz="0" w:space="0" w:color="auto" w:frame="1"/>
        </w:rPr>
        <w:t xml:space="preserve">IACHR Announces Publication of Report 39/21, on Petition P-245-03 Walter Mauro </w:t>
      </w:r>
      <w:proofErr w:type="spellStart"/>
      <w:r w:rsidRPr="0048555E">
        <w:rPr>
          <w:rFonts w:ascii="Cambria" w:hAnsi="Cambria" w:cs="Calibri"/>
          <w:color w:val="201F1E"/>
          <w:sz w:val="16"/>
          <w:szCs w:val="16"/>
          <w:bdr w:val="none" w:sz="0" w:space="0" w:color="auto" w:frame="1"/>
        </w:rPr>
        <w:t>Yáñez</w:t>
      </w:r>
      <w:proofErr w:type="spellEnd"/>
      <w:r w:rsidRPr="0048555E">
        <w:rPr>
          <w:rFonts w:ascii="Cambria" w:hAnsi="Cambria" w:cs="Calibri"/>
          <w:color w:val="201F1E"/>
          <w:sz w:val="16"/>
          <w:szCs w:val="16"/>
          <w:bdr w:val="none" w:sz="0" w:space="0" w:color="auto" w:frame="1"/>
        </w:rPr>
        <w:t xml:space="preserve">, Concerning Argentina, and Congratulates State for Full Compliance with Friendly Settlement Agreement, April 21, </w:t>
      </w:r>
      <w:proofErr w:type="gramStart"/>
      <w:r w:rsidRPr="0048555E">
        <w:rPr>
          <w:rFonts w:ascii="Cambria" w:hAnsi="Cambria" w:cs="Calibri"/>
          <w:color w:val="201F1E"/>
          <w:sz w:val="16"/>
          <w:szCs w:val="16"/>
          <w:bdr w:val="none" w:sz="0" w:space="0" w:color="auto" w:frame="1"/>
        </w:rPr>
        <w:t>2021;</w:t>
      </w:r>
      <w:proofErr w:type="gramEnd"/>
      <w:r w:rsidRPr="0048555E">
        <w:rPr>
          <w:rFonts w:ascii="Cambria" w:hAnsi="Cambria" w:cs="Calibri"/>
          <w:color w:val="201F1E"/>
          <w:sz w:val="16"/>
          <w:szCs w:val="16"/>
          <w:bdr w:val="none" w:sz="0" w:space="0" w:color="auto" w:frame="1"/>
        </w:rPr>
        <w:t xml:space="preserve"> </w:t>
      </w:r>
    </w:p>
    <w:p w14:paraId="6C48DC6B" w14:textId="77777777" w:rsidR="007E31E3" w:rsidRPr="0048555E" w:rsidRDefault="007E31E3" w:rsidP="008B073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rPr>
      </w:pPr>
      <w:r w:rsidRPr="0048555E">
        <w:rPr>
          <w:rFonts w:ascii="Cambria" w:hAnsi="Cambria" w:cs="Calibri"/>
          <w:color w:val="201F1E"/>
          <w:sz w:val="16"/>
          <w:szCs w:val="16"/>
          <w:bdr w:val="none" w:sz="0" w:space="0" w:color="auto" w:frame="1"/>
        </w:rPr>
        <w:t xml:space="preserve">IACHR Announces Publication of Report No. 40/21 on Case 11.562, Dixie Miguel Urbina Rosales, concerning Honduras, April 28, </w:t>
      </w:r>
      <w:proofErr w:type="gramStart"/>
      <w:r w:rsidRPr="0048555E">
        <w:rPr>
          <w:rFonts w:ascii="Cambria" w:hAnsi="Cambria" w:cs="Calibri"/>
          <w:color w:val="201F1E"/>
          <w:sz w:val="16"/>
          <w:szCs w:val="16"/>
          <w:bdr w:val="none" w:sz="0" w:space="0" w:color="auto" w:frame="1"/>
        </w:rPr>
        <w:t>2021;</w:t>
      </w:r>
      <w:proofErr w:type="gramEnd"/>
      <w:r w:rsidRPr="0048555E">
        <w:rPr>
          <w:rFonts w:ascii="Cambria" w:hAnsi="Cambria" w:cs="Calibri"/>
          <w:color w:val="201F1E"/>
          <w:sz w:val="16"/>
          <w:szCs w:val="16"/>
          <w:bdr w:val="none" w:sz="0" w:space="0" w:color="auto" w:frame="1"/>
        </w:rPr>
        <w:t xml:space="preserve"> </w:t>
      </w:r>
    </w:p>
    <w:p w14:paraId="423CF3F3" w14:textId="77777777" w:rsidR="007E31E3" w:rsidRPr="0048555E" w:rsidRDefault="007E31E3" w:rsidP="008B073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rPr>
      </w:pPr>
      <w:r w:rsidRPr="0048555E">
        <w:rPr>
          <w:rFonts w:ascii="Cambria" w:hAnsi="Cambria" w:cs="Calibri"/>
          <w:color w:val="201F1E"/>
          <w:sz w:val="16"/>
          <w:szCs w:val="16"/>
          <w:bdr w:val="none" w:sz="0" w:space="0" w:color="auto" w:frame="1"/>
        </w:rPr>
        <w:t xml:space="preserve">IACHR Announces the Publication of Report 41/21 on Case 13.642 Edgar José Sánchez Duarte and family, Concerning Colombia, April 29, </w:t>
      </w:r>
      <w:proofErr w:type="gramStart"/>
      <w:r w:rsidRPr="0048555E">
        <w:rPr>
          <w:rFonts w:ascii="Cambria" w:hAnsi="Cambria" w:cs="Calibri"/>
          <w:color w:val="201F1E"/>
          <w:sz w:val="16"/>
          <w:szCs w:val="16"/>
          <w:bdr w:val="none" w:sz="0" w:space="0" w:color="auto" w:frame="1"/>
        </w:rPr>
        <w:t>2021;</w:t>
      </w:r>
      <w:proofErr w:type="gramEnd"/>
      <w:r w:rsidRPr="0048555E">
        <w:rPr>
          <w:rFonts w:ascii="Cambria" w:hAnsi="Cambria" w:cs="Calibri"/>
          <w:color w:val="201F1E"/>
          <w:sz w:val="16"/>
          <w:szCs w:val="16"/>
          <w:bdr w:val="none" w:sz="0" w:space="0" w:color="auto" w:frame="1"/>
        </w:rPr>
        <w:t xml:space="preserve"> </w:t>
      </w:r>
    </w:p>
    <w:p w14:paraId="37678D84" w14:textId="77777777" w:rsidR="007E31E3" w:rsidRPr="0048555E" w:rsidRDefault="007E31E3" w:rsidP="008B073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rPr>
      </w:pPr>
      <w:r w:rsidRPr="0048555E">
        <w:rPr>
          <w:rFonts w:ascii="Cambria" w:hAnsi="Cambria" w:cs="Calibri"/>
          <w:color w:val="201F1E"/>
          <w:sz w:val="16"/>
          <w:szCs w:val="16"/>
          <w:bdr w:val="none" w:sz="0" w:space="0" w:color="auto" w:frame="1"/>
        </w:rPr>
        <w:t xml:space="preserve">IACHR Announces Publication of Report No. 42/21 on the case of </w:t>
      </w:r>
      <w:proofErr w:type="spellStart"/>
      <w:r w:rsidRPr="0048555E">
        <w:rPr>
          <w:rFonts w:ascii="Cambria" w:hAnsi="Cambria" w:cs="Calibri"/>
          <w:color w:val="201F1E"/>
          <w:sz w:val="16"/>
          <w:szCs w:val="16"/>
          <w:bdr w:val="none" w:sz="0" w:space="0" w:color="auto" w:frame="1"/>
        </w:rPr>
        <w:t>Ecar</w:t>
      </w:r>
      <w:proofErr w:type="spellEnd"/>
      <w:r w:rsidRPr="0048555E">
        <w:rPr>
          <w:rFonts w:ascii="Cambria" w:hAnsi="Cambria" w:cs="Calibri"/>
          <w:color w:val="201F1E"/>
          <w:sz w:val="16"/>
          <w:szCs w:val="16"/>
          <w:bdr w:val="none" w:sz="0" w:space="0" w:color="auto" w:frame="1"/>
        </w:rPr>
        <w:t xml:space="preserve"> Fernando Zavala Valladares and Others, Concerning Honduras, and Congratulates the State on Full Compliance with the Friendly Settlement Agreement, April 30, </w:t>
      </w:r>
      <w:proofErr w:type="gramStart"/>
      <w:r w:rsidRPr="0048555E">
        <w:rPr>
          <w:rFonts w:ascii="Cambria" w:hAnsi="Cambria" w:cs="Calibri"/>
          <w:color w:val="201F1E"/>
          <w:sz w:val="16"/>
          <w:szCs w:val="16"/>
          <w:bdr w:val="none" w:sz="0" w:space="0" w:color="auto" w:frame="1"/>
        </w:rPr>
        <w:t>2021;</w:t>
      </w:r>
      <w:proofErr w:type="gramEnd"/>
      <w:r w:rsidRPr="0048555E">
        <w:rPr>
          <w:rFonts w:ascii="Cambria" w:hAnsi="Cambria" w:cs="Calibri"/>
          <w:color w:val="201F1E"/>
          <w:sz w:val="16"/>
          <w:szCs w:val="16"/>
          <w:bdr w:val="none" w:sz="0" w:space="0" w:color="auto" w:frame="1"/>
        </w:rPr>
        <w:t xml:space="preserve"> </w:t>
      </w:r>
    </w:p>
    <w:p w14:paraId="1AACCB6F" w14:textId="77777777" w:rsidR="007E31E3" w:rsidRPr="0048555E" w:rsidRDefault="007E31E3" w:rsidP="008B073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rPr>
      </w:pPr>
      <w:r w:rsidRPr="0048555E">
        <w:rPr>
          <w:rFonts w:ascii="Cambria" w:hAnsi="Cambria" w:cs="Calibri"/>
          <w:color w:val="201F1E"/>
          <w:sz w:val="16"/>
          <w:szCs w:val="16"/>
          <w:bdr w:val="none" w:sz="0" w:space="0" w:color="auto" w:frame="1"/>
        </w:rPr>
        <w:t xml:space="preserve">IACHR Publishes Report No. 114/21, Concerning Case 12.737 Carlos Morales </w:t>
      </w:r>
      <w:proofErr w:type="spellStart"/>
      <w:r w:rsidRPr="0048555E">
        <w:rPr>
          <w:rFonts w:ascii="Cambria" w:hAnsi="Cambria" w:cs="Calibri"/>
          <w:color w:val="201F1E"/>
          <w:sz w:val="16"/>
          <w:szCs w:val="16"/>
          <w:bdr w:val="none" w:sz="0" w:space="0" w:color="auto" w:frame="1"/>
        </w:rPr>
        <w:t>Catalán</w:t>
      </w:r>
      <w:proofErr w:type="spellEnd"/>
      <w:r w:rsidRPr="0048555E">
        <w:rPr>
          <w:rFonts w:ascii="Cambria" w:hAnsi="Cambria" w:cs="Calibri"/>
          <w:color w:val="201F1E"/>
          <w:sz w:val="16"/>
          <w:szCs w:val="16"/>
          <w:bdr w:val="none" w:sz="0" w:space="0" w:color="auto" w:frame="1"/>
        </w:rPr>
        <w:t xml:space="preserve">, Guatemala, July 9, </w:t>
      </w:r>
      <w:proofErr w:type="gramStart"/>
      <w:r w:rsidRPr="0048555E">
        <w:rPr>
          <w:rFonts w:ascii="Cambria" w:hAnsi="Cambria" w:cs="Calibri"/>
          <w:color w:val="201F1E"/>
          <w:sz w:val="16"/>
          <w:szCs w:val="16"/>
          <w:bdr w:val="none" w:sz="0" w:space="0" w:color="auto" w:frame="1"/>
        </w:rPr>
        <w:t>2021;</w:t>
      </w:r>
      <w:proofErr w:type="gramEnd"/>
      <w:r w:rsidRPr="0048555E">
        <w:rPr>
          <w:rFonts w:ascii="Cambria" w:hAnsi="Cambria" w:cs="Calibri"/>
          <w:color w:val="201F1E"/>
          <w:sz w:val="16"/>
          <w:szCs w:val="16"/>
          <w:bdr w:val="none" w:sz="0" w:space="0" w:color="auto" w:frame="1"/>
        </w:rPr>
        <w:t xml:space="preserve"> </w:t>
      </w:r>
    </w:p>
    <w:p w14:paraId="720529ED" w14:textId="77777777" w:rsidR="007E31E3" w:rsidRPr="0048555E" w:rsidRDefault="007E31E3" w:rsidP="008B073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rPr>
      </w:pPr>
      <w:r w:rsidRPr="0048555E">
        <w:rPr>
          <w:rFonts w:ascii="Cambria" w:hAnsi="Cambria" w:cs="Calibri"/>
          <w:color w:val="201F1E"/>
          <w:sz w:val="16"/>
          <w:szCs w:val="16"/>
          <w:bdr w:val="none" w:sz="0" w:space="0" w:color="auto" w:frame="1"/>
        </w:rPr>
        <w:t xml:space="preserve">IACHR Publishes Report No. 115/21, Concerning Case 13.171 Luis </w:t>
      </w:r>
      <w:proofErr w:type="spellStart"/>
      <w:r w:rsidRPr="0048555E">
        <w:rPr>
          <w:rFonts w:ascii="Cambria" w:hAnsi="Cambria" w:cs="Calibri"/>
          <w:color w:val="201F1E"/>
          <w:sz w:val="16"/>
          <w:szCs w:val="16"/>
          <w:bdr w:val="none" w:sz="0" w:space="0" w:color="auto" w:frame="1"/>
        </w:rPr>
        <w:t>Argemiro</w:t>
      </w:r>
      <w:proofErr w:type="spellEnd"/>
      <w:r w:rsidRPr="0048555E">
        <w:rPr>
          <w:rFonts w:ascii="Cambria" w:hAnsi="Cambria" w:cs="Calibri"/>
          <w:color w:val="201F1E"/>
          <w:sz w:val="16"/>
          <w:szCs w:val="16"/>
          <w:bdr w:val="none" w:sz="0" w:space="0" w:color="auto" w:frame="1"/>
        </w:rPr>
        <w:t xml:space="preserve"> Gómez </w:t>
      </w:r>
      <w:proofErr w:type="spellStart"/>
      <w:r w:rsidRPr="0048555E">
        <w:rPr>
          <w:rFonts w:ascii="Cambria" w:hAnsi="Cambria" w:cs="Calibri"/>
          <w:color w:val="201F1E"/>
          <w:sz w:val="16"/>
          <w:szCs w:val="16"/>
          <w:bdr w:val="none" w:sz="0" w:space="0" w:color="auto" w:frame="1"/>
        </w:rPr>
        <w:t>Atehortua</w:t>
      </w:r>
      <w:proofErr w:type="spellEnd"/>
      <w:r w:rsidRPr="0048555E">
        <w:rPr>
          <w:rFonts w:ascii="Cambria" w:hAnsi="Cambria" w:cs="Calibri"/>
          <w:color w:val="201F1E"/>
          <w:sz w:val="16"/>
          <w:szCs w:val="16"/>
          <w:bdr w:val="none" w:sz="0" w:space="0" w:color="auto" w:frame="1"/>
        </w:rPr>
        <w:t xml:space="preserve">, Colombia, July 13, </w:t>
      </w:r>
      <w:proofErr w:type="gramStart"/>
      <w:r w:rsidRPr="0048555E">
        <w:rPr>
          <w:rFonts w:ascii="Cambria" w:hAnsi="Cambria" w:cs="Calibri"/>
          <w:color w:val="201F1E"/>
          <w:sz w:val="16"/>
          <w:szCs w:val="16"/>
          <w:bdr w:val="none" w:sz="0" w:space="0" w:color="auto" w:frame="1"/>
        </w:rPr>
        <w:t>2021;</w:t>
      </w:r>
      <w:proofErr w:type="gramEnd"/>
      <w:r w:rsidRPr="0048555E">
        <w:rPr>
          <w:rFonts w:ascii="Cambria" w:hAnsi="Cambria" w:cs="Calibri"/>
          <w:color w:val="201F1E"/>
          <w:sz w:val="16"/>
          <w:szCs w:val="16"/>
          <w:bdr w:val="none" w:sz="0" w:space="0" w:color="auto" w:frame="1"/>
        </w:rPr>
        <w:t xml:space="preserve"> </w:t>
      </w:r>
    </w:p>
    <w:p w14:paraId="4B2669AD" w14:textId="77777777" w:rsidR="007E31E3" w:rsidRPr="0048555E" w:rsidRDefault="007E31E3" w:rsidP="008B073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rPr>
      </w:pPr>
      <w:r w:rsidRPr="0048555E">
        <w:rPr>
          <w:rFonts w:ascii="Cambria" w:hAnsi="Cambria" w:cs="Calibri"/>
          <w:color w:val="201F1E"/>
          <w:sz w:val="16"/>
          <w:szCs w:val="16"/>
          <w:bdr w:val="none" w:sz="0" w:space="0" w:color="auto" w:frame="1"/>
        </w:rPr>
        <w:t xml:space="preserve">IACHR Announces Publication of Report No. 136/21 on Fazenda </w:t>
      </w:r>
      <w:proofErr w:type="spellStart"/>
      <w:r w:rsidRPr="0048555E">
        <w:rPr>
          <w:rFonts w:ascii="Cambria" w:hAnsi="Cambria" w:cs="Calibri"/>
          <w:color w:val="201F1E"/>
          <w:sz w:val="16"/>
          <w:szCs w:val="16"/>
          <w:bdr w:val="none" w:sz="0" w:space="0" w:color="auto" w:frame="1"/>
        </w:rPr>
        <w:t>Ubá</w:t>
      </w:r>
      <w:proofErr w:type="spellEnd"/>
      <w:r w:rsidRPr="0048555E">
        <w:rPr>
          <w:rFonts w:ascii="Cambria" w:hAnsi="Cambria" w:cs="Calibri"/>
          <w:color w:val="201F1E"/>
          <w:sz w:val="16"/>
          <w:szCs w:val="16"/>
          <w:bdr w:val="none" w:sz="0" w:space="0" w:color="auto" w:frame="1"/>
        </w:rPr>
        <w:t xml:space="preserve"> case, Concerning Brazil, August 9, </w:t>
      </w:r>
      <w:proofErr w:type="gramStart"/>
      <w:r w:rsidRPr="0048555E">
        <w:rPr>
          <w:rFonts w:ascii="Cambria" w:hAnsi="Cambria" w:cs="Calibri"/>
          <w:color w:val="201F1E"/>
          <w:sz w:val="16"/>
          <w:szCs w:val="16"/>
          <w:bdr w:val="none" w:sz="0" w:space="0" w:color="auto" w:frame="1"/>
        </w:rPr>
        <w:t>2021;</w:t>
      </w:r>
      <w:proofErr w:type="gramEnd"/>
      <w:r w:rsidRPr="0048555E">
        <w:rPr>
          <w:rFonts w:ascii="Cambria" w:hAnsi="Cambria" w:cs="Calibri"/>
          <w:color w:val="201F1E"/>
          <w:sz w:val="16"/>
          <w:szCs w:val="16"/>
          <w:bdr w:val="none" w:sz="0" w:space="0" w:color="auto" w:frame="1"/>
        </w:rPr>
        <w:t xml:space="preserve"> </w:t>
      </w:r>
    </w:p>
    <w:p w14:paraId="1BB0E000" w14:textId="77777777" w:rsidR="007E31E3" w:rsidRPr="0048555E" w:rsidRDefault="007E31E3" w:rsidP="008B073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rPr>
      </w:pPr>
      <w:r w:rsidRPr="0048555E">
        <w:rPr>
          <w:rFonts w:ascii="Cambria" w:hAnsi="Cambria" w:cs="Calibri"/>
          <w:color w:val="201F1E"/>
          <w:sz w:val="16"/>
          <w:szCs w:val="16"/>
          <w:bdr w:val="none" w:sz="0" w:space="0" w:color="auto" w:frame="1"/>
        </w:rPr>
        <w:t xml:space="preserve">IACHR Welcomes Friendly Settlement Agreement Signed in F.S. Case, Chile, August 27, </w:t>
      </w:r>
      <w:proofErr w:type="gramStart"/>
      <w:r w:rsidRPr="0048555E">
        <w:rPr>
          <w:rFonts w:ascii="Cambria" w:hAnsi="Cambria" w:cs="Calibri"/>
          <w:color w:val="201F1E"/>
          <w:sz w:val="16"/>
          <w:szCs w:val="16"/>
          <w:bdr w:val="none" w:sz="0" w:space="0" w:color="auto" w:frame="1"/>
        </w:rPr>
        <w:t>2021;</w:t>
      </w:r>
      <w:proofErr w:type="gramEnd"/>
      <w:r w:rsidRPr="0048555E">
        <w:rPr>
          <w:rFonts w:ascii="Cambria" w:hAnsi="Cambria" w:cs="Calibri"/>
          <w:color w:val="201F1E"/>
          <w:sz w:val="16"/>
          <w:szCs w:val="16"/>
          <w:bdr w:val="none" w:sz="0" w:space="0" w:color="auto" w:frame="1"/>
        </w:rPr>
        <w:t xml:space="preserve"> </w:t>
      </w:r>
    </w:p>
    <w:p w14:paraId="6B8E24C8" w14:textId="77777777" w:rsidR="007E31E3" w:rsidRPr="0048555E" w:rsidRDefault="007E31E3" w:rsidP="008B073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rPr>
      </w:pPr>
      <w:r w:rsidRPr="0048555E">
        <w:rPr>
          <w:rFonts w:ascii="Cambria" w:hAnsi="Cambria" w:cs="Calibri"/>
          <w:color w:val="201F1E"/>
          <w:sz w:val="16"/>
          <w:szCs w:val="16"/>
          <w:bdr w:val="none" w:sz="0" w:space="0" w:color="auto" w:frame="1"/>
        </w:rPr>
        <w:t xml:space="preserve">IACHR Welcomes Signing of Friendly Settlement Agreement for Petition on Ivana </w:t>
      </w:r>
      <w:proofErr w:type="spellStart"/>
      <w:r w:rsidRPr="0048555E">
        <w:rPr>
          <w:rFonts w:ascii="Cambria" w:hAnsi="Cambria" w:cs="Calibri"/>
          <w:color w:val="201F1E"/>
          <w:sz w:val="16"/>
          <w:szCs w:val="16"/>
          <w:bdr w:val="none" w:sz="0" w:space="0" w:color="auto" w:frame="1"/>
        </w:rPr>
        <w:t>Emilce</w:t>
      </w:r>
      <w:proofErr w:type="spellEnd"/>
      <w:r w:rsidRPr="0048555E">
        <w:rPr>
          <w:rFonts w:ascii="Cambria" w:hAnsi="Cambria" w:cs="Calibri"/>
          <w:color w:val="201F1E"/>
          <w:sz w:val="16"/>
          <w:szCs w:val="16"/>
          <w:bdr w:val="none" w:sz="0" w:space="0" w:color="auto" w:frame="1"/>
        </w:rPr>
        <w:t xml:space="preserve"> Rosales, Concerning Gender Violence in Argentina, September 24, </w:t>
      </w:r>
      <w:proofErr w:type="gramStart"/>
      <w:r w:rsidRPr="0048555E">
        <w:rPr>
          <w:rFonts w:ascii="Cambria" w:hAnsi="Cambria" w:cs="Calibri"/>
          <w:color w:val="201F1E"/>
          <w:sz w:val="16"/>
          <w:szCs w:val="16"/>
          <w:bdr w:val="none" w:sz="0" w:space="0" w:color="auto" w:frame="1"/>
        </w:rPr>
        <w:t>2021;</w:t>
      </w:r>
      <w:proofErr w:type="gramEnd"/>
      <w:r w:rsidRPr="0048555E">
        <w:rPr>
          <w:rFonts w:ascii="Cambria" w:hAnsi="Cambria" w:cs="Calibri"/>
          <w:color w:val="201F1E"/>
          <w:sz w:val="16"/>
          <w:szCs w:val="16"/>
          <w:bdr w:val="none" w:sz="0" w:space="0" w:color="auto" w:frame="1"/>
        </w:rPr>
        <w:t xml:space="preserve"> </w:t>
      </w:r>
    </w:p>
    <w:p w14:paraId="4726031E" w14:textId="77777777" w:rsidR="007E31E3" w:rsidRPr="0048555E" w:rsidRDefault="007E31E3" w:rsidP="008B073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rPr>
      </w:pPr>
      <w:r w:rsidRPr="0048555E">
        <w:rPr>
          <w:rFonts w:ascii="Cambria" w:hAnsi="Cambria" w:cs="Calibri"/>
          <w:color w:val="201F1E"/>
          <w:sz w:val="16"/>
          <w:szCs w:val="16"/>
          <w:bdr w:val="none" w:sz="0" w:space="0" w:color="auto" w:frame="1"/>
        </w:rPr>
        <w:t xml:space="preserve">IACHR Publishes Friendly Settlement Report on the Sexual Violence Case Concerning Martha María </w:t>
      </w:r>
      <w:proofErr w:type="spellStart"/>
      <w:r w:rsidRPr="0048555E">
        <w:rPr>
          <w:rFonts w:ascii="Cambria" w:hAnsi="Cambria" w:cs="Calibri"/>
          <w:color w:val="201F1E"/>
          <w:sz w:val="16"/>
          <w:szCs w:val="16"/>
          <w:bdr w:val="none" w:sz="0" w:space="0" w:color="auto" w:frame="1"/>
        </w:rPr>
        <w:t>Saire</w:t>
      </w:r>
      <w:proofErr w:type="spellEnd"/>
      <w:r w:rsidRPr="0048555E">
        <w:rPr>
          <w:rFonts w:ascii="Cambria" w:hAnsi="Cambria" w:cs="Calibri"/>
          <w:color w:val="201F1E"/>
          <w:sz w:val="16"/>
          <w:szCs w:val="16"/>
          <w:bdr w:val="none" w:sz="0" w:space="0" w:color="auto" w:frame="1"/>
        </w:rPr>
        <w:t xml:space="preserve"> in Honduras, October 5, </w:t>
      </w:r>
      <w:proofErr w:type="gramStart"/>
      <w:r w:rsidRPr="0048555E">
        <w:rPr>
          <w:rFonts w:ascii="Cambria" w:hAnsi="Cambria" w:cs="Calibri"/>
          <w:color w:val="201F1E"/>
          <w:sz w:val="16"/>
          <w:szCs w:val="16"/>
          <w:bdr w:val="none" w:sz="0" w:space="0" w:color="auto" w:frame="1"/>
        </w:rPr>
        <w:t>2021;</w:t>
      </w:r>
      <w:proofErr w:type="gramEnd"/>
      <w:r w:rsidRPr="0048555E">
        <w:rPr>
          <w:rFonts w:ascii="Cambria" w:hAnsi="Cambria" w:cs="Calibri"/>
          <w:color w:val="201F1E"/>
          <w:sz w:val="16"/>
          <w:szCs w:val="16"/>
          <w:bdr w:val="none" w:sz="0" w:space="0" w:color="auto" w:frame="1"/>
        </w:rPr>
        <w:t xml:space="preserve"> </w:t>
      </w:r>
    </w:p>
    <w:p w14:paraId="1852767C" w14:textId="77777777" w:rsidR="007E31E3" w:rsidRPr="0048555E" w:rsidRDefault="007E31E3" w:rsidP="008B073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rPr>
      </w:pPr>
      <w:r w:rsidRPr="0048555E">
        <w:rPr>
          <w:rFonts w:ascii="Cambria" w:hAnsi="Cambria" w:cs="Calibri"/>
          <w:color w:val="201F1E"/>
          <w:sz w:val="16"/>
          <w:szCs w:val="16"/>
          <w:bdr w:val="none" w:sz="0" w:space="0" w:color="auto" w:frame="1"/>
        </w:rPr>
        <w:t xml:space="preserve">IACHR Welcomes Full Compliance with Friendly Settlement Agreement in Case 12.961 J – Faustino García Cárdenas, Honduras, Concerning Judicial Protection and Safeguards, October 6, </w:t>
      </w:r>
      <w:proofErr w:type="gramStart"/>
      <w:r w:rsidRPr="0048555E">
        <w:rPr>
          <w:rFonts w:ascii="Cambria" w:hAnsi="Cambria" w:cs="Calibri"/>
          <w:color w:val="201F1E"/>
          <w:sz w:val="16"/>
          <w:szCs w:val="16"/>
          <w:bdr w:val="none" w:sz="0" w:space="0" w:color="auto" w:frame="1"/>
        </w:rPr>
        <w:t>2021;</w:t>
      </w:r>
      <w:proofErr w:type="gramEnd"/>
      <w:r w:rsidRPr="0048555E">
        <w:rPr>
          <w:rFonts w:ascii="Cambria" w:hAnsi="Cambria" w:cs="Calibri"/>
          <w:color w:val="201F1E"/>
          <w:sz w:val="16"/>
          <w:szCs w:val="16"/>
          <w:bdr w:val="none" w:sz="0" w:space="0" w:color="auto" w:frame="1"/>
        </w:rPr>
        <w:t xml:space="preserve"> </w:t>
      </w:r>
    </w:p>
    <w:p w14:paraId="2E982BB2" w14:textId="77777777" w:rsidR="007E31E3" w:rsidRPr="0048555E" w:rsidRDefault="007E31E3" w:rsidP="008B073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rPr>
      </w:pPr>
      <w:r w:rsidRPr="0048555E">
        <w:rPr>
          <w:rFonts w:ascii="Cambria" w:hAnsi="Cambria" w:cs="Calibri"/>
          <w:color w:val="201F1E"/>
          <w:sz w:val="16"/>
          <w:szCs w:val="16"/>
          <w:bdr w:val="none" w:sz="0" w:space="0" w:color="auto" w:frame="1"/>
        </w:rPr>
        <w:t xml:space="preserve">IACHR Publishes Report on Case of Faustino Jiménez in Mexico, Concerning Disappearance and Torture, October 13, </w:t>
      </w:r>
      <w:proofErr w:type="gramStart"/>
      <w:r w:rsidRPr="0048555E">
        <w:rPr>
          <w:rFonts w:ascii="Cambria" w:hAnsi="Cambria" w:cs="Calibri"/>
          <w:color w:val="201F1E"/>
          <w:sz w:val="16"/>
          <w:szCs w:val="16"/>
          <w:bdr w:val="none" w:sz="0" w:space="0" w:color="auto" w:frame="1"/>
        </w:rPr>
        <w:t>2021;</w:t>
      </w:r>
      <w:proofErr w:type="gramEnd"/>
      <w:r w:rsidRPr="0048555E">
        <w:rPr>
          <w:rFonts w:ascii="Cambria" w:hAnsi="Cambria" w:cs="Calibri"/>
          <w:color w:val="201F1E"/>
          <w:sz w:val="16"/>
          <w:szCs w:val="16"/>
          <w:bdr w:val="none" w:sz="0" w:space="0" w:color="auto" w:frame="1"/>
        </w:rPr>
        <w:t xml:space="preserve"> </w:t>
      </w:r>
    </w:p>
    <w:p w14:paraId="1ED10B6E" w14:textId="77777777" w:rsidR="007E31E3" w:rsidRPr="0048555E" w:rsidRDefault="007E31E3" w:rsidP="008B073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rPr>
      </w:pPr>
      <w:r w:rsidRPr="0048555E">
        <w:rPr>
          <w:rFonts w:ascii="Cambria" w:hAnsi="Cambria" w:cs="Calibri"/>
          <w:color w:val="201F1E"/>
          <w:sz w:val="16"/>
          <w:szCs w:val="16"/>
          <w:bdr w:val="none" w:sz="0" w:space="0" w:color="auto" w:frame="1"/>
        </w:rPr>
        <w:t xml:space="preserve">IACHR to Publish Friendly Settlement Agreement in Case of Marcelino Gómez and One Other, Paraguay, Concerning Illegal Conscription and Disappearance While in the Custody of the Army, November 2, </w:t>
      </w:r>
      <w:proofErr w:type="gramStart"/>
      <w:r w:rsidRPr="0048555E">
        <w:rPr>
          <w:rFonts w:ascii="Cambria" w:hAnsi="Cambria" w:cs="Calibri"/>
          <w:color w:val="201F1E"/>
          <w:sz w:val="16"/>
          <w:szCs w:val="16"/>
          <w:bdr w:val="none" w:sz="0" w:space="0" w:color="auto" w:frame="1"/>
        </w:rPr>
        <w:t>2021;</w:t>
      </w:r>
      <w:proofErr w:type="gramEnd"/>
      <w:r w:rsidRPr="0048555E">
        <w:rPr>
          <w:rFonts w:ascii="Cambria" w:hAnsi="Cambria" w:cs="Calibri"/>
          <w:color w:val="201F1E"/>
          <w:sz w:val="16"/>
          <w:szCs w:val="16"/>
          <w:bdr w:val="none" w:sz="0" w:space="0" w:color="auto" w:frame="1"/>
        </w:rPr>
        <w:t xml:space="preserve"> </w:t>
      </w:r>
    </w:p>
    <w:p w14:paraId="54B0448A" w14:textId="77777777" w:rsidR="007E31E3" w:rsidRPr="0048555E" w:rsidRDefault="007E31E3" w:rsidP="008B073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rPr>
      </w:pPr>
      <w:r w:rsidRPr="0048555E">
        <w:rPr>
          <w:rFonts w:ascii="Cambria" w:hAnsi="Cambria" w:cs="Calibri"/>
          <w:color w:val="201F1E"/>
          <w:sz w:val="16"/>
          <w:szCs w:val="16"/>
          <w:bdr w:val="none" w:sz="0" w:space="0" w:color="auto" w:frame="1"/>
        </w:rPr>
        <w:t xml:space="preserve">IACHR Plans to Publish Friendly Settlement Agreement on the Case of Amanda Graciela </w:t>
      </w:r>
      <w:proofErr w:type="spellStart"/>
      <w:r w:rsidRPr="0048555E">
        <w:rPr>
          <w:rFonts w:ascii="Cambria" w:hAnsi="Cambria" w:cs="Calibri"/>
          <w:color w:val="201F1E"/>
          <w:sz w:val="16"/>
          <w:szCs w:val="16"/>
          <w:bdr w:val="none" w:sz="0" w:space="0" w:color="auto" w:frame="1"/>
        </w:rPr>
        <w:t>Encaje</w:t>
      </w:r>
      <w:proofErr w:type="spellEnd"/>
      <w:r w:rsidRPr="0048555E">
        <w:rPr>
          <w:rFonts w:ascii="Cambria" w:hAnsi="Cambria" w:cs="Calibri"/>
          <w:color w:val="201F1E"/>
          <w:sz w:val="16"/>
          <w:szCs w:val="16"/>
          <w:bdr w:val="none" w:sz="0" w:space="0" w:color="auto" w:frame="1"/>
        </w:rPr>
        <w:t xml:space="preserve"> and Family, Concerning the International Responsibility of the Argentine State for </w:t>
      </w:r>
      <w:proofErr w:type="gramStart"/>
      <w:r w:rsidRPr="0048555E">
        <w:rPr>
          <w:rFonts w:ascii="Cambria" w:hAnsi="Cambria" w:cs="Calibri"/>
          <w:color w:val="201F1E"/>
          <w:sz w:val="16"/>
          <w:szCs w:val="16"/>
          <w:bdr w:val="none" w:sz="0" w:space="0" w:color="auto" w:frame="1"/>
        </w:rPr>
        <w:t>the  Judiciary’s</w:t>
      </w:r>
      <w:proofErr w:type="gramEnd"/>
      <w:r w:rsidRPr="0048555E">
        <w:rPr>
          <w:rFonts w:ascii="Cambria" w:hAnsi="Cambria" w:cs="Calibri"/>
          <w:color w:val="201F1E"/>
          <w:sz w:val="16"/>
          <w:szCs w:val="16"/>
          <w:bdr w:val="none" w:sz="0" w:space="0" w:color="auto" w:frame="1"/>
        </w:rPr>
        <w:t xml:space="preserve"> Failure to Investigate her Murder, November 10, 2021. </w:t>
      </w:r>
    </w:p>
    <w:p w14:paraId="09424A36" w14:textId="77777777" w:rsidR="007E31E3" w:rsidRPr="0048555E" w:rsidRDefault="007E31E3" w:rsidP="008B073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rPr>
      </w:pPr>
      <w:r w:rsidRPr="0048555E">
        <w:rPr>
          <w:rFonts w:ascii="Cambria" w:hAnsi="Cambria" w:cs="Calibri"/>
          <w:color w:val="201F1E"/>
          <w:sz w:val="16"/>
          <w:szCs w:val="16"/>
          <w:bdr w:val="none" w:sz="0" w:space="0" w:color="auto" w:frame="1"/>
        </w:rPr>
        <w:t xml:space="preserve">IACHR publishes the Report on the Ronald Jared Martínez </w:t>
      </w:r>
      <w:proofErr w:type="spellStart"/>
      <w:r w:rsidRPr="0048555E">
        <w:rPr>
          <w:rFonts w:ascii="Cambria" w:hAnsi="Cambria" w:cs="Calibri"/>
          <w:color w:val="201F1E"/>
          <w:sz w:val="16"/>
          <w:szCs w:val="16"/>
          <w:bdr w:val="none" w:sz="0" w:space="0" w:color="auto" w:frame="1"/>
        </w:rPr>
        <w:t>Velásquez</w:t>
      </w:r>
      <w:proofErr w:type="spellEnd"/>
      <w:r w:rsidRPr="0048555E">
        <w:rPr>
          <w:rFonts w:ascii="Cambria" w:hAnsi="Cambria" w:cs="Calibri"/>
          <w:color w:val="201F1E"/>
          <w:sz w:val="16"/>
          <w:szCs w:val="16"/>
          <w:bdr w:val="none" w:sz="0" w:space="0" w:color="auto" w:frame="1"/>
        </w:rPr>
        <w:t xml:space="preserve"> Case of Honduras for the disproportionate use of force. December 10, 2021.</w:t>
      </w:r>
    </w:p>
    <w:p w14:paraId="4F25B88E" w14:textId="77777777" w:rsidR="007E31E3" w:rsidRPr="0048555E" w:rsidRDefault="007E31E3" w:rsidP="008B073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rPr>
      </w:pPr>
      <w:r w:rsidRPr="0048555E">
        <w:rPr>
          <w:rFonts w:ascii="Cambria" w:hAnsi="Cambria" w:cs="Calibri"/>
          <w:color w:val="201F1E"/>
          <w:sz w:val="16"/>
          <w:szCs w:val="16"/>
          <w:bdr w:val="none" w:sz="0" w:space="0" w:color="auto" w:frame="1"/>
        </w:rPr>
        <w:t>The IACHR announces the publication of the Report on the 14-year-old Franklin Bustamante Restrepo case of Colombia on extrajudicial execution. December 10, 2021.</w:t>
      </w:r>
    </w:p>
    <w:p w14:paraId="75260F9A" w14:textId="77777777" w:rsidR="007E31E3" w:rsidRPr="0048555E" w:rsidRDefault="007E31E3" w:rsidP="008B073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rPr>
      </w:pPr>
      <w:r w:rsidRPr="0048555E">
        <w:rPr>
          <w:rFonts w:ascii="Cambria" w:hAnsi="Cambria" w:cs="Calibri"/>
          <w:color w:val="201F1E"/>
          <w:sz w:val="16"/>
          <w:szCs w:val="16"/>
          <w:bdr w:val="none" w:sz="0" w:space="0" w:color="auto" w:frame="1"/>
        </w:rPr>
        <w:t>The IACHR announces publication of the Report on the Carlos Mario Muñoz Gómez of Colombia case on disappearance and extrajudicial execution. December 10, 2021.</w:t>
      </w:r>
      <w:bookmarkEnd w:id="3"/>
    </w:p>
  </w:footnote>
  <w:footnote w:id="15">
    <w:p w14:paraId="503175FD"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In this respect see IACHR, Report No. 204/21, Case 11.545. Friendly Settlement. Martha María </w:t>
      </w:r>
      <w:proofErr w:type="spellStart"/>
      <w:r w:rsidRPr="0048555E">
        <w:rPr>
          <w:rFonts w:ascii="Cambria" w:hAnsi="Cambria"/>
          <w:sz w:val="16"/>
          <w:szCs w:val="16"/>
        </w:rPr>
        <w:t>Saire</w:t>
      </w:r>
      <w:proofErr w:type="spellEnd"/>
      <w:r w:rsidRPr="0048555E">
        <w:rPr>
          <w:rFonts w:ascii="Cambria" w:hAnsi="Cambria"/>
          <w:sz w:val="16"/>
          <w:szCs w:val="16"/>
        </w:rPr>
        <w:t>. Honduras. September 4, 2021.</w:t>
      </w:r>
    </w:p>
  </w:footnote>
  <w:footnote w:id="16">
    <w:p w14:paraId="14884C3F"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In this respect, see, IACHR Channel website. Available at: </w:t>
      </w:r>
      <w:hyperlink r:id="rId9" w:history="1">
        <w:r w:rsidRPr="0048555E">
          <w:rPr>
            <w:rStyle w:val="Hyperlink"/>
            <w:rFonts w:ascii="Cambria" w:hAnsi="Cambria"/>
            <w:sz w:val="16"/>
            <w:szCs w:val="16"/>
          </w:rPr>
          <w:t>https://www.canalcidh.org/</w:t>
        </w:r>
      </w:hyperlink>
      <w:r w:rsidRPr="0048555E">
        <w:rPr>
          <w:rFonts w:ascii="Cambria" w:hAnsi="Cambria"/>
          <w:sz w:val="16"/>
          <w:szCs w:val="16"/>
        </w:rPr>
        <w:t xml:space="preserve"> </w:t>
      </w:r>
    </w:p>
  </w:footnote>
  <w:footnote w:id="17">
    <w:p w14:paraId="4BE1BE7D" w14:textId="77777777" w:rsidR="007E31E3" w:rsidRPr="0048555E" w:rsidRDefault="007E31E3" w:rsidP="00655B94">
      <w:pPr>
        <w:pStyle w:val="FootnoteText"/>
        <w:spacing w:after="120"/>
        <w:ind w:firstLine="720"/>
        <w:jc w:val="both"/>
        <w:rPr>
          <w:rFonts w:ascii="Cambria" w:hAnsi="Cambria"/>
          <w:sz w:val="16"/>
          <w:szCs w:val="16"/>
          <w:lang w:val="es-CO"/>
        </w:rPr>
      </w:pPr>
      <w:r w:rsidRPr="0048555E">
        <w:rPr>
          <w:rStyle w:val="FootnoteReference"/>
          <w:rFonts w:ascii="Cambria" w:hAnsi="Cambria"/>
          <w:sz w:val="16"/>
          <w:szCs w:val="16"/>
        </w:rPr>
        <w:footnoteRef/>
      </w:r>
      <w:r w:rsidRPr="0048555E">
        <w:rPr>
          <w:rFonts w:ascii="Cambria" w:hAnsi="Cambria"/>
          <w:sz w:val="16"/>
          <w:szCs w:val="16"/>
        </w:rPr>
        <w:t xml:space="preserve"> In this respect, see IACHR Channel. </w:t>
      </w:r>
      <w:hyperlink r:id="rId10" w:history="1">
        <w:r w:rsidRPr="0048555E">
          <w:rPr>
            <w:rStyle w:val="Hyperlink"/>
            <w:rFonts w:ascii="Cambria" w:hAnsi="Cambria"/>
            <w:sz w:val="16"/>
            <w:szCs w:val="16"/>
            <w:lang w:val="es-CO"/>
          </w:rPr>
          <w:t>La lucha de Graciela Ramos Rocha por justicia y una vivienda digna para su familia</w:t>
        </w:r>
      </w:hyperlink>
      <w:r w:rsidRPr="0048555E">
        <w:rPr>
          <w:rFonts w:ascii="Cambria" w:hAnsi="Cambria"/>
          <w:sz w:val="16"/>
          <w:szCs w:val="16"/>
          <w:lang w:val="es-CO"/>
        </w:rPr>
        <w:t>.</w:t>
      </w:r>
    </w:p>
  </w:footnote>
  <w:footnote w:id="18">
    <w:p w14:paraId="2E55A4B1" w14:textId="77777777" w:rsidR="007E31E3" w:rsidRPr="0048555E" w:rsidRDefault="007E31E3" w:rsidP="00655B94">
      <w:pPr>
        <w:pStyle w:val="FootnoteText"/>
        <w:spacing w:after="120"/>
        <w:ind w:firstLine="720"/>
        <w:jc w:val="both"/>
        <w:rPr>
          <w:rFonts w:ascii="Cambria" w:hAnsi="Cambria"/>
          <w:sz w:val="16"/>
          <w:szCs w:val="16"/>
          <w:lang w:val="es-CO"/>
        </w:rPr>
      </w:pPr>
      <w:r w:rsidRPr="0048555E">
        <w:rPr>
          <w:rStyle w:val="FootnoteReference"/>
          <w:rFonts w:ascii="Cambria" w:hAnsi="Cambria"/>
          <w:sz w:val="16"/>
          <w:szCs w:val="16"/>
        </w:rPr>
        <w:footnoteRef/>
      </w:r>
      <w:r w:rsidRPr="0048555E">
        <w:rPr>
          <w:rFonts w:ascii="Cambria" w:hAnsi="Cambria"/>
          <w:sz w:val="16"/>
          <w:szCs w:val="16"/>
        </w:rPr>
        <w:t xml:space="preserve"> In this respect, see IACHR Channel. </w:t>
      </w:r>
      <w:hyperlink r:id="rId11" w:history="1">
        <w:r w:rsidRPr="0048555E">
          <w:rPr>
            <w:rStyle w:val="Hyperlink"/>
            <w:rFonts w:ascii="Cambria" w:hAnsi="Cambria"/>
            <w:sz w:val="16"/>
            <w:szCs w:val="16"/>
            <w:lang w:val="es-CO"/>
          </w:rPr>
          <w:t>Mujer campesina y madre de siete hijos, María Mamérita Mestanza fue obligada a hacerse una ligadura de las trompas. Murió de complicaciones postoperatorias un mes después</w:t>
        </w:r>
      </w:hyperlink>
      <w:r w:rsidRPr="0048555E">
        <w:rPr>
          <w:rFonts w:ascii="Cambria" w:hAnsi="Cambria"/>
          <w:sz w:val="16"/>
          <w:szCs w:val="16"/>
          <w:lang w:val="es-CO"/>
        </w:rPr>
        <w:t>.</w:t>
      </w:r>
    </w:p>
  </w:footnote>
  <w:footnote w:id="19">
    <w:p w14:paraId="269BE7A1"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524435">
        <w:rPr>
          <w:rFonts w:ascii="Cambria" w:hAnsi="Cambria"/>
          <w:sz w:val="16"/>
          <w:szCs w:val="16"/>
          <w:lang w:val="es-US"/>
        </w:rPr>
        <w:t xml:space="preserve"> In </w:t>
      </w:r>
      <w:proofErr w:type="spellStart"/>
      <w:r w:rsidRPr="00524435">
        <w:rPr>
          <w:rFonts w:ascii="Cambria" w:hAnsi="Cambria"/>
          <w:sz w:val="16"/>
          <w:szCs w:val="16"/>
          <w:lang w:val="es-US"/>
        </w:rPr>
        <w:t>this</w:t>
      </w:r>
      <w:proofErr w:type="spellEnd"/>
      <w:r w:rsidRPr="00524435">
        <w:rPr>
          <w:rFonts w:ascii="Cambria" w:hAnsi="Cambria"/>
          <w:sz w:val="16"/>
          <w:szCs w:val="16"/>
          <w:lang w:val="es-US"/>
        </w:rPr>
        <w:t xml:space="preserve"> </w:t>
      </w:r>
      <w:proofErr w:type="spellStart"/>
      <w:r w:rsidRPr="00524435">
        <w:rPr>
          <w:rFonts w:ascii="Cambria" w:hAnsi="Cambria"/>
          <w:sz w:val="16"/>
          <w:szCs w:val="16"/>
          <w:lang w:val="es-US"/>
        </w:rPr>
        <w:t>respect</w:t>
      </w:r>
      <w:proofErr w:type="spellEnd"/>
      <w:r w:rsidRPr="00524435">
        <w:rPr>
          <w:rFonts w:ascii="Cambria" w:hAnsi="Cambria"/>
          <w:sz w:val="16"/>
          <w:szCs w:val="16"/>
          <w:lang w:val="es-US"/>
        </w:rPr>
        <w:t xml:space="preserve">, </w:t>
      </w:r>
      <w:proofErr w:type="spellStart"/>
      <w:r w:rsidRPr="00524435">
        <w:rPr>
          <w:rFonts w:ascii="Cambria" w:hAnsi="Cambria"/>
          <w:sz w:val="16"/>
          <w:szCs w:val="16"/>
          <w:lang w:val="es-US"/>
        </w:rPr>
        <w:t>see</w:t>
      </w:r>
      <w:proofErr w:type="spellEnd"/>
      <w:r w:rsidRPr="00524435">
        <w:rPr>
          <w:rFonts w:ascii="Cambria" w:hAnsi="Cambria"/>
          <w:sz w:val="16"/>
          <w:szCs w:val="16"/>
          <w:lang w:val="es-US"/>
        </w:rPr>
        <w:t xml:space="preserve"> IACHR </w:t>
      </w:r>
      <w:proofErr w:type="spellStart"/>
      <w:r w:rsidRPr="00524435">
        <w:rPr>
          <w:rFonts w:ascii="Cambria" w:hAnsi="Cambria"/>
          <w:sz w:val="16"/>
          <w:szCs w:val="16"/>
          <w:lang w:val="es-US"/>
        </w:rPr>
        <w:t>Channel</w:t>
      </w:r>
      <w:proofErr w:type="spellEnd"/>
      <w:r w:rsidRPr="00524435">
        <w:rPr>
          <w:rFonts w:ascii="Cambria" w:hAnsi="Cambria"/>
          <w:sz w:val="16"/>
          <w:szCs w:val="16"/>
          <w:lang w:val="es-US"/>
        </w:rPr>
        <w:t xml:space="preserve">. </w:t>
      </w:r>
      <w:hyperlink r:id="rId12" w:history="1">
        <w:r w:rsidRPr="0048555E">
          <w:rPr>
            <w:rStyle w:val="Hyperlink"/>
            <w:rFonts w:ascii="Cambria" w:hAnsi="Cambria"/>
            <w:sz w:val="16"/>
            <w:szCs w:val="16"/>
          </w:rPr>
          <w:t>"</w:t>
        </w:r>
        <w:proofErr w:type="spellStart"/>
        <w:r w:rsidRPr="0048555E">
          <w:rPr>
            <w:rStyle w:val="Hyperlink"/>
            <w:rFonts w:ascii="Cambria" w:hAnsi="Cambria"/>
            <w:sz w:val="16"/>
            <w:szCs w:val="16"/>
          </w:rPr>
          <w:t>Tenemos</w:t>
        </w:r>
        <w:proofErr w:type="spellEnd"/>
        <w:r w:rsidRPr="0048555E">
          <w:rPr>
            <w:rStyle w:val="Hyperlink"/>
            <w:rFonts w:ascii="Cambria" w:hAnsi="Cambria"/>
            <w:sz w:val="16"/>
            <w:szCs w:val="16"/>
          </w:rPr>
          <w:t xml:space="preserve"> derecho a </w:t>
        </w:r>
        <w:proofErr w:type="spellStart"/>
        <w:r w:rsidRPr="0048555E">
          <w:rPr>
            <w:rStyle w:val="Hyperlink"/>
            <w:rFonts w:ascii="Cambria" w:hAnsi="Cambria"/>
            <w:sz w:val="16"/>
            <w:szCs w:val="16"/>
          </w:rPr>
          <w:t>una</w:t>
        </w:r>
        <w:proofErr w:type="spellEnd"/>
        <w:r w:rsidRPr="0048555E">
          <w:rPr>
            <w:rStyle w:val="Hyperlink"/>
            <w:rFonts w:ascii="Cambria" w:hAnsi="Cambria"/>
            <w:sz w:val="16"/>
            <w:szCs w:val="16"/>
          </w:rPr>
          <w:t xml:space="preserve"> vivienda. No somos basura."</w:t>
        </w:r>
      </w:hyperlink>
    </w:p>
  </w:footnote>
  <w:footnote w:id="20">
    <w:p w14:paraId="4611D059" w14:textId="77777777" w:rsidR="007E31E3" w:rsidRPr="0048555E" w:rsidRDefault="007E31E3" w:rsidP="00655B94">
      <w:pPr>
        <w:pBdr>
          <w:top w:val="nil"/>
          <w:left w:val="nil"/>
          <w:bottom w:val="nil"/>
          <w:right w:val="nil"/>
          <w:between w:val="nil"/>
          <w:bar w:val="nil"/>
        </w:pBdr>
        <w:spacing w:after="120" w:line="240" w:lineRule="auto"/>
        <w:ind w:firstLine="720"/>
        <w:jc w:val="both"/>
        <w:rPr>
          <w:rFonts w:ascii="Cambria" w:hAnsi="Cambria" w:cs="Calibri Light"/>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On September </w:t>
      </w:r>
      <w:r w:rsidRPr="0048555E">
        <w:rPr>
          <w:rStyle w:val="Nenhum"/>
          <w:rFonts w:ascii="Cambria" w:eastAsiaTheme="majorEastAsia" w:hAnsi="Cambria" w:cs="Calibri Light"/>
          <w:sz w:val="16"/>
          <w:szCs w:val="16"/>
        </w:rPr>
        <w:t xml:space="preserve">23, 2021, Commissioner Julissa Mantilla, Rapporteur of the IACHR for Argentina, participated in the ceremony for signing the agreement and recognizing responsibility in respect of </w:t>
      </w:r>
      <w:r w:rsidRPr="0048555E">
        <w:rPr>
          <w:rStyle w:val="Nenhum"/>
          <w:rFonts w:ascii="Cambria" w:hAnsi="Cambria" w:cs="Calibri Light"/>
          <w:i/>
          <w:iCs/>
          <w:sz w:val="16"/>
          <w:szCs w:val="16"/>
        </w:rPr>
        <w:t>P</w:t>
      </w:r>
      <w:r w:rsidRPr="0048555E">
        <w:rPr>
          <w:rStyle w:val="Nenhum"/>
          <w:rFonts w:ascii="Cambria" w:eastAsiaTheme="majorEastAsia" w:hAnsi="Cambria" w:cs="Calibri Light"/>
          <w:i/>
          <w:iCs/>
          <w:sz w:val="16"/>
          <w:szCs w:val="16"/>
        </w:rPr>
        <w:t xml:space="preserve">etition P-1256-05 Ivana </w:t>
      </w:r>
      <w:proofErr w:type="spellStart"/>
      <w:r w:rsidRPr="0048555E">
        <w:rPr>
          <w:rStyle w:val="Nenhum"/>
          <w:rFonts w:ascii="Cambria" w:eastAsiaTheme="majorEastAsia" w:hAnsi="Cambria" w:cs="Calibri Light"/>
          <w:i/>
          <w:iCs/>
          <w:sz w:val="16"/>
          <w:szCs w:val="16"/>
        </w:rPr>
        <w:t>Emilce</w:t>
      </w:r>
      <w:proofErr w:type="spellEnd"/>
      <w:r w:rsidRPr="0048555E">
        <w:rPr>
          <w:rStyle w:val="Nenhum"/>
          <w:rFonts w:ascii="Cambria" w:eastAsiaTheme="majorEastAsia" w:hAnsi="Cambria" w:cs="Calibri Light"/>
          <w:i/>
          <w:iCs/>
          <w:sz w:val="16"/>
          <w:szCs w:val="16"/>
        </w:rPr>
        <w:t xml:space="preserve"> Rosales, Argentina</w:t>
      </w:r>
      <w:r w:rsidRPr="0048555E">
        <w:rPr>
          <w:rStyle w:val="Nenhum"/>
          <w:rFonts w:ascii="Cambria" w:eastAsiaTheme="majorEastAsia" w:hAnsi="Cambria" w:cs="Calibri Light"/>
          <w:sz w:val="16"/>
          <w:szCs w:val="16"/>
        </w:rPr>
        <w:t>. Available at</w:t>
      </w:r>
      <w:r w:rsidRPr="0048555E">
        <w:rPr>
          <w:rStyle w:val="Nenhum"/>
          <w:rFonts w:ascii="Cambria" w:hAnsi="Cambria" w:cs="Calibri Light"/>
          <w:sz w:val="16"/>
          <w:szCs w:val="16"/>
        </w:rPr>
        <w:t xml:space="preserve">: </w:t>
      </w:r>
      <w:hyperlink r:id="rId13" w:history="1">
        <w:r w:rsidRPr="0048555E">
          <w:rPr>
            <w:rStyle w:val="Hyperlink"/>
            <w:rFonts w:ascii="Cambria" w:hAnsi="Cambria" w:cs="Calibri Light"/>
            <w:sz w:val="16"/>
            <w:szCs w:val="16"/>
          </w:rPr>
          <w:t>https://www.youtube.com/watch?v=u24ONB4Mhys</w:t>
        </w:r>
      </w:hyperlink>
      <w:r w:rsidRPr="0048555E">
        <w:rPr>
          <w:rStyle w:val="Nenhum"/>
          <w:rFonts w:ascii="Cambria" w:hAnsi="Cambria" w:cs="Calibri Light"/>
          <w:sz w:val="16"/>
          <w:szCs w:val="16"/>
        </w:rPr>
        <w:t xml:space="preserve"> </w:t>
      </w:r>
    </w:p>
  </w:footnote>
  <w:footnote w:id="21">
    <w:p w14:paraId="3472BD66" w14:textId="77777777" w:rsidR="007E31E3" w:rsidRPr="0048555E" w:rsidRDefault="007E31E3" w:rsidP="00655B94">
      <w:pPr>
        <w:spacing w:after="120" w:line="240" w:lineRule="auto"/>
        <w:ind w:firstLine="720"/>
        <w:jc w:val="both"/>
        <w:rPr>
          <w:rFonts w:ascii="Cambria" w:hAnsi="Cambria" w:cs="Calibri Light"/>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r w:rsidRPr="0048555E">
        <w:rPr>
          <w:rStyle w:val="Nenhum"/>
          <w:rFonts w:ascii="Cambria" w:eastAsiaTheme="majorEastAsia" w:hAnsi="Cambria" w:cs="Calibri Light"/>
          <w:sz w:val="16"/>
          <w:szCs w:val="16"/>
        </w:rPr>
        <w:t xml:space="preserve">On August 3, 2021, Commissioner Joel Hernández, Rapporteur of the IACHR for Chile, participated in the ceremony for signing the friendly settlement agreement in </w:t>
      </w:r>
      <w:r w:rsidRPr="0048555E">
        <w:rPr>
          <w:rStyle w:val="Nenhum"/>
          <w:rFonts w:ascii="Cambria" w:hAnsi="Cambria" w:cs="Calibri Light"/>
          <w:i/>
          <w:iCs/>
          <w:sz w:val="16"/>
          <w:szCs w:val="16"/>
        </w:rPr>
        <w:t>C</w:t>
      </w:r>
      <w:r w:rsidRPr="0048555E">
        <w:rPr>
          <w:rStyle w:val="Nenhum"/>
          <w:rFonts w:ascii="Cambria" w:eastAsiaTheme="majorEastAsia" w:hAnsi="Cambria" w:cs="Calibri Light"/>
          <w:i/>
          <w:iCs/>
          <w:sz w:val="16"/>
          <w:szCs w:val="16"/>
        </w:rPr>
        <w:t>ase 12.956 F.S., of Chile</w:t>
      </w:r>
      <w:r w:rsidRPr="0048555E">
        <w:rPr>
          <w:rFonts w:ascii="Cambria" w:hAnsi="Cambria" w:cs="Calibri Light"/>
          <w:sz w:val="16"/>
          <w:szCs w:val="16"/>
        </w:rPr>
        <w:t xml:space="preserve">. </w:t>
      </w:r>
    </w:p>
  </w:footnote>
  <w:footnote w:id="22">
    <w:p w14:paraId="30D8CE71" w14:textId="77777777" w:rsidR="007E31E3" w:rsidRPr="0048555E" w:rsidRDefault="007E31E3" w:rsidP="00655B94">
      <w:pPr>
        <w:shd w:val="clear" w:color="auto" w:fill="FFFFFF"/>
        <w:spacing w:after="120" w:line="240" w:lineRule="auto"/>
        <w:ind w:firstLine="720"/>
        <w:jc w:val="both"/>
        <w:outlineLvl w:val="0"/>
        <w:rPr>
          <w:rFonts w:ascii="Cambria" w:hAnsi="Cambria" w:cs="Calibri Light"/>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Commissioner Antonia Urrejola participated in acts of recognition of responsibility in cases from Colombia in her capacity as President and Rapporteur of the IACHR for Colombia, on the following dates and in the following matters: on February </w:t>
      </w:r>
      <w:r w:rsidRPr="0048555E">
        <w:rPr>
          <w:rStyle w:val="Nenhum"/>
          <w:rFonts w:ascii="Cambria" w:hAnsi="Cambria" w:cs="Calibri Light"/>
          <w:sz w:val="16"/>
          <w:szCs w:val="16"/>
        </w:rPr>
        <w:t xml:space="preserve">25, 2021, in </w:t>
      </w:r>
      <w:r w:rsidRPr="0048555E">
        <w:rPr>
          <w:rStyle w:val="Nenhum"/>
          <w:rFonts w:ascii="Cambria" w:hAnsi="Cambria" w:cs="Calibri Light"/>
          <w:i/>
          <w:iCs/>
          <w:sz w:val="16"/>
          <w:szCs w:val="16"/>
        </w:rPr>
        <w:t xml:space="preserve">Case 13.171 Luis </w:t>
      </w:r>
      <w:proofErr w:type="spellStart"/>
      <w:r w:rsidRPr="0048555E">
        <w:rPr>
          <w:rStyle w:val="Nenhum"/>
          <w:rFonts w:ascii="Cambria" w:hAnsi="Cambria" w:cs="Calibri Light"/>
          <w:i/>
          <w:iCs/>
          <w:sz w:val="16"/>
          <w:szCs w:val="16"/>
        </w:rPr>
        <w:t>Argemiro</w:t>
      </w:r>
      <w:proofErr w:type="spellEnd"/>
      <w:r w:rsidRPr="0048555E">
        <w:rPr>
          <w:rStyle w:val="Nenhum"/>
          <w:rFonts w:ascii="Cambria" w:hAnsi="Cambria" w:cs="Calibri Light"/>
          <w:i/>
          <w:iCs/>
          <w:sz w:val="16"/>
          <w:szCs w:val="16"/>
        </w:rPr>
        <w:t xml:space="preserve"> Gómez</w:t>
      </w:r>
      <w:r w:rsidRPr="0048555E">
        <w:rPr>
          <w:rStyle w:val="Nenhum"/>
          <w:rFonts w:ascii="Cambria" w:hAnsi="Cambria" w:cs="Calibri Light"/>
          <w:sz w:val="16"/>
          <w:szCs w:val="16"/>
        </w:rPr>
        <w:t xml:space="preserve">; on May 18, 2021, in </w:t>
      </w:r>
      <w:r w:rsidRPr="0048555E">
        <w:rPr>
          <w:rStyle w:val="Nenhum"/>
          <w:rFonts w:ascii="Cambria" w:hAnsi="Cambria" w:cs="Calibri Light"/>
          <w:i/>
          <w:iCs/>
          <w:sz w:val="16"/>
          <w:szCs w:val="16"/>
        </w:rPr>
        <w:t xml:space="preserve">Case </w:t>
      </w:r>
      <w:r w:rsidRPr="0048555E">
        <w:rPr>
          <w:rFonts w:ascii="Cambria" w:eastAsia="Times New Roman" w:hAnsi="Cambria" w:cs="Times New Roman"/>
          <w:i/>
          <w:iCs/>
          <w:color w:val="333333"/>
          <w:kern w:val="36"/>
          <w:sz w:val="16"/>
          <w:szCs w:val="16"/>
        </w:rPr>
        <w:t>13.571 Carlos Mario Muñoz Gómez</w:t>
      </w:r>
      <w:r w:rsidRPr="0048555E">
        <w:rPr>
          <w:rFonts w:ascii="Cambria" w:eastAsia="Times New Roman" w:hAnsi="Cambria"/>
          <w:color w:val="333333"/>
          <w:kern w:val="36"/>
          <w:sz w:val="16"/>
          <w:szCs w:val="16"/>
        </w:rPr>
        <w:t xml:space="preserve">; on August </w:t>
      </w:r>
      <w:r w:rsidRPr="0048555E">
        <w:rPr>
          <w:rFonts w:ascii="Cambria" w:hAnsi="Cambria" w:cs="Calibri Light"/>
          <w:sz w:val="16"/>
          <w:szCs w:val="16"/>
        </w:rPr>
        <w:t xml:space="preserve">4, 2021, in Case </w:t>
      </w:r>
      <w:r w:rsidRPr="0048555E">
        <w:rPr>
          <w:rFonts w:ascii="Cambria" w:hAnsi="Cambria" w:cs="Calibri Light"/>
          <w:i/>
          <w:iCs/>
          <w:sz w:val="16"/>
          <w:szCs w:val="16"/>
        </w:rPr>
        <w:t xml:space="preserve">13.226 Dora Inés </w:t>
      </w:r>
      <w:proofErr w:type="spellStart"/>
      <w:r w:rsidRPr="0048555E">
        <w:rPr>
          <w:rFonts w:ascii="Cambria" w:hAnsi="Cambria" w:cs="Calibri Light"/>
          <w:i/>
          <w:iCs/>
          <w:sz w:val="16"/>
          <w:szCs w:val="16"/>
        </w:rPr>
        <w:t>Meneses</w:t>
      </w:r>
      <w:proofErr w:type="spellEnd"/>
      <w:r w:rsidRPr="0048555E">
        <w:rPr>
          <w:rFonts w:ascii="Cambria" w:hAnsi="Cambria" w:cs="Calibri Light"/>
          <w:sz w:val="16"/>
          <w:szCs w:val="16"/>
        </w:rPr>
        <w:t xml:space="preserve">; on October </w:t>
      </w:r>
      <w:r w:rsidRPr="0048555E">
        <w:rPr>
          <w:rStyle w:val="Nenhum"/>
          <w:rFonts w:ascii="Cambria" w:eastAsiaTheme="majorEastAsia" w:hAnsi="Cambria" w:cs="Calibri Light"/>
          <w:sz w:val="16"/>
          <w:szCs w:val="16"/>
        </w:rPr>
        <w:t xml:space="preserve">22, 2021, in </w:t>
      </w:r>
      <w:r w:rsidRPr="0048555E">
        <w:rPr>
          <w:rStyle w:val="Nenhum"/>
          <w:rFonts w:ascii="Cambria" w:eastAsiaTheme="majorEastAsia" w:hAnsi="Cambria" w:cs="Calibri Light"/>
          <w:i/>
          <w:iCs/>
          <w:sz w:val="16"/>
          <w:szCs w:val="16"/>
        </w:rPr>
        <w:t>Case 13.758, Franklin Bustamante Restrepo</w:t>
      </w:r>
      <w:r w:rsidRPr="0048555E">
        <w:rPr>
          <w:rStyle w:val="Nenhum"/>
          <w:rFonts w:ascii="Cambria" w:hAnsi="Cambria" w:cs="Calibri Light"/>
          <w:sz w:val="16"/>
          <w:szCs w:val="16"/>
        </w:rPr>
        <w:t xml:space="preserve">; on November </w:t>
      </w:r>
      <w:r w:rsidRPr="0048555E">
        <w:rPr>
          <w:rStyle w:val="Nenhum"/>
          <w:rFonts w:ascii="Cambria" w:eastAsiaTheme="majorEastAsia" w:hAnsi="Cambria" w:cs="Calibri Light"/>
          <w:sz w:val="16"/>
          <w:szCs w:val="16"/>
        </w:rPr>
        <w:t xml:space="preserve">5, 2021, in </w:t>
      </w:r>
      <w:r w:rsidRPr="0048555E">
        <w:rPr>
          <w:rFonts w:ascii="Cambria" w:hAnsi="Cambria" w:cs="Calibri Light"/>
          <w:i/>
          <w:iCs/>
          <w:sz w:val="16"/>
          <w:szCs w:val="16"/>
        </w:rPr>
        <w:t xml:space="preserve">Petition P-514-11, Luis Hernando </w:t>
      </w:r>
      <w:proofErr w:type="spellStart"/>
      <w:r w:rsidRPr="0048555E">
        <w:rPr>
          <w:rFonts w:ascii="Cambria" w:hAnsi="Cambria" w:cs="Calibri Light"/>
          <w:i/>
          <w:iCs/>
          <w:sz w:val="16"/>
          <w:szCs w:val="16"/>
        </w:rPr>
        <w:t>Morera</w:t>
      </w:r>
      <w:proofErr w:type="spellEnd"/>
      <w:r w:rsidRPr="0048555E">
        <w:rPr>
          <w:rFonts w:ascii="Cambria" w:hAnsi="Cambria" w:cs="Calibri Light"/>
          <w:i/>
          <w:iCs/>
          <w:sz w:val="16"/>
          <w:szCs w:val="16"/>
        </w:rPr>
        <w:t xml:space="preserve"> Garzón</w:t>
      </w:r>
      <w:r w:rsidRPr="0048555E">
        <w:rPr>
          <w:rFonts w:ascii="Cambria" w:hAnsi="Cambria" w:cs="Calibri Light"/>
          <w:sz w:val="16"/>
          <w:szCs w:val="16"/>
        </w:rPr>
        <w:t xml:space="preserve">; on November 16, 2021, in </w:t>
      </w:r>
      <w:r w:rsidRPr="0048555E">
        <w:rPr>
          <w:rFonts w:ascii="Cambria" w:hAnsi="Cambria" w:cs="Calibri Light"/>
          <w:i/>
          <w:iCs/>
          <w:sz w:val="16"/>
          <w:szCs w:val="16"/>
        </w:rPr>
        <w:t xml:space="preserve">Petition P-535-17, Luis Gerardo </w:t>
      </w:r>
      <w:proofErr w:type="spellStart"/>
      <w:r w:rsidRPr="0048555E">
        <w:rPr>
          <w:rFonts w:ascii="Cambria" w:hAnsi="Cambria" w:cs="Calibri Light"/>
          <w:i/>
          <w:iCs/>
          <w:sz w:val="16"/>
          <w:szCs w:val="16"/>
        </w:rPr>
        <w:t>Bermúdez</w:t>
      </w:r>
      <w:proofErr w:type="spellEnd"/>
      <w:r w:rsidRPr="0048555E">
        <w:rPr>
          <w:rFonts w:ascii="Cambria" w:hAnsi="Cambria" w:cs="Calibri Light"/>
          <w:sz w:val="16"/>
          <w:szCs w:val="16"/>
        </w:rPr>
        <w:t xml:space="preserve">. Available at: </w:t>
      </w:r>
      <w:hyperlink r:id="rId14" w:history="1">
        <w:r w:rsidRPr="0048555E">
          <w:rPr>
            <w:rStyle w:val="Hyperlink"/>
            <w:rFonts w:ascii="Cambria" w:hAnsi="Cambria" w:cs="Calibri Light"/>
            <w:sz w:val="16"/>
            <w:szCs w:val="16"/>
          </w:rPr>
          <w:t>YouTube de la ANDJE</w:t>
        </w:r>
      </w:hyperlink>
      <w:r w:rsidRPr="0048555E">
        <w:rPr>
          <w:rStyle w:val="Nenhum"/>
          <w:rFonts w:ascii="Cambria" w:hAnsi="Cambria" w:cs="Calibri Light"/>
          <w:sz w:val="16"/>
          <w:szCs w:val="16"/>
          <w:u w:val="single"/>
        </w:rPr>
        <w:t>.</w:t>
      </w:r>
    </w:p>
    <w:p w14:paraId="6395C5F7" w14:textId="054FA593" w:rsidR="007E31E3" w:rsidRPr="0048555E" w:rsidRDefault="007E31E3" w:rsidP="00302253">
      <w:pPr>
        <w:pStyle w:val="ListParagraph"/>
        <w:numPr>
          <w:ilvl w:val="0"/>
          <w:numId w:val="0"/>
        </w:numPr>
        <w:spacing w:after="120"/>
        <w:ind w:left="720"/>
        <w:rPr>
          <w:rFonts w:cs="Calibri Light"/>
          <w:sz w:val="16"/>
          <w:szCs w:val="16"/>
        </w:rPr>
      </w:pPr>
      <w:r w:rsidRPr="0048555E">
        <w:rPr>
          <w:rFonts w:cs="Calibri Light"/>
          <w:sz w:val="16"/>
          <w:szCs w:val="16"/>
        </w:rPr>
        <w:t xml:space="preserve">In addition, on November 9, 2021, the Assistant Executive Secretary for the Area of Petitions and Cases of the IACHR Executive Secretariat, Marisol Blanchard, participated in a private recognition of responsibility in respect of </w:t>
      </w:r>
      <w:r w:rsidRPr="0048555E">
        <w:rPr>
          <w:rFonts w:cs="Calibri Light"/>
          <w:i/>
          <w:iCs/>
          <w:sz w:val="16"/>
          <w:szCs w:val="16"/>
        </w:rPr>
        <w:t>Petition P-1391-15 Mario Cardona, Colombia.</w:t>
      </w:r>
      <w:r w:rsidRPr="0048555E">
        <w:rPr>
          <w:rFonts w:cs="Calibri Light"/>
          <w:sz w:val="16"/>
          <w:szCs w:val="16"/>
        </w:rPr>
        <w:t xml:space="preserve"> </w:t>
      </w:r>
    </w:p>
  </w:footnote>
  <w:footnote w:id="23">
    <w:p w14:paraId="03D8825B" w14:textId="77777777" w:rsidR="007E31E3" w:rsidRPr="0048555E" w:rsidRDefault="007E31E3" w:rsidP="00655B94">
      <w:pPr>
        <w:spacing w:after="120" w:line="240" w:lineRule="auto"/>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The Commission decided to maintain the compliance status categories of its friendly settlement agreement clauses: </w:t>
      </w:r>
    </w:p>
    <w:p w14:paraId="240D8692" w14:textId="77777777" w:rsidR="007E31E3" w:rsidRPr="0048555E" w:rsidRDefault="007E31E3" w:rsidP="0009324C">
      <w:pPr>
        <w:numPr>
          <w:ilvl w:val="0"/>
          <w:numId w:val="15"/>
        </w:numPr>
        <w:tabs>
          <w:tab w:val="left" w:pos="1080"/>
        </w:tabs>
        <w:spacing w:after="0" w:line="240" w:lineRule="auto"/>
        <w:ind w:left="0" w:firstLine="720"/>
        <w:jc w:val="both"/>
        <w:rPr>
          <w:rFonts w:ascii="Cambria" w:hAnsi="Cambria" w:cs="Calibri Light"/>
          <w:sz w:val="16"/>
          <w:szCs w:val="16"/>
        </w:rPr>
      </w:pPr>
      <w:r w:rsidRPr="0048555E">
        <w:rPr>
          <w:rFonts w:ascii="Cambria" w:hAnsi="Cambria"/>
          <w:b/>
          <w:sz w:val="16"/>
          <w:szCs w:val="16"/>
        </w:rPr>
        <w:t xml:space="preserve">Total compliance: </w:t>
      </w:r>
      <w:r w:rsidRPr="0048555E">
        <w:rPr>
          <w:rFonts w:ascii="Cambria" w:hAnsi="Cambria"/>
          <w:sz w:val="16"/>
          <w:szCs w:val="16"/>
        </w:rPr>
        <w:t xml:space="preserve">a recommendation/ or FSA clause in which the State has begun and satisfactorily completed the measure for compliance. </w:t>
      </w:r>
    </w:p>
    <w:p w14:paraId="35F05AA5" w14:textId="77777777" w:rsidR="007E31E3" w:rsidRPr="0048555E" w:rsidRDefault="007E31E3" w:rsidP="0009324C">
      <w:pPr>
        <w:numPr>
          <w:ilvl w:val="0"/>
          <w:numId w:val="15"/>
        </w:numPr>
        <w:tabs>
          <w:tab w:val="left" w:pos="1080"/>
        </w:tabs>
        <w:spacing w:after="0" w:line="240" w:lineRule="auto"/>
        <w:ind w:left="0" w:firstLine="720"/>
        <w:jc w:val="both"/>
        <w:rPr>
          <w:rFonts w:ascii="Cambria" w:hAnsi="Cambria" w:cs="Calibri Light"/>
          <w:sz w:val="16"/>
          <w:szCs w:val="16"/>
        </w:rPr>
      </w:pPr>
      <w:r w:rsidRPr="0048555E">
        <w:rPr>
          <w:rFonts w:ascii="Cambria" w:hAnsi="Cambria"/>
          <w:b/>
          <w:sz w:val="16"/>
          <w:szCs w:val="16"/>
        </w:rPr>
        <w:t xml:space="preserve">Partial Substantial compliance: </w:t>
      </w:r>
      <w:r w:rsidRPr="0048555E">
        <w:rPr>
          <w:rFonts w:ascii="Cambria" w:hAnsi="Cambria"/>
          <w:sz w:val="16"/>
          <w:szCs w:val="16"/>
        </w:rPr>
        <w:t xml:space="preserve">a recommendation/ or FSA clause in which the State has adopted relevant measures for compliance and has provided evidence thereof, but the Commission finds that the measures for compliance thereof have still not been completed. </w:t>
      </w:r>
    </w:p>
    <w:p w14:paraId="60D229FB" w14:textId="77777777" w:rsidR="007E31E3" w:rsidRPr="0048555E" w:rsidRDefault="007E31E3" w:rsidP="0009324C">
      <w:pPr>
        <w:numPr>
          <w:ilvl w:val="0"/>
          <w:numId w:val="15"/>
        </w:numPr>
        <w:tabs>
          <w:tab w:val="left" w:pos="1080"/>
        </w:tabs>
        <w:spacing w:after="0" w:line="240" w:lineRule="auto"/>
        <w:ind w:left="0" w:firstLine="720"/>
        <w:jc w:val="both"/>
        <w:rPr>
          <w:rFonts w:ascii="Cambria" w:hAnsi="Cambria" w:cs="Calibri Light"/>
          <w:sz w:val="16"/>
          <w:szCs w:val="16"/>
        </w:rPr>
      </w:pPr>
      <w:r w:rsidRPr="0048555E">
        <w:rPr>
          <w:rFonts w:ascii="Cambria" w:hAnsi="Cambria"/>
          <w:b/>
          <w:sz w:val="16"/>
          <w:szCs w:val="16"/>
        </w:rPr>
        <w:t xml:space="preserve">Partial compliance: </w:t>
      </w:r>
      <w:r w:rsidRPr="0048555E">
        <w:rPr>
          <w:rFonts w:ascii="Cambria" w:hAnsi="Cambria"/>
          <w:sz w:val="16"/>
          <w:szCs w:val="16"/>
        </w:rPr>
        <w:t>a recommendation/ or FSA clause in which the State has adopted some measures for compliance, but it still must adopt additional measures.</w:t>
      </w:r>
    </w:p>
    <w:p w14:paraId="79A16B4E" w14:textId="77777777" w:rsidR="007E31E3" w:rsidRPr="0048555E" w:rsidRDefault="007E31E3" w:rsidP="0009324C">
      <w:pPr>
        <w:numPr>
          <w:ilvl w:val="0"/>
          <w:numId w:val="15"/>
        </w:numPr>
        <w:tabs>
          <w:tab w:val="left" w:pos="1080"/>
        </w:tabs>
        <w:spacing w:after="0" w:line="240" w:lineRule="auto"/>
        <w:ind w:left="0" w:firstLine="720"/>
        <w:jc w:val="both"/>
        <w:rPr>
          <w:rFonts w:ascii="Cambria" w:hAnsi="Cambria" w:cs="Calibri Light"/>
          <w:sz w:val="16"/>
          <w:szCs w:val="16"/>
        </w:rPr>
      </w:pPr>
      <w:r w:rsidRPr="0048555E">
        <w:rPr>
          <w:rFonts w:ascii="Cambria" w:hAnsi="Cambria"/>
          <w:b/>
          <w:sz w:val="16"/>
          <w:szCs w:val="16"/>
        </w:rPr>
        <w:t xml:space="preserve">Compliance pending: </w:t>
      </w:r>
      <w:r w:rsidRPr="0048555E">
        <w:rPr>
          <w:rFonts w:ascii="Cambria" w:hAnsi="Cambria"/>
          <w:sz w:val="16"/>
          <w:szCs w:val="16"/>
        </w:rPr>
        <w:t xml:space="preserve">a recommendation/ or FSA clause in which the State has not adopted any measure to comply with the recommendation; or the steps taken have still not produced concrete results; or the measure(s) adopted is/are not relevant to the situation under examination. </w:t>
      </w:r>
    </w:p>
    <w:p w14:paraId="409E8978" w14:textId="77777777" w:rsidR="007E31E3" w:rsidRPr="0048555E" w:rsidRDefault="007E31E3" w:rsidP="0009324C">
      <w:pPr>
        <w:numPr>
          <w:ilvl w:val="0"/>
          <w:numId w:val="15"/>
        </w:numPr>
        <w:tabs>
          <w:tab w:val="left" w:pos="1080"/>
        </w:tabs>
        <w:spacing w:after="0" w:line="240" w:lineRule="auto"/>
        <w:ind w:left="0" w:firstLine="720"/>
        <w:jc w:val="both"/>
        <w:rPr>
          <w:rFonts w:ascii="Cambria" w:hAnsi="Cambria"/>
          <w:sz w:val="16"/>
          <w:szCs w:val="16"/>
        </w:rPr>
      </w:pPr>
      <w:r w:rsidRPr="0048555E">
        <w:rPr>
          <w:rFonts w:ascii="Cambria" w:hAnsi="Cambria"/>
          <w:b/>
          <w:sz w:val="16"/>
          <w:szCs w:val="16"/>
        </w:rPr>
        <w:t>Non-compliance:</w:t>
      </w:r>
      <w:r w:rsidRPr="0048555E">
        <w:rPr>
          <w:rFonts w:ascii="Cambria" w:hAnsi="Cambria"/>
          <w:sz w:val="16"/>
          <w:szCs w:val="16"/>
        </w:rPr>
        <w:t xml:space="preserve"> a recommendation/ or FSA clause in which, due to the State’s conduct, it is not possible for the State to comply, or the State has expressly advised that it will not comply with the measure. </w:t>
      </w:r>
    </w:p>
  </w:footnote>
  <w:footnote w:id="24">
    <w:p w14:paraId="1D0C9D6F" w14:textId="77777777" w:rsidR="007E31E3" w:rsidRPr="0048555E" w:rsidRDefault="007E31E3" w:rsidP="00655B94">
      <w:pPr>
        <w:tabs>
          <w:tab w:val="left" w:pos="1080"/>
        </w:tabs>
        <w:spacing w:after="120" w:line="240" w:lineRule="auto"/>
        <w:ind w:firstLine="720"/>
        <w:jc w:val="both"/>
        <w:rPr>
          <w:rFonts w:ascii="Cambria" w:hAnsi="Cambria"/>
          <w:b/>
          <w:bCs/>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The Commission decided to maintain the traditionally used categories of comprehensive examination of petitions and cases, which are: </w:t>
      </w:r>
    </w:p>
    <w:p w14:paraId="080060D4" w14:textId="77777777" w:rsidR="007E31E3" w:rsidRPr="0048555E" w:rsidRDefault="007E31E3" w:rsidP="0009324C">
      <w:pPr>
        <w:numPr>
          <w:ilvl w:val="0"/>
          <w:numId w:val="17"/>
        </w:numPr>
        <w:tabs>
          <w:tab w:val="left" w:pos="1080"/>
        </w:tabs>
        <w:spacing w:after="0" w:line="240" w:lineRule="auto"/>
        <w:ind w:left="0" w:firstLine="720"/>
        <w:jc w:val="both"/>
        <w:rPr>
          <w:rFonts w:ascii="Cambria" w:hAnsi="Cambria"/>
          <w:sz w:val="16"/>
          <w:szCs w:val="16"/>
        </w:rPr>
      </w:pPr>
      <w:r w:rsidRPr="0048555E">
        <w:rPr>
          <w:rFonts w:ascii="Cambria" w:hAnsi="Cambria"/>
          <w:b/>
          <w:sz w:val="16"/>
          <w:szCs w:val="16"/>
        </w:rPr>
        <w:t xml:space="preserve">Total compliance: </w:t>
      </w:r>
      <w:r w:rsidRPr="0048555E">
        <w:rPr>
          <w:rFonts w:ascii="Cambria" w:hAnsi="Cambria"/>
          <w:sz w:val="16"/>
          <w:szCs w:val="16"/>
        </w:rPr>
        <w:t xml:space="preserve">those cases in which the State has fully complied with </w:t>
      </w:r>
      <w:proofErr w:type="gramStart"/>
      <w:r w:rsidRPr="0048555E">
        <w:rPr>
          <w:rFonts w:ascii="Cambria" w:hAnsi="Cambria"/>
          <w:sz w:val="16"/>
          <w:szCs w:val="16"/>
        </w:rPr>
        <w:t>all of</w:t>
      </w:r>
      <w:proofErr w:type="gramEnd"/>
      <w:r w:rsidRPr="0048555E">
        <w:rPr>
          <w:rFonts w:ascii="Cambria" w:hAnsi="Cambria"/>
          <w:sz w:val="16"/>
          <w:szCs w:val="16"/>
        </w:rPr>
        <w:t xml:space="preserve"> the recommendations / or FSA clauses published by the IACHR. The Commission considers as total compliance, any recommendation or FSA clause in which the State has begun and satisfactorily completed the measures for compliance. </w:t>
      </w:r>
    </w:p>
    <w:p w14:paraId="118F4CA8" w14:textId="77777777" w:rsidR="007E31E3" w:rsidRPr="0048555E" w:rsidRDefault="007E31E3" w:rsidP="0009324C">
      <w:pPr>
        <w:numPr>
          <w:ilvl w:val="3"/>
          <w:numId w:val="16"/>
        </w:numPr>
        <w:tabs>
          <w:tab w:val="left" w:pos="1080"/>
        </w:tabs>
        <w:spacing w:after="0" w:line="240" w:lineRule="auto"/>
        <w:ind w:left="0" w:firstLine="720"/>
        <w:jc w:val="both"/>
        <w:rPr>
          <w:rFonts w:ascii="Cambria" w:hAnsi="Cambria"/>
          <w:sz w:val="16"/>
          <w:szCs w:val="16"/>
        </w:rPr>
      </w:pPr>
      <w:r w:rsidRPr="0048555E">
        <w:rPr>
          <w:rFonts w:ascii="Cambria" w:hAnsi="Cambria"/>
          <w:b/>
          <w:sz w:val="16"/>
          <w:szCs w:val="16"/>
        </w:rPr>
        <w:t xml:space="preserve">Partial compliance: </w:t>
      </w:r>
      <w:r w:rsidRPr="0048555E">
        <w:rPr>
          <w:rFonts w:ascii="Cambria" w:hAnsi="Cambria"/>
          <w:sz w:val="16"/>
          <w:szCs w:val="16"/>
        </w:rPr>
        <w:t xml:space="preserve">those cases in which the State has partially complied with the recommendations / or FSA clauses published by the IACHR, either by having complied with only one or some of the recommendations or FSA clauses, or through incomplete compliance with all of the recommendations or FSA clauses; those cases in which the State has fully complied with all of the recommendations or FSA clauses published by the IACHR except for one of them, with which it has been unable to comply. </w:t>
      </w:r>
    </w:p>
    <w:p w14:paraId="417C7FE1" w14:textId="77777777" w:rsidR="007E31E3" w:rsidRPr="0048555E" w:rsidRDefault="007E31E3" w:rsidP="0009324C">
      <w:pPr>
        <w:numPr>
          <w:ilvl w:val="3"/>
          <w:numId w:val="16"/>
        </w:numPr>
        <w:tabs>
          <w:tab w:val="left" w:pos="1080"/>
        </w:tabs>
        <w:spacing w:after="0" w:line="240" w:lineRule="auto"/>
        <w:ind w:left="0" w:firstLine="720"/>
        <w:jc w:val="both"/>
        <w:rPr>
          <w:rFonts w:ascii="Cambria" w:hAnsi="Cambria"/>
          <w:sz w:val="16"/>
          <w:szCs w:val="16"/>
        </w:rPr>
      </w:pPr>
      <w:r w:rsidRPr="0048555E">
        <w:rPr>
          <w:rFonts w:ascii="Cambria" w:hAnsi="Cambria"/>
          <w:b/>
          <w:sz w:val="16"/>
          <w:szCs w:val="16"/>
        </w:rPr>
        <w:t xml:space="preserve">Compliance pending: </w:t>
      </w:r>
      <w:r w:rsidRPr="0048555E">
        <w:rPr>
          <w:rFonts w:ascii="Cambria" w:hAnsi="Cambria"/>
          <w:sz w:val="16"/>
          <w:szCs w:val="16"/>
        </w:rPr>
        <w:t xml:space="preserve">those cases in which the IACHR considers that there has been no compliance with the recommendations/ or FSA clauses published by it, because no steps were taken to that end; or the steps taken have still not produced concrete results; because the State has expressly indicated that it will not comply with the recommendations or FSA clauses published by the IACHR; or the State has not reported to the IACHR and the Commission has no information from other sources to suggest otherwise. </w:t>
      </w:r>
    </w:p>
  </w:footnote>
  <w:footnote w:id="25">
    <w:p w14:paraId="6042B314"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The percentage of compliance was calculated taking into consideration the total number of measures established in each agreement as a 100%, and the number of clauses that have been totally complied with. </w:t>
      </w:r>
    </w:p>
  </w:footnote>
  <w:footnote w:id="26">
    <w:p w14:paraId="79DCE605" w14:textId="77777777" w:rsidR="007E31E3" w:rsidRPr="0048555E" w:rsidRDefault="007E31E3" w:rsidP="00655B94">
      <w:pPr>
        <w:pStyle w:val="FootnoteText"/>
        <w:spacing w:after="120"/>
        <w:ind w:firstLine="720"/>
        <w:jc w:val="both"/>
        <w:rPr>
          <w:rFonts w:ascii="Cambria" w:hAnsi="Cambria"/>
          <w:sz w:val="16"/>
          <w:szCs w:val="16"/>
          <w:u w:val="single"/>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2008, Chapter III, Section D: Status of Compliance with IACHR Recommendations, paras. 38-40.</w:t>
      </w:r>
    </w:p>
  </w:footnote>
  <w:footnote w:id="27">
    <w:p w14:paraId="2A715344"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Style w:val="FootnoteReference"/>
          <w:rFonts w:ascii="Cambria" w:hAnsi="Cambria"/>
          <w:sz w:val="16"/>
          <w:szCs w:val="16"/>
        </w:rPr>
        <w:t xml:space="preserve"> </w:t>
      </w:r>
      <w:r w:rsidRPr="0048555E">
        <w:rPr>
          <w:rFonts w:ascii="Cambria" w:hAnsi="Cambria"/>
          <w:sz w:val="16"/>
          <w:szCs w:val="16"/>
        </w:rPr>
        <w:t>See IACHR, Annual Report 2019, Chapter II, Section G.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28">
    <w:p w14:paraId="58941E82" w14:textId="77777777" w:rsidR="007E31E3" w:rsidRPr="0048555E" w:rsidRDefault="007E31E3" w:rsidP="00655B94">
      <w:pPr>
        <w:pStyle w:val="FootnoteText"/>
        <w:spacing w:after="120"/>
        <w:ind w:firstLine="720"/>
        <w:jc w:val="both"/>
        <w:rPr>
          <w:rFonts w:ascii="Cambria" w:hAnsi="Cambria"/>
          <w:sz w:val="16"/>
          <w:szCs w:val="16"/>
          <w:u w:val="single"/>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2015, Chapter III, Section D: Status of Compliance with IACHR Recommendations, para. 114.</w:t>
      </w:r>
    </w:p>
  </w:footnote>
  <w:footnote w:id="29">
    <w:p w14:paraId="45635404"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2011, Chapter III, Section D: Status of Compliance with IACHR Recommendations, paras. 159-164.</w:t>
      </w:r>
    </w:p>
  </w:footnote>
  <w:footnote w:id="30">
    <w:p w14:paraId="0E9B01C9"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2013, Chapter III, Section D: Status of Compliance with IACHR Recommendations, paras. 165 – 175.</w:t>
      </w:r>
    </w:p>
  </w:footnote>
  <w:footnote w:id="31">
    <w:p w14:paraId="6BA037CF"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Style w:val="FootnoteReference"/>
          <w:rFonts w:ascii="Cambria" w:hAnsi="Cambria"/>
          <w:sz w:val="16"/>
          <w:szCs w:val="16"/>
        </w:rPr>
        <w:t xml:space="preserve"> </w:t>
      </w:r>
      <w:r w:rsidRPr="0048555E">
        <w:rPr>
          <w:rFonts w:ascii="Cambria" w:hAnsi="Cambria"/>
          <w:sz w:val="16"/>
          <w:szCs w:val="16"/>
        </w:rPr>
        <w:t>See IACHR, Annual Report 2016, Chapter II, Section D: Status of Compliance with Recommendations and Friendly Settlements in individual cases, paras. 194-205.</w:t>
      </w:r>
    </w:p>
  </w:footnote>
  <w:footnote w:id="32">
    <w:p w14:paraId="7C89FE73"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2014, Chapter II, Section D: States of Compliance with the Recommendations of the IACHR, paras. 173-181.</w:t>
      </w:r>
    </w:p>
  </w:footnote>
  <w:footnote w:id="33">
    <w:p w14:paraId="54F38487"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2012, Chapter III, Section D: Status of Compliance with IACHR Recommendations, paras. 180-183.</w:t>
      </w:r>
    </w:p>
  </w:footnote>
  <w:footnote w:id="34">
    <w:p w14:paraId="1D300789"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2013, Chapter II, Section D: Status of Compliance with IACHR Recommendations, paras. 225-252.</w:t>
      </w:r>
    </w:p>
  </w:footnote>
  <w:footnote w:id="35">
    <w:p w14:paraId="569DDA1A" w14:textId="77777777" w:rsidR="007E31E3" w:rsidRPr="0048555E" w:rsidRDefault="007E31E3" w:rsidP="00655B94">
      <w:pPr>
        <w:pStyle w:val="FootnoteText"/>
        <w:tabs>
          <w:tab w:val="left" w:pos="990"/>
        </w:tabs>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Style w:val="FootnoteReference"/>
          <w:rFonts w:ascii="Cambria" w:hAnsi="Cambria"/>
          <w:sz w:val="16"/>
          <w:szCs w:val="16"/>
        </w:rPr>
        <w:t xml:space="preserve"> </w:t>
      </w:r>
      <w:r w:rsidRPr="0048555E">
        <w:rPr>
          <w:rFonts w:ascii="Cambria" w:hAnsi="Cambria"/>
          <w:sz w:val="16"/>
          <w:szCs w:val="16"/>
        </w:rPr>
        <w:t>See IACHR, Annual Report 2018, Chapter II, Section G. “Status of Compliance with the Recommendations Issued by the IACHR in Merits Reports and Friendly Settlement Agreements Approved by the IACHR.”</w:t>
      </w:r>
    </w:p>
  </w:footnote>
  <w:footnote w:id="36">
    <w:p w14:paraId="00C4EE4B"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lang w:val="es-CO"/>
        </w:rPr>
        <w:footnoteRef/>
      </w:r>
      <w:r w:rsidRPr="0048555E">
        <w:rPr>
          <w:rStyle w:val="FootnoteReference"/>
          <w:rFonts w:ascii="Cambria" w:hAnsi="Cambria"/>
          <w:sz w:val="16"/>
          <w:szCs w:val="16"/>
        </w:rPr>
        <w:t xml:space="preserve"> </w:t>
      </w:r>
      <w:r w:rsidRPr="0048555E">
        <w:rPr>
          <w:rFonts w:ascii="Cambria" w:hAnsi="Cambria"/>
          <w:sz w:val="16"/>
          <w:szCs w:val="16"/>
        </w:rPr>
        <w:t xml:space="preserve">See IACHR, Report No. 39/21, Petition 245-03. Friendly Settlement. Walter Mauro </w:t>
      </w:r>
      <w:proofErr w:type="spellStart"/>
      <w:r w:rsidRPr="0048555E">
        <w:rPr>
          <w:rFonts w:ascii="Cambria" w:hAnsi="Cambria"/>
          <w:sz w:val="16"/>
          <w:szCs w:val="16"/>
        </w:rPr>
        <w:t>Yañez</w:t>
      </w:r>
      <w:proofErr w:type="spellEnd"/>
      <w:r w:rsidRPr="0048555E">
        <w:rPr>
          <w:rFonts w:ascii="Cambria" w:hAnsi="Cambria"/>
          <w:sz w:val="16"/>
          <w:szCs w:val="16"/>
        </w:rPr>
        <w:t>. Argentina. March 19, 2021.</w:t>
      </w:r>
    </w:p>
  </w:footnote>
  <w:footnote w:id="37">
    <w:p w14:paraId="1DF6545E"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Style w:val="FootnoteReference"/>
          <w:rFonts w:ascii="Cambria" w:hAnsi="Cambria"/>
          <w:sz w:val="16"/>
          <w:szCs w:val="16"/>
        </w:rPr>
        <w:t xml:space="preserve"> </w:t>
      </w:r>
      <w:r w:rsidRPr="0048555E">
        <w:rPr>
          <w:rFonts w:ascii="Cambria" w:hAnsi="Cambria"/>
          <w:sz w:val="16"/>
          <w:szCs w:val="16"/>
        </w:rPr>
        <w:t>See IACHR, Annual Report 2018, Chapter II, Section G. “Status of Compliance with the Recommendations Issued by the IACHR in Merits Reports and Friendly Settlement Agreements Approved by the IACHR.”</w:t>
      </w:r>
    </w:p>
  </w:footnote>
  <w:footnote w:id="38">
    <w:p w14:paraId="0E0F5891"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2009, Chapter III, Section D: Status of Compliance with IACHR Recommendations, paras. 109-114.</w:t>
      </w:r>
    </w:p>
  </w:footnote>
  <w:footnote w:id="39">
    <w:p w14:paraId="7DC57D6A"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2009, Chapter III, Section D: Status of Compliance with IACHR Recommendations, paras. 115-119.</w:t>
      </w:r>
    </w:p>
  </w:footnote>
  <w:footnote w:id="40">
    <w:p w14:paraId="1C693FB0"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2009, Chapter III, Section D: Status of Compliance with IACHR Recommendations, paras. 120-124.</w:t>
      </w:r>
    </w:p>
  </w:footnote>
  <w:footnote w:id="41">
    <w:p w14:paraId="0CBCFBA9" w14:textId="77777777" w:rsidR="007E31E3" w:rsidRPr="0048555E" w:rsidRDefault="007E31E3" w:rsidP="00655B94">
      <w:pPr>
        <w:pStyle w:val="FootnoteText"/>
        <w:spacing w:after="120"/>
        <w:ind w:firstLine="720"/>
        <w:jc w:val="both"/>
        <w:rPr>
          <w:rFonts w:ascii="Cambria" w:hAnsi="Cambria"/>
          <w:sz w:val="16"/>
          <w:szCs w:val="16"/>
        </w:rPr>
      </w:pPr>
      <w:r w:rsidRPr="0048555E">
        <w:rPr>
          <w:rFonts w:ascii="Cambria" w:hAnsi="Cambria"/>
          <w:sz w:val="16"/>
          <w:szCs w:val="16"/>
          <w:vertAlign w:val="superscript"/>
        </w:rPr>
        <w:footnoteRef/>
      </w:r>
      <w:r w:rsidRPr="0048555E">
        <w:rPr>
          <w:rFonts w:ascii="Cambria" w:hAnsi="Cambria"/>
          <w:sz w:val="16"/>
          <w:szCs w:val="16"/>
        </w:rPr>
        <w:t xml:space="preserve"> See IACHR, Friendly Settlement Report No. 103-14, Case 12.350, (M.Z. Bolivia), dated November 7, 2014. See IACHR, Annual Report 2015, Chapter II, Section D: Status of Compliance with IACHR Recommendations, paras. 290.</w:t>
      </w:r>
    </w:p>
  </w:footnote>
  <w:footnote w:id="42">
    <w:p w14:paraId="490F4920"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2008, Chapter III, Section D: Status of Compliance with IACHR Recommendations, paras. 162-175.</w:t>
      </w:r>
    </w:p>
  </w:footnote>
  <w:footnote w:id="43">
    <w:p w14:paraId="6A753C72"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2007, Chapter III, Section D: Status of Compliance with IACHR Recommendations, paras. 187-190.</w:t>
      </w:r>
    </w:p>
  </w:footnote>
  <w:footnote w:id="44">
    <w:p w14:paraId="2E9CC9DE"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See IACHR, Annual Report 2007, Chapter III, Section D: Status of Compliance with IACHR Recommendations, paras. 191-194.</w:t>
      </w:r>
    </w:p>
  </w:footnote>
  <w:footnote w:id="45">
    <w:p w14:paraId="4FF90511"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2010, Chapter III, Section D: Status of Compliance with IACHR Recommendations, paras. 298-302.</w:t>
      </w:r>
    </w:p>
  </w:footnote>
  <w:footnote w:id="46">
    <w:p w14:paraId="1F443897"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2010, Chapter II, Section D: Status of Compliance with IACHR Recommendations, paras. 303-306.</w:t>
      </w:r>
    </w:p>
  </w:footnote>
  <w:footnote w:id="47">
    <w:p w14:paraId="173BC369"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2011, Chapter II, Section D: Status of Compliance with IACHR Recommendations, paras. 337-345. </w:t>
      </w:r>
    </w:p>
  </w:footnote>
  <w:footnote w:id="48">
    <w:p w14:paraId="6AC462B7"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2011, Chapter II, Section D: Status of Compliance with IACHR Recommendations, paras. 346-354.</w:t>
      </w:r>
    </w:p>
  </w:footnote>
  <w:footnote w:id="49">
    <w:p w14:paraId="0B0C02F1"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2012, Chap II, Section D: Status of Compliance with IACHR Recommendations, paras. 408-412.</w:t>
      </w:r>
    </w:p>
  </w:footnote>
  <w:footnote w:id="50">
    <w:p w14:paraId="66D97FC9"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IACHR, Report No. 37/19, Case 12.190. Friendly Settlement. José Luis Tapia and Other Members of the Carabineros. Chile. April 16, 2019.</w:t>
      </w:r>
    </w:p>
  </w:footnote>
  <w:footnote w:id="51">
    <w:p w14:paraId="4108309D"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Style w:val="FootnoteReference"/>
          <w:rFonts w:ascii="Cambria" w:hAnsi="Cambria"/>
          <w:sz w:val="16"/>
          <w:szCs w:val="16"/>
        </w:rPr>
        <w:t xml:space="preserve"> </w:t>
      </w:r>
      <w:r w:rsidRPr="0048555E">
        <w:rPr>
          <w:rFonts w:ascii="Cambria" w:hAnsi="Cambria"/>
          <w:color w:val="000000"/>
          <w:sz w:val="16"/>
          <w:szCs w:val="16"/>
        </w:rPr>
        <w:t>See IACHR, Annual Report 2019, Chapter II, Section G. Status of compliance with IACHR recommendations issued in merits reports and friendly settlement agreements approved by the IACHR.</w:t>
      </w:r>
    </w:p>
  </w:footnote>
  <w:footnote w:id="52">
    <w:p w14:paraId="723DD4C5"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r w:rsidRPr="0048555E">
        <w:rPr>
          <w:rFonts w:ascii="Cambria" w:hAnsi="Cambria"/>
          <w:color w:val="000000"/>
          <w:sz w:val="16"/>
          <w:szCs w:val="16"/>
        </w:rPr>
        <w:t xml:space="preserve">See IACHR. Annual Report 2020. Chapter II. Section F. Negotiation and Implementation of Friendly Settlement Agreements. Available on: </w:t>
      </w:r>
      <w:hyperlink r:id="rId15" w:history="1">
        <w:r w:rsidRPr="0048555E">
          <w:rPr>
            <w:rFonts w:ascii="Cambria" w:hAnsi="Cambria"/>
            <w:color w:val="000000"/>
            <w:sz w:val="16"/>
            <w:szCs w:val="16"/>
          </w:rPr>
          <w:t>https://www.oas.org/en/iachr/docs/annual/2020/Chapters/IA2020cap2-en.pdf</w:t>
        </w:r>
      </w:hyperlink>
    </w:p>
  </w:footnote>
  <w:footnote w:id="53">
    <w:p w14:paraId="49186C52"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r w:rsidRPr="0048555E">
        <w:rPr>
          <w:rFonts w:ascii="Cambria" w:hAnsi="Cambria"/>
          <w:color w:val="000000"/>
          <w:sz w:val="16"/>
          <w:szCs w:val="16"/>
        </w:rPr>
        <w:t xml:space="preserve">See IACHR. Annual Report 2020. Chapter II. Section F. Negotiation and Implementation of Friendly Settlement Agreements. Available on: </w:t>
      </w:r>
      <w:hyperlink r:id="rId16" w:history="1">
        <w:r w:rsidRPr="0048555E">
          <w:rPr>
            <w:rFonts w:ascii="Cambria" w:hAnsi="Cambria"/>
            <w:color w:val="000000"/>
            <w:sz w:val="16"/>
            <w:szCs w:val="16"/>
          </w:rPr>
          <w:t>https://www.oas.org/en/iachr/docs/annual/2020/Chapters/IA2020cap2-en.pdf</w:t>
        </w:r>
      </w:hyperlink>
      <w:r w:rsidRPr="0048555E">
        <w:rPr>
          <w:rFonts w:ascii="Cambria" w:hAnsi="Cambria"/>
          <w:sz w:val="16"/>
          <w:szCs w:val="16"/>
        </w:rPr>
        <w:t xml:space="preserve"> </w:t>
      </w:r>
    </w:p>
  </w:footnote>
  <w:footnote w:id="54">
    <w:p w14:paraId="49006F37"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Style w:val="FootnoteReference"/>
          <w:rFonts w:ascii="Cambria" w:hAnsi="Cambria"/>
          <w:sz w:val="16"/>
          <w:szCs w:val="16"/>
        </w:rPr>
        <w:t xml:space="preserve"> </w:t>
      </w:r>
      <w:r w:rsidRPr="0048555E">
        <w:rPr>
          <w:rFonts w:ascii="Cambria" w:hAnsi="Cambria"/>
          <w:sz w:val="16"/>
          <w:szCs w:val="16"/>
        </w:rPr>
        <w:t xml:space="preserve"> See IACHR, Annual Report 2010, Chapter III, Section D: Status of Compliance with IACHR Recommendations, paras. 329-333.</w:t>
      </w:r>
    </w:p>
  </w:footnote>
  <w:footnote w:id="55">
    <w:p w14:paraId="30B75A43"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Style w:val="FootnoteReference"/>
          <w:rFonts w:ascii="Cambria" w:hAnsi="Cambria"/>
          <w:sz w:val="16"/>
          <w:szCs w:val="16"/>
        </w:rPr>
        <w:t xml:space="preserve"> </w:t>
      </w:r>
      <w:r w:rsidRPr="0048555E">
        <w:rPr>
          <w:rFonts w:ascii="Cambria" w:hAnsi="Cambria"/>
          <w:sz w:val="16"/>
          <w:szCs w:val="16"/>
        </w:rPr>
        <w:t xml:space="preserve"> See IACHR, Annual Report 2010, Chapter III, Section D: Status of Compliance with IACHR Recommendations, paras. 339-344.</w:t>
      </w:r>
    </w:p>
  </w:footnote>
  <w:footnote w:id="56">
    <w:p w14:paraId="050E888C"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Style w:val="FootnoteReference"/>
          <w:rFonts w:ascii="Cambria" w:hAnsi="Cambria"/>
          <w:sz w:val="16"/>
          <w:szCs w:val="16"/>
        </w:rPr>
        <w:t xml:space="preserve"> </w:t>
      </w:r>
      <w:r w:rsidRPr="0048555E">
        <w:rPr>
          <w:rFonts w:ascii="Cambria" w:hAnsi="Cambria"/>
          <w:sz w:val="16"/>
          <w:szCs w:val="16"/>
        </w:rPr>
        <w:t>See IACHR, IACHR, Report No. 71/19, Case 12.942 Friendly Settlement. Emilia Morales Campos. Costa Rica May 15, 2019.</w:t>
      </w:r>
    </w:p>
  </w:footnote>
  <w:footnote w:id="57">
    <w:p w14:paraId="19990BEC"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58">
    <w:p w14:paraId="1F6B24E5"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59">
    <w:p w14:paraId="6C731598"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2008, Chapter III, Section D: Status of Compliance with IACHR Recommendations, paras. 283-286.</w:t>
      </w:r>
    </w:p>
  </w:footnote>
  <w:footnote w:id="60">
    <w:p w14:paraId="16104F19"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61">
    <w:p w14:paraId="0AB734B2"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62">
    <w:p w14:paraId="316D5680"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2019 Annual Report, Chapter II, Section F. Status of Compliance with the Recommendations Issued by the IACHR in Merits Reports and Friendly Settlement Agreements Approved by the IACHR.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63">
    <w:p w14:paraId="4A9C2B11"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r w:rsidRPr="0048555E">
        <w:rPr>
          <w:rFonts w:ascii="Cambria" w:hAnsi="Cambria"/>
          <w:color w:val="000000"/>
          <w:sz w:val="16"/>
          <w:szCs w:val="16"/>
        </w:rPr>
        <w:t xml:space="preserve">See IACHR. Annual Report 2020. Chapter II. Section F. Negotiation and Implementation of Friendly Settlement Agreements. Available on: </w:t>
      </w:r>
      <w:hyperlink r:id="rId17" w:history="1">
        <w:r w:rsidRPr="0048555E">
          <w:rPr>
            <w:rFonts w:ascii="Cambria" w:hAnsi="Cambria"/>
            <w:color w:val="000000"/>
            <w:sz w:val="16"/>
            <w:szCs w:val="16"/>
          </w:rPr>
          <w:t>https://www.oas.org/en/iachr/docs/annual/2020/Chapters/IA2020cap2-en.pdf</w:t>
        </w:r>
      </w:hyperlink>
      <w:r w:rsidRPr="0048555E">
        <w:rPr>
          <w:rFonts w:ascii="Cambria" w:hAnsi="Cambria"/>
          <w:color w:val="000000"/>
          <w:sz w:val="16"/>
          <w:szCs w:val="16"/>
        </w:rPr>
        <w:t xml:space="preserve"> </w:t>
      </w:r>
      <w:r w:rsidRPr="0048555E">
        <w:rPr>
          <w:rFonts w:ascii="Cambria" w:hAnsi="Cambria"/>
          <w:sz w:val="16"/>
          <w:szCs w:val="16"/>
        </w:rPr>
        <w:t>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64">
    <w:p w14:paraId="642CF85A"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65">
    <w:p w14:paraId="2C4071FC"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Style w:val="FootnoteReference"/>
          <w:rFonts w:ascii="Cambria" w:hAnsi="Cambria"/>
          <w:sz w:val="16"/>
          <w:szCs w:val="16"/>
        </w:rPr>
        <w:t xml:space="preserve"> </w:t>
      </w:r>
      <w:r w:rsidRPr="0048555E">
        <w:rPr>
          <w:rFonts w:ascii="Cambria" w:hAnsi="Cambria"/>
          <w:sz w:val="16"/>
          <w:szCs w:val="16"/>
        </w:rPr>
        <w:t>See IACHR, Annual Report 2018,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66">
    <w:p w14:paraId="3F61897E"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67">
    <w:p w14:paraId="1BE4826A"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Style w:val="FootnoteReference"/>
          <w:rFonts w:ascii="Cambria" w:hAnsi="Cambria"/>
          <w:sz w:val="16"/>
          <w:szCs w:val="16"/>
        </w:rPr>
        <w:t xml:space="preserve"> </w:t>
      </w:r>
      <w:r w:rsidRPr="0048555E">
        <w:rPr>
          <w:rFonts w:ascii="Cambria" w:hAnsi="Cambria"/>
          <w:sz w:val="16"/>
          <w:szCs w:val="16"/>
        </w:rPr>
        <w:t>See IACHR, Annual Report 2018,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68">
    <w:p w14:paraId="286BD59B"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2019 Annual Report, Chapter II, Section G. Status of Compliance with the Recommendations Issued by the IACHR in Merits Reports and Friendly Settlement Agreements Approved by the IACHR.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69">
    <w:p w14:paraId="4BEE5E85"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0">
    <w:p w14:paraId="12ACEB89"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1">
    <w:p w14:paraId="0ED4AABC"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2">
    <w:p w14:paraId="0FA6981C"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3">
    <w:p w14:paraId="05262B4A"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4">
    <w:p w14:paraId="24576371"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Style w:val="FootnoteReference"/>
          <w:rFonts w:ascii="Cambria" w:hAnsi="Cambria"/>
          <w:sz w:val="16"/>
          <w:szCs w:val="16"/>
        </w:rPr>
        <w:t xml:space="preserve"> </w:t>
      </w:r>
      <w:r w:rsidRPr="0048555E">
        <w:rPr>
          <w:rFonts w:ascii="Cambria" w:hAnsi="Cambria"/>
          <w:sz w:val="16"/>
          <w:szCs w:val="16"/>
        </w:rPr>
        <w:t>See IACHR, Annual Report 2018,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75">
    <w:p w14:paraId="478EAA4F"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Style w:val="FootnoteReference"/>
          <w:rFonts w:ascii="Cambria" w:hAnsi="Cambria"/>
          <w:sz w:val="16"/>
          <w:szCs w:val="16"/>
        </w:rPr>
        <w:t xml:space="preserve"> </w:t>
      </w:r>
      <w:r w:rsidRPr="0048555E">
        <w:rPr>
          <w:rFonts w:ascii="Cambria" w:hAnsi="Cambria"/>
          <w:sz w:val="16"/>
          <w:szCs w:val="16"/>
        </w:rPr>
        <w:t>See IACHR, Annual Report 2018,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76">
    <w:p w14:paraId="472884BF"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r w:rsidRPr="0048555E">
        <w:rPr>
          <w:rFonts w:ascii="Cambria" w:hAnsi="Cambria"/>
          <w:color w:val="000000"/>
          <w:sz w:val="16"/>
          <w:szCs w:val="16"/>
        </w:rPr>
        <w:t xml:space="preserve">See IACHR. Annual Report 2020. Chapter II. Section F. Negotiation and Implementation of Friendly Settlement Agreements. Available on: </w:t>
      </w:r>
      <w:hyperlink r:id="rId18" w:history="1">
        <w:r w:rsidRPr="0048555E">
          <w:rPr>
            <w:rFonts w:ascii="Cambria" w:hAnsi="Cambria"/>
            <w:color w:val="000000"/>
            <w:sz w:val="16"/>
            <w:szCs w:val="16"/>
          </w:rPr>
          <w:t>https://www.oas.org/en/iachr/docs/annual/2020/Chapters/IA2020cap2-en.pdf</w:t>
        </w:r>
      </w:hyperlink>
      <w:r w:rsidRPr="0048555E">
        <w:rPr>
          <w:rFonts w:ascii="Cambria" w:hAnsi="Cambria"/>
          <w:color w:val="000000"/>
          <w:sz w:val="16"/>
          <w:szCs w:val="16"/>
        </w:rPr>
        <w:t xml:space="preserve"> </w:t>
      </w:r>
      <w:r w:rsidRPr="0048555E">
        <w:rPr>
          <w:rFonts w:ascii="Cambria" w:hAnsi="Cambria"/>
          <w:sz w:val="16"/>
          <w:szCs w:val="16"/>
        </w:rPr>
        <w:t>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7">
    <w:p w14:paraId="78796A60"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Style w:val="FootnoteReference"/>
          <w:rFonts w:ascii="Cambria" w:hAnsi="Cambria"/>
          <w:sz w:val="16"/>
          <w:szCs w:val="16"/>
        </w:rPr>
        <w:t xml:space="preserve"> </w:t>
      </w:r>
      <w:r w:rsidRPr="0048555E">
        <w:rPr>
          <w:rFonts w:ascii="Cambria" w:hAnsi="Cambria"/>
          <w:sz w:val="16"/>
          <w:szCs w:val="16"/>
        </w:rPr>
        <w:t>See IACHR, Annual Report 2018,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78">
    <w:p w14:paraId="64F2E0A8"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r w:rsidRPr="0048555E">
        <w:rPr>
          <w:rFonts w:ascii="Cambria" w:hAnsi="Cambria"/>
          <w:color w:val="000000"/>
          <w:sz w:val="16"/>
          <w:szCs w:val="16"/>
        </w:rPr>
        <w:t xml:space="preserve">See IACHR. Annual Report 2020. Chapter II. Section F. Negotiation and Implementation of Friendly Settlement Agreements. Available on: </w:t>
      </w:r>
      <w:hyperlink r:id="rId19" w:history="1">
        <w:r w:rsidRPr="0048555E">
          <w:rPr>
            <w:rFonts w:ascii="Cambria" w:hAnsi="Cambria"/>
            <w:color w:val="000000"/>
            <w:sz w:val="16"/>
            <w:szCs w:val="16"/>
          </w:rPr>
          <w:t>https://www.oas.org/en/iachr/docs/annual/2020/Chapters/IA2020cap2-en.pdf</w:t>
        </w:r>
      </w:hyperlink>
      <w:r w:rsidRPr="0048555E">
        <w:rPr>
          <w:rFonts w:ascii="Cambria" w:hAnsi="Cambria"/>
          <w:color w:val="000000"/>
          <w:sz w:val="16"/>
          <w:szCs w:val="16"/>
        </w:rPr>
        <w:t xml:space="preserve"> </w:t>
      </w:r>
      <w:r w:rsidRPr="0048555E">
        <w:rPr>
          <w:rFonts w:ascii="Cambria" w:hAnsi="Cambria"/>
          <w:sz w:val="16"/>
          <w:szCs w:val="16"/>
        </w:rPr>
        <w:t>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79">
    <w:p w14:paraId="54A16991"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0">
    <w:p w14:paraId="4F5BC607"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1">
    <w:p w14:paraId="0EC8D908"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2">
    <w:p w14:paraId="4A3ABD41"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3">
    <w:p w14:paraId="4A7B4D0A"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2020, Chapter II, Section F. Friendly Settlements. Pursuant to Articles 42 and 48 of its Rules of Procedure, the Commission decided, at the request of the petitioning party, to end monitoring of compliance with the friendly settlement agreement and close the matter. The IACHR considers that the State failed to comply with the justice measure embodied in the friendly settlement agreement.</w:t>
      </w:r>
    </w:p>
  </w:footnote>
  <w:footnote w:id="84">
    <w:p w14:paraId="77475E15" w14:textId="77777777" w:rsidR="007E31E3" w:rsidRPr="0048555E" w:rsidRDefault="007E31E3" w:rsidP="00655B94">
      <w:pPr>
        <w:pStyle w:val="FootnoteText"/>
        <w:spacing w:after="120"/>
        <w:ind w:firstLine="720"/>
        <w:jc w:val="both"/>
        <w:rPr>
          <w:rFonts w:ascii="Cambria" w:hAnsi="Cambria"/>
          <w:color w:val="000000"/>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r w:rsidRPr="0048555E">
        <w:rPr>
          <w:rFonts w:ascii="Cambria" w:hAnsi="Cambria"/>
          <w:color w:val="000000"/>
          <w:sz w:val="16"/>
          <w:szCs w:val="16"/>
        </w:rPr>
        <w:t xml:space="preserve">See IACHR. Annual Report 2020. Chapter II. Section F. Negotiation and Implementation of Friendly Settlement Agreements. Available on: </w:t>
      </w:r>
      <w:hyperlink r:id="rId20" w:history="1">
        <w:r w:rsidRPr="0048555E">
          <w:rPr>
            <w:rFonts w:ascii="Cambria" w:hAnsi="Cambria"/>
            <w:color w:val="000000"/>
            <w:sz w:val="16"/>
            <w:szCs w:val="16"/>
          </w:rPr>
          <w:t>https://www.oas.org/en/iachr/docs/annual/2020/Chapters/IA2020cap2-en.pdf</w:t>
        </w:r>
      </w:hyperlink>
    </w:p>
  </w:footnote>
  <w:footnote w:id="85">
    <w:p w14:paraId="07F14996"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2013, Chapter II, Section D: Status of Compliance with IACHR Recommendations, paras. 879-885.</w:t>
      </w:r>
    </w:p>
  </w:footnote>
  <w:footnote w:id="86">
    <w:p w14:paraId="4EA0C001"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r w:rsidRPr="0048555E">
        <w:rPr>
          <w:rFonts w:ascii="Cambria" w:hAnsi="Cambria"/>
          <w:color w:val="000000"/>
          <w:sz w:val="16"/>
          <w:szCs w:val="16"/>
        </w:rPr>
        <w:t xml:space="preserve">See IACHR. Annual Report 2020. Chapter II. Section F. Negotiation and Implementation of Friendly Settlement Agreements. Available on: </w:t>
      </w:r>
      <w:hyperlink r:id="rId21" w:history="1">
        <w:r w:rsidRPr="0048555E">
          <w:rPr>
            <w:rFonts w:ascii="Cambria" w:hAnsi="Cambria"/>
            <w:color w:val="000000"/>
            <w:sz w:val="16"/>
            <w:szCs w:val="16"/>
          </w:rPr>
          <w:t>https://www.oas.org/en/iachr/docs/annual/2020/Chapters/IA2020cap2-en.pdf</w:t>
        </w:r>
      </w:hyperlink>
    </w:p>
  </w:footnote>
  <w:footnote w:id="87">
    <w:p w14:paraId="07F2CF44"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Friendly Settlement Report No. 124/12, Case 11.805 (Carlos Enrique Jaco), dated November 12, 2012.</w:t>
      </w:r>
    </w:p>
  </w:footnote>
  <w:footnote w:id="88">
    <w:p w14:paraId="09062292"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2014, Chapter II, Section D: Status of Compliance with IACHR Recommendations, paras. 956-960.</w:t>
      </w:r>
    </w:p>
  </w:footnote>
  <w:footnote w:id="89">
    <w:p w14:paraId="4B68FDBA"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Report No.101/19, Case 12.961 C. Friendly Settlement. </w:t>
      </w:r>
      <w:proofErr w:type="spellStart"/>
      <w:r w:rsidRPr="0048555E">
        <w:rPr>
          <w:rFonts w:ascii="Cambria" w:hAnsi="Cambria"/>
          <w:sz w:val="16"/>
          <w:szCs w:val="16"/>
        </w:rPr>
        <w:t>Marcial</w:t>
      </w:r>
      <w:proofErr w:type="spellEnd"/>
      <w:r w:rsidRPr="0048555E">
        <w:rPr>
          <w:rFonts w:ascii="Cambria" w:hAnsi="Cambria"/>
          <w:sz w:val="16"/>
          <w:szCs w:val="16"/>
        </w:rPr>
        <w:t xml:space="preserve"> </w:t>
      </w:r>
      <w:proofErr w:type="spellStart"/>
      <w:r w:rsidRPr="0048555E">
        <w:rPr>
          <w:rFonts w:ascii="Cambria" w:hAnsi="Cambria"/>
          <w:sz w:val="16"/>
          <w:szCs w:val="16"/>
        </w:rPr>
        <w:t>Coello</w:t>
      </w:r>
      <w:proofErr w:type="spellEnd"/>
      <w:r w:rsidRPr="0048555E">
        <w:rPr>
          <w:rFonts w:ascii="Cambria" w:hAnsi="Cambria"/>
          <w:sz w:val="16"/>
          <w:szCs w:val="16"/>
        </w:rPr>
        <w:t xml:space="preserve"> Medina and Others., Honduras. July 13, 2019.</w:t>
      </w:r>
    </w:p>
  </w:footnote>
  <w:footnote w:id="90">
    <w:p w14:paraId="15DA9560"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Report No.104/19, Case 12.961 D. Friendly Settlement. Jorge Enrique Valladares </w:t>
      </w:r>
      <w:proofErr w:type="spellStart"/>
      <w:r w:rsidRPr="0048555E">
        <w:rPr>
          <w:rFonts w:ascii="Cambria" w:hAnsi="Cambria"/>
          <w:sz w:val="16"/>
          <w:szCs w:val="16"/>
        </w:rPr>
        <w:t>Argueñal</w:t>
      </w:r>
      <w:proofErr w:type="spellEnd"/>
      <w:r w:rsidRPr="0048555E">
        <w:rPr>
          <w:rFonts w:ascii="Cambria" w:hAnsi="Cambria"/>
          <w:sz w:val="16"/>
          <w:szCs w:val="16"/>
        </w:rPr>
        <w:t xml:space="preserve"> and Others, Honduras. July 13, 2019.</w:t>
      </w:r>
    </w:p>
  </w:footnote>
  <w:footnote w:id="91">
    <w:p w14:paraId="7DA13E51"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Report No. 105/19, Case 12.961 A. Friendly Settlement. Bolívar Salgado </w:t>
      </w:r>
      <w:proofErr w:type="spellStart"/>
      <w:r w:rsidRPr="0048555E">
        <w:rPr>
          <w:rFonts w:ascii="Cambria" w:hAnsi="Cambria"/>
          <w:sz w:val="16"/>
          <w:szCs w:val="16"/>
        </w:rPr>
        <w:t>Welban</w:t>
      </w:r>
      <w:proofErr w:type="spellEnd"/>
      <w:r w:rsidRPr="0048555E">
        <w:rPr>
          <w:rFonts w:ascii="Cambria" w:hAnsi="Cambria"/>
          <w:sz w:val="16"/>
          <w:szCs w:val="16"/>
        </w:rPr>
        <w:t xml:space="preserve"> and Others. Honduras. July 28, 2019.</w:t>
      </w:r>
    </w:p>
  </w:footnote>
  <w:footnote w:id="92">
    <w:p w14:paraId="2DE09D57"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r w:rsidRPr="0048555E">
        <w:rPr>
          <w:rFonts w:ascii="Cambria" w:hAnsi="Cambria"/>
          <w:color w:val="000000"/>
          <w:sz w:val="16"/>
          <w:szCs w:val="16"/>
        </w:rPr>
        <w:t xml:space="preserve">See IACHR. Annual Report 2020. Chapter II. Section F. Negotiation and Implementation of Friendly Settlement Agreements. Available on: </w:t>
      </w:r>
      <w:hyperlink r:id="rId22" w:history="1">
        <w:r w:rsidRPr="0048555E">
          <w:rPr>
            <w:rFonts w:ascii="Cambria" w:hAnsi="Cambria"/>
            <w:color w:val="000000"/>
            <w:sz w:val="16"/>
            <w:szCs w:val="16"/>
          </w:rPr>
          <w:t>https://www.oas.org/en/iachr/docs/annual/2020/Chapters/IA2020cap2-en.pdf</w:t>
        </w:r>
      </w:hyperlink>
    </w:p>
  </w:footnote>
  <w:footnote w:id="93">
    <w:p w14:paraId="1D00EC72" w14:textId="77777777" w:rsidR="007E31E3" w:rsidRPr="0048555E" w:rsidRDefault="007E31E3" w:rsidP="00655B94">
      <w:pPr>
        <w:pStyle w:val="FootnoteText"/>
        <w:spacing w:after="120"/>
        <w:ind w:firstLine="720"/>
        <w:jc w:val="both"/>
        <w:rPr>
          <w:rFonts w:ascii="Cambria" w:hAnsi="Cambria"/>
          <w:color w:val="000000"/>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r w:rsidRPr="0048555E">
        <w:rPr>
          <w:rFonts w:ascii="Cambria" w:hAnsi="Cambria"/>
          <w:color w:val="000000"/>
          <w:sz w:val="16"/>
          <w:szCs w:val="16"/>
        </w:rPr>
        <w:t xml:space="preserve">See IACHR. Annual Report 2020. Chapter II. Section F. Negotiation and Implementation of Friendly Settlement Agreements. Available on: </w:t>
      </w:r>
      <w:hyperlink r:id="rId23" w:history="1">
        <w:r w:rsidRPr="0048555E">
          <w:rPr>
            <w:rFonts w:ascii="Cambria" w:hAnsi="Cambria"/>
            <w:color w:val="000000"/>
            <w:sz w:val="16"/>
            <w:szCs w:val="16"/>
          </w:rPr>
          <w:t>https://www.oas.org/en/iachr/docs/annual/2020/Chapters/IA2020cap2-en.pdf</w:t>
        </w:r>
      </w:hyperlink>
    </w:p>
  </w:footnote>
  <w:footnote w:id="94">
    <w:p w14:paraId="477BA316"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lang w:val="es-CO"/>
        </w:rPr>
        <w:footnoteRef/>
      </w:r>
      <w:r w:rsidRPr="0048555E">
        <w:rPr>
          <w:rStyle w:val="FootnoteReference"/>
          <w:rFonts w:ascii="Cambria" w:hAnsi="Cambria"/>
          <w:sz w:val="16"/>
          <w:szCs w:val="16"/>
        </w:rPr>
        <w:t xml:space="preserve">  </w:t>
      </w:r>
      <w:r w:rsidRPr="0048555E">
        <w:rPr>
          <w:rFonts w:ascii="Cambria" w:hAnsi="Cambria"/>
          <w:sz w:val="16"/>
          <w:szCs w:val="16"/>
        </w:rPr>
        <w:t xml:space="preserve">See IACHR, Report No. 42/21, Case 12.961 E. Friendly Settlement. </w:t>
      </w:r>
      <w:proofErr w:type="spellStart"/>
      <w:r w:rsidRPr="0048555E">
        <w:rPr>
          <w:rFonts w:ascii="Cambria" w:hAnsi="Cambria"/>
          <w:sz w:val="16"/>
          <w:szCs w:val="16"/>
        </w:rPr>
        <w:t>Ecar</w:t>
      </w:r>
      <w:proofErr w:type="spellEnd"/>
      <w:r w:rsidRPr="0048555E">
        <w:rPr>
          <w:rFonts w:ascii="Cambria" w:hAnsi="Cambria"/>
          <w:sz w:val="16"/>
          <w:szCs w:val="16"/>
        </w:rPr>
        <w:t xml:space="preserve"> Fernando Zavala Valladares, Honduras. March 20, 2021</w:t>
      </w:r>
    </w:p>
  </w:footnote>
  <w:footnote w:id="95">
    <w:p w14:paraId="6D2C5C61"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Style w:val="FootnoteReference"/>
          <w:rFonts w:ascii="Cambria" w:hAnsi="Cambria"/>
          <w:sz w:val="16"/>
          <w:szCs w:val="16"/>
        </w:rPr>
        <w:t xml:space="preserve"> </w:t>
      </w:r>
      <w:r w:rsidRPr="0048555E">
        <w:rPr>
          <w:rFonts w:ascii="Cambria" w:hAnsi="Cambria"/>
          <w:sz w:val="16"/>
          <w:szCs w:val="16"/>
        </w:rPr>
        <w:t>See IACHR, Report No. 205/21, Case 12.961 J. Friendly Settlement. Faustino Garcia Cárdenas and other. Honduras. Honduras. September 4, 2021.</w:t>
      </w:r>
    </w:p>
  </w:footnote>
  <w:footnote w:id="96">
    <w:p w14:paraId="59E0E9D3"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r w:rsidRPr="0048555E">
        <w:rPr>
          <w:rFonts w:ascii="Cambria" w:hAnsi="Cambria"/>
          <w:color w:val="000000"/>
          <w:sz w:val="16"/>
          <w:szCs w:val="16"/>
        </w:rPr>
        <w:t>See</w:t>
      </w:r>
      <w:r w:rsidRPr="0048555E">
        <w:rPr>
          <w:rFonts w:ascii="Cambria" w:hAnsi="Cambria"/>
          <w:sz w:val="16"/>
          <w:szCs w:val="16"/>
        </w:rPr>
        <w:t xml:space="preserve"> IACHR, Report No. 269/21, Case 12.960. Friendly Settlement. Ronald Jared Martínez et al. Honduras. October 5, 2021.</w:t>
      </w:r>
    </w:p>
  </w:footnote>
  <w:footnote w:id="97">
    <w:p w14:paraId="247735C5"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2007, Chapter III, Section D: Status of Compliance with IACHR Recommendations, paras. 552-560.</w:t>
      </w:r>
    </w:p>
  </w:footnote>
  <w:footnote w:id="98">
    <w:p w14:paraId="0C56928C"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2007, Chapter III, Section D: Status of Compliance with IACHR Recommendations, paras. 561-562.</w:t>
      </w:r>
    </w:p>
  </w:footnote>
  <w:footnote w:id="99">
    <w:p w14:paraId="7040BF60"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2012, Chapter III, Section D: Status of Compliance with IACHR Recommendations, paras. 833-844.</w:t>
      </w:r>
    </w:p>
  </w:footnote>
  <w:footnote w:id="100">
    <w:p w14:paraId="7EFAC0C1"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Style w:val="FootnoteReference"/>
          <w:rFonts w:ascii="Cambria" w:hAnsi="Cambria"/>
          <w:sz w:val="16"/>
          <w:szCs w:val="16"/>
        </w:rPr>
        <w:t xml:space="preserve"> </w:t>
      </w:r>
      <w:r w:rsidRPr="0048555E">
        <w:rPr>
          <w:rFonts w:ascii="Cambria" w:hAnsi="Cambria"/>
          <w:sz w:val="16"/>
          <w:szCs w:val="16"/>
        </w:rPr>
        <w:t>See IACHR, Annual Report 2019, Chapter II, Section G. Status of compliance with IACHR recommendations issued in merits reports and friendly settlement agreements approved by the IACHR.</w:t>
      </w:r>
    </w:p>
  </w:footnote>
  <w:footnote w:id="101">
    <w:p w14:paraId="74C1A81E"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2012, Chapter III, Section D: Status of Compliance with IACHR Recommendations, paras. 876-881.</w:t>
      </w:r>
    </w:p>
  </w:footnote>
  <w:footnote w:id="102">
    <w:p w14:paraId="445B786A"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2011, Chapter III, Section D: Status of Compliance with IACHR Recommendations, paras. 982-987.</w:t>
      </w:r>
    </w:p>
  </w:footnote>
  <w:footnote w:id="103">
    <w:p w14:paraId="04275B8B"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Friendly Settlement Report No. 68/12, Petition 318-05, (</w:t>
      </w:r>
      <w:proofErr w:type="spellStart"/>
      <w:r w:rsidRPr="0048555E">
        <w:rPr>
          <w:rFonts w:ascii="Cambria" w:hAnsi="Cambria"/>
          <w:sz w:val="16"/>
          <w:szCs w:val="16"/>
        </w:rPr>
        <w:t>Gerónimo</w:t>
      </w:r>
      <w:proofErr w:type="spellEnd"/>
      <w:r w:rsidRPr="0048555E">
        <w:rPr>
          <w:rFonts w:ascii="Cambria" w:hAnsi="Cambria"/>
          <w:sz w:val="16"/>
          <w:szCs w:val="16"/>
        </w:rPr>
        <w:t xml:space="preserve"> Gómez López vs. Mexico), dated July 17, 2012.</w:t>
      </w:r>
    </w:p>
  </w:footnote>
  <w:footnote w:id="104">
    <w:p w14:paraId="74EF9F96"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Style w:val="FootnoteReference"/>
          <w:rFonts w:ascii="Cambria" w:hAnsi="Cambria"/>
          <w:sz w:val="16"/>
          <w:szCs w:val="16"/>
        </w:rPr>
        <w:t xml:space="preserve"> </w:t>
      </w:r>
      <w:r w:rsidRPr="0048555E">
        <w:rPr>
          <w:rFonts w:ascii="Cambria" w:hAnsi="Cambria"/>
          <w:sz w:val="16"/>
          <w:szCs w:val="16"/>
        </w:rPr>
        <w:t>See IACHR, Annual Report 2018, Chapter II, Section G. “Status of Compliance with the Recommendations Issued by the IACHR in Merits Reports and Friendly Settlement Agreements Approved by the IACHR.”</w:t>
      </w:r>
    </w:p>
  </w:footnote>
  <w:footnote w:id="105">
    <w:p w14:paraId="27CA3142"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2019, Chapter II, Section G. Status of compliance with IACHR recommendations issued in merits reports and friendly settlement agreements approved by the IACHR.</w:t>
      </w:r>
    </w:p>
  </w:footnote>
  <w:footnote w:id="106">
    <w:p w14:paraId="12D07CE2"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Report No. 43/19, Case 13.408. Friendly Settlement. Alberto </w:t>
      </w:r>
      <w:proofErr w:type="spellStart"/>
      <w:r w:rsidRPr="0048555E">
        <w:rPr>
          <w:rFonts w:ascii="Cambria" w:hAnsi="Cambria"/>
          <w:sz w:val="16"/>
          <w:szCs w:val="16"/>
        </w:rPr>
        <w:t>Patishtán</w:t>
      </w:r>
      <w:proofErr w:type="spellEnd"/>
      <w:r w:rsidRPr="0048555E">
        <w:rPr>
          <w:rFonts w:ascii="Cambria" w:hAnsi="Cambria"/>
          <w:sz w:val="16"/>
          <w:szCs w:val="16"/>
        </w:rPr>
        <w:t xml:space="preserve"> Gómez, Mexico, April 30, 2019.</w:t>
      </w:r>
    </w:p>
  </w:footnote>
  <w:footnote w:id="107">
    <w:p w14:paraId="63539DA7"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r w:rsidRPr="0048555E">
        <w:rPr>
          <w:rFonts w:ascii="Cambria" w:hAnsi="Cambria"/>
          <w:color w:val="000000"/>
          <w:sz w:val="16"/>
          <w:szCs w:val="16"/>
        </w:rPr>
        <w:t xml:space="preserve">See IACHR. Annual Report 2020. Chapter II. Section F. Negotiation and Implementation of Friendly Settlement Agreements. Available on: </w:t>
      </w:r>
      <w:hyperlink r:id="rId24" w:history="1">
        <w:r w:rsidRPr="0048555E">
          <w:rPr>
            <w:rFonts w:ascii="Cambria" w:hAnsi="Cambria"/>
            <w:color w:val="000000"/>
            <w:sz w:val="16"/>
            <w:szCs w:val="16"/>
          </w:rPr>
          <w:t>https://www.oas.org/en/iachr/docs/annual/2020/Chapters/IA2020cap2-en.pdf</w:t>
        </w:r>
      </w:hyperlink>
    </w:p>
  </w:footnote>
  <w:footnote w:id="108">
    <w:p w14:paraId="19D3E850"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r w:rsidRPr="0048555E">
        <w:rPr>
          <w:rFonts w:ascii="Cambria" w:hAnsi="Cambria"/>
          <w:color w:val="000000"/>
          <w:sz w:val="16"/>
          <w:szCs w:val="16"/>
        </w:rPr>
        <w:t xml:space="preserve">See IACHR. Annual Report 2020. Chapter II. Section F. Negotiation and Implementation of Friendly Settlement Agreements. Available on: </w:t>
      </w:r>
      <w:hyperlink r:id="rId25" w:history="1">
        <w:r w:rsidRPr="0048555E">
          <w:rPr>
            <w:rFonts w:ascii="Cambria" w:hAnsi="Cambria"/>
            <w:color w:val="000000"/>
            <w:sz w:val="16"/>
            <w:szCs w:val="16"/>
          </w:rPr>
          <w:t>https://www.oas.org/en/iachr/docs/annual/2020/Chapters/IA2020cap2-en.pdf</w:t>
        </w:r>
      </w:hyperlink>
    </w:p>
  </w:footnote>
  <w:footnote w:id="109">
    <w:p w14:paraId="7183F3F7"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Report No. 42/16, Case 12,848. Friendly Settlement. Mrs. N. Panama. September 25, 2016.</w:t>
      </w:r>
    </w:p>
  </w:footnote>
  <w:footnote w:id="110">
    <w:p w14:paraId="6E333FB1"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2014, Chapter II, Section D: Status of Compliance with IACHR Recommendations, paras. 1101-1105.</w:t>
      </w:r>
    </w:p>
  </w:footnote>
  <w:footnote w:id="111">
    <w:p w14:paraId="3F1F57F8"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2005, Chapter III, Section D: Status of Compliance with IACHR Recommendations, paras. 332-335.</w:t>
      </w:r>
    </w:p>
  </w:footnote>
  <w:footnote w:id="112">
    <w:p w14:paraId="307EA9E0"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2005, Chapter III, Section D: Status of Compliance with IACHR Recommendations, paras. 336 and 337.</w:t>
      </w:r>
    </w:p>
  </w:footnote>
  <w:footnote w:id="113">
    <w:p w14:paraId="0647B59E"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Style w:val="FootnoteReference"/>
          <w:rFonts w:ascii="Cambria" w:hAnsi="Cambria"/>
          <w:sz w:val="16"/>
          <w:szCs w:val="16"/>
        </w:rPr>
        <w:t xml:space="preserve"> </w:t>
      </w:r>
      <w:r w:rsidRPr="0048555E">
        <w:rPr>
          <w:rFonts w:ascii="Cambria" w:hAnsi="Cambria"/>
          <w:sz w:val="16"/>
          <w:szCs w:val="16"/>
        </w:rPr>
        <w:t xml:space="preserve"> See IACHR, Annual Report 2019, Chapter II, Section G. Status of compliance with IACHR recommendations issued in merits reports and friendly settlement agreements approved by the IACHR.</w:t>
      </w:r>
    </w:p>
  </w:footnote>
  <w:footnote w:id="114">
    <w:p w14:paraId="080F2D91"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2013, Chapter III, Section D: Status of Compliance with IACHR Recommendations, paras. 1094 and 1107.</w:t>
      </w:r>
    </w:p>
  </w:footnote>
  <w:footnote w:id="115">
    <w:p w14:paraId="4953CBDF"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2007, Chapter III, Section D:  Status of Compliance with IACHR Recommendations, paras. 613-616.</w:t>
      </w:r>
    </w:p>
  </w:footnote>
  <w:footnote w:id="116">
    <w:p w14:paraId="2EC10CB2"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Friendly Settlement Report No. 69/14, Case 12.041 (M.M. vs. Peru), dated July 25, 2014.</w:t>
      </w:r>
    </w:p>
  </w:footnote>
  <w:footnote w:id="117">
    <w:p w14:paraId="3F10C49B"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Style w:val="FootnoteReference"/>
          <w:rFonts w:ascii="Cambria" w:hAnsi="Cambria"/>
          <w:sz w:val="16"/>
          <w:szCs w:val="16"/>
        </w:rPr>
        <w:t xml:space="preserve"> </w:t>
      </w:r>
      <w:r w:rsidRPr="0048555E">
        <w:rPr>
          <w:rFonts w:ascii="Cambria" w:hAnsi="Cambria"/>
          <w:sz w:val="16"/>
          <w:szCs w:val="16"/>
        </w:rPr>
        <w:t>See IACHR, Annual Report 2018, Chapter II, Section G. “Status of Compliance with the Recommendations Issued by the IACHR in Merits Reports and Friendly Settlement Agreements Approved by the IACHR.”</w:t>
      </w:r>
    </w:p>
  </w:footnote>
  <w:footnote w:id="118">
    <w:p w14:paraId="01535424"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Style w:val="FootnoteReference"/>
          <w:rFonts w:ascii="Cambria" w:hAnsi="Cambria"/>
          <w:sz w:val="16"/>
          <w:szCs w:val="16"/>
        </w:rPr>
        <w:t xml:space="preserve"> </w:t>
      </w:r>
      <w:r w:rsidRPr="0048555E">
        <w:rPr>
          <w:rFonts w:ascii="Cambria" w:hAnsi="Cambria"/>
          <w:sz w:val="16"/>
          <w:szCs w:val="16"/>
        </w:rPr>
        <w:t>See IACHR, Annual Report 2018, Chapter II, Section G. “Status of Compliance with the Recommendations Issued by the IACHR in Merits Reports and Friendly Settlement Agreements Approved by the IACHR.”</w:t>
      </w:r>
    </w:p>
  </w:footnote>
  <w:footnote w:id="119">
    <w:p w14:paraId="74CF96C8"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Style w:val="FootnoteReference"/>
          <w:rFonts w:ascii="Cambria" w:hAnsi="Cambria"/>
          <w:sz w:val="16"/>
          <w:szCs w:val="16"/>
        </w:rPr>
        <w:t xml:space="preserve"> </w:t>
      </w:r>
      <w:r w:rsidRPr="0048555E">
        <w:rPr>
          <w:rFonts w:ascii="Cambria" w:hAnsi="Cambria"/>
          <w:sz w:val="16"/>
          <w:szCs w:val="16"/>
        </w:rPr>
        <w:t>See IACHR, Annual Report 2018, Chapter II, Section G. “Status of Compliance with the Recommendations Issued by the IACHR in Merits Reports and Friendly Settlement Agreements Approved by the IACHR.”</w:t>
      </w:r>
    </w:p>
  </w:footnote>
  <w:footnote w:id="120">
    <w:p w14:paraId="5AD86F37"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r w:rsidRPr="0048555E">
        <w:rPr>
          <w:rFonts w:ascii="Cambria" w:hAnsi="Cambria"/>
          <w:color w:val="000000"/>
          <w:sz w:val="16"/>
          <w:szCs w:val="16"/>
        </w:rPr>
        <w:t xml:space="preserve">See IACHR. Annual Report 2020. Chapter II. Section F. Negotiation and Implementation of Friendly Settlement Agreements. Available on: </w:t>
      </w:r>
      <w:hyperlink r:id="rId26" w:history="1">
        <w:r w:rsidRPr="0048555E">
          <w:rPr>
            <w:rFonts w:ascii="Cambria" w:hAnsi="Cambria"/>
            <w:color w:val="000000"/>
            <w:sz w:val="16"/>
            <w:szCs w:val="16"/>
          </w:rPr>
          <w:t>https://www.oas.org/en/iachr/docs/annual/2020/Chapters/IA2020cap2-en.pdf</w:t>
        </w:r>
      </w:hyperlink>
      <w:r w:rsidRPr="0048555E">
        <w:rPr>
          <w:rFonts w:ascii="Cambria" w:hAnsi="Cambria"/>
          <w:sz w:val="16"/>
          <w:szCs w:val="16"/>
        </w:rPr>
        <w:t xml:space="preserve"> </w:t>
      </w:r>
    </w:p>
  </w:footnote>
  <w:footnote w:id="121">
    <w:p w14:paraId="3C2F8066" w14:textId="77777777" w:rsidR="007E31E3" w:rsidRPr="0048555E" w:rsidRDefault="007E31E3" w:rsidP="00655B94">
      <w:pPr>
        <w:pStyle w:val="BodyTextIndent"/>
        <w:tabs>
          <w:tab w:val="left" w:pos="360"/>
        </w:tabs>
        <w:spacing w:after="120"/>
        <w:ind w:left="0"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Friendly Settlement Report No. 31/12, Case 12,174 (Israel Gerardo Paredes Acosta vs. Dominican Republic), dated March 20, 2012.</w:t>
      </w:r>
    </w:p>
  </w:footnote>
  <w:footnote w:id="122">
    <w:p w14:paraId="055DA6B8" w14:textId="77777777" w:rsidR="007E31E3" w:rsidRPr="0048555E" w:rsidRDefault="007E31E3" w:rsidP="00655B94">
      <w:pPr>
        <w:pStyle w:val="FootnoteText"/>
        <w:tabs>
          <w:tab w:val="left" w:pos="6750"/>
        </w:tabs>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Annual Report 2012, Chapter III, Section D:  Status of Compliance with IACHR Recommendations, paras. 1033-1039.</w:t>
      </w:r>
    </w:p>
  </w:footnote>
  <w:footnote w:id="123">
    <w:p w14:paraId="74D19644"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See IACHR, Report No. 103/19, Petition </w:t>
      </w:r>
      <w:proofErr w:type="gramStart"/>
      <w:r w:rsidRPr="0048555E">
        <w:rPr>
          <w:rFonts w:ascii="Cambria" w:hAnsi="Cambria"/>
          <w:sz w:val="16"/>
          <w:szCs w:val="16"/>
        </w:rPr>
        <w:t>1224  07</w:t>
      </w:r>
      <w:proofErr w:type="gramEnd"/>
      <w:r w:rsidRPr="0048555E">
        <w:rPr>
          <w:rFonts w:ascii="Cambria" w:hAnsi="Cambria"/>
          <w:sz w:val="16"/>
          <w:szCs w:val="16"/>
        </w:rPr>
        <w:t xml:space="preserve">. Friendly Settlement. David </w:t>
      </w:r>
      <w:proofErr w:type="spellStart"/>
      <w:r w:rsidRPr="0048555E">
        <w:rPr>
          <w:rFonts w:ascii="Cambria" w:hAnsi="Cambria"/>
          <w:sz w:val="16"/>
          <w:szCs w:val="16"/>
        </w:rPr>
        <w:t>Rabinovich</w:t>
      </w:r>
      <w:proofErr w:type="spellEnd"/>
      <w:r w:rsidRPr="0048555E">
        <w:rPr>
          <w:rFonts w:ascii="Cambria" w:hAnsi="Cambria"/>
          <w:sz w:val="16"/>
          <w:szCs w:val="16"/>
        </w:rPr>
        <w:t>. Uruguay. July 16, 2019.</w:t>
      </w:r>
    </w:p>
  </w:footnote>
  <w:footnote w:id="124">
    <w:p w14:paraId="277E9C1A"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Style w:val="FootnoteReference"/>
          <w:rFonts w:ascii="Cambria" w:hAnsi="Cambria"/>
          <w:sz w:val="16"/>
          <w:szCs w:val="16"/>
        </w:rPr>
        <w:t xml:space="preserve"> </w:t>
      </w:r>
      <w:r w:rsidRPr="0048555E">
        <w:rPr>
          <w:rFonts w:ascii="Cambria" w:hAnsi="Cambria"/>
          <w:sz w:val="16"/>
          <w:szCs w:val="16"/>
        </w:rPr>
        <w:t xml:space="preserve">See IACHR, Annual Report 2018, Chapter II, Section G. “Status of Compliance with the Recommendations Issued by the IACHR in Merits Reports and Friendly Settlement Agreements Approved by the IACHR.”  The Commission notes the lack of progress in compliance with the friendly settlement agreement since its approval.  Therefore, on January 8, 2019, the IACHR decided, in accordance with Articles 42 and 48 of its Rules of Procedure, to conclude its monitoring of compliance with the friendly settlement agreement and to close the matter. The IACHR considers that the State did not comply with any of the measures set forth in the friendly settlement agreement and therefore compliance with it is pending.  </w:t>
      </w:r>
    </w:p>
  </w:footnote>
  <w:footnote w:id="125">
    <w:p w14:paraId="3F374C6A"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IACHR, Impact of the Friendly Settlement Procedure. Second Edition. OEA/</w:t>
      </w:r>
      <w:proofErr w:type="spellStart"/>
      <w:r w:rsidRPr="0048555E">
        <w:rPr>
          <w:rFonts w:ascii="Cambria" w:hAnsi="Cambria"/>
          <w:sz w:val="16"/>
          <w:szCs w:val="16"/>
        </w:rPr>
        <w:t>Ser.L</w:t>
      </w:r>
      <w:proofErr w:type="spellEnd"/>
      <w:r w:rsidRPr="0048555E">
        <w:rPr>
          <w:rFonts w:ascii="Cambria" w:hAnsi="Cambria"/>
          <w:sz w:val="16"/>
          <w:szCs w:val="16"/>
        </w:rPr>
        <w:t xml:space="preserve">/V/II.167. Doc. 31. March 1, 2018. Original: Spanish. 2018. Para. 275. </w:t>
      </w:r>
    </w:p>
  </w:footnote>
  <w:footnote w:id="126">
    <w:p w14:paraId="477B5679"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IACHR, Impact of the Friendly Settlement Procedure. Second Edition. OEA/</w:t>
      </w:r>
      <w:proofErr w:type="spellStart"/>
      <w:r w:rsidRPr="0048555E">
        <w:rPr>
          <w:rFonts w:ascii="Cambria" w:hAnsi="Cambria"/>
          <w:sz w:val="16"/>
          <w:szCs w:val="16"/>
        </w:rPr>
        <w:t>Ser.L</w:t>
      </w:r>
      <w:proofErr w:type="spellEnd"/>
      <w:r w:rsidRPr="0048555E">
        <w:rPr>
          <w:rFonts w:ascii="Cambria" w:hAnsi="Cambria"/>
          <w:sz w:val="16"/>
          <w:szCs w:val="16"/>
        </w:rPr>
        <w:t>/V/II.167. Doc. 31. March 1, 2018. Original: Spanish. 2018. Para. 289.</w:t>
      </w:r>
    </w:p>
  </w:footnote>
  <w:footnote w:id="127">
    <w:p w14:paraId="61B1433C" w14:textId="77777777" w:rsidR="007E31E3" w:rsidRPr="0048555E" w:rsidRDefault="007E31E3" w:rsidP="00655B94">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r w:rsidRPr="0048555E">
        <w:rPr>
          <w:rFonts w:ascii="Cambria" w:hAnsi="Cambria"/>
          <w:bCs/>
          <w:sz w:val="16"/>
          <w:szCs w:val="16"/>
        </w:rPr>
        <w:t xml:space="preserve">Case 12.007, Report No. 110/01, </w:t>
      </w:r>
      <w:proofErr w:type="spellStart"/>
      <w:r w:rsidRPr="0048555E">
        <w:rPr>
          <w:rFonts w:ascii="Cambria" w:hAnsi="Cambria"/>
          <w:bCs/>
          <w:sz w:val="16"/>
          <w:szCs w:val="16"/>
        </w:rPr>
        <w:t>Pompeyo</w:t>
      </w:r>
      <w:proofErr w:type="spellEnd"/>
      <w:r w:rsidRPr="0048555E">
        <w:rPr>
          <w:rFonts w:ascii="Cambria" w:hAnsi="Cambria"/>
          <w:bCs/>
          <w:sz w:val="16"/>
          <w:szCs w:val="16"/>
        </w:rPr>
        <w:t xml:space="preserve"> Carlos Andrade Benítez (Ecuador) and Petition 133-04, Report No. 99/05, José Miguel Mérida Escobar (Guatemala). </w:t>
      </w:r>
    </w:p>
  </w:footnote>
  <w:footnote w:id="128">
    <w:p w14:paraId="248373B8" w14:textId="77777777" w:rsidR="00302253" w:rsidRPr="0048555E" w:rsidRDefault="00302253" w:rsidP="00302253">
      <w:pPr>
        <w:pStyle w:val="FootnoteText"/>
        <w:spacing w:after="120"/>
        <w:ind w:firstLine="720"/>
        <w:jc w:val="both"/>
        <w:rPr>
          <w:rFonts w:ascii="Cambria" w:hAnsi="Cambria"/>
          <w:color w:val="000000" w:themeColor="text1"/>
          <w:sz w:val="16"/>
          <w:szCs w:val="16"/>
        </w:rPr>
      </w:pPr>
      <w:r w:rsidRPr="0048555E">
        <w:rPr>
          <w:rStyle w:val="FootnoteReference"/>
          <w:rFonts w:ascii="Cambria" w:hAnsi="Cambria"/>
          <w:color w:val="000000" w:themeColor="text1"/>
          <w:sz w:val="16"/>
          <w:szCs w:val="16"/>
        </w:rPr>
        <w:footnoteRef/>
      </w:r>
      <w:r w:rsidRPr="0048555E">
        <w:rPr>
          <w:rFonts w:ascii="Cambria" w:hAnsi="Cambria" w:cs="Cambria"/>
          <w:color w:val="000000" w:themeColor="text1"/>
          <w:sz w:val="16"/>
          <w:szCs w:val="16"/>
        </w:rPr>
        <w:t xml:space="preserve">  Vienna Convention on the Law of Treaties, U.N. Doc. </w:t>
      </w:r>
      <w:r w:rsidRPr="007A5442">
        <w:rPr>
          <w:rFonts w:ascii="Cambria" w:hAnsi="Cambria" w:cs="Cambria"/>
          <w:color w:val="000000" w:themeColor="text1"/>
          <w:sz w:val="16"/>
          <w:szCs w:val="16"/>
        </w:rPr>
        <w:t xml:space="preserve">A/CONF.39/27 (1969), Article 26: "Pacta sunt </w:t>
      </w:r>
      <w:proofErr w:type="spellStart"/>
      <w:r w:rsidRPr="007A5442">
        <w:rPr>
          <w:rFonts w:ascii="Cambria" w:hAnsi="Cambria" w:cs="Cambria"/>
          <w:color w:val="000000" w:themeColor="text1"/>
          <w:sz w:val="16"/>
          <w:szCs w:val="16"/>
        </w:rPr>
        <w:t>servanda</w:t>
      </w:r>
      <w:proofErr w:type="spellEnd"/>
      <w:r w:rsidRPr="007A5442">
        <w:rPr>
          <w:rFonts w:ascii="Cambria" w:hAnsi="Cambria" w:cs="Cambria"/>
          <w:color w:val="000000" w:themeColor="text1"/>
          <w:sz w:val="16"/>
          <w:szCs w:val="16"/>
        </w:rPr>
        <w:t xml:space="preserve">". </w:t>
      </w:r>
      <w:r w:rsidRPr="0048555E">
        <w:rPr>
          <w:rFonts w:ascii="Cambria" w:hAnsi="Cambria" w:cs="Cambria"/>
          <w:color w:val="000000" w:themeColor="text1"/>
          <w:sz w:val="16"/>
          <w:szCs w:val="16"/>
        </w:rPr>
        <w:t xml:space="preserve">Every treaty in force is binding upon the parties to it and must be performed by them in good faith. </w:t>
      </w:r>
    </w:p>
  </w:footnote>
  <w:footnote w:id="129">
    <w:p w14:paraId="61FB29DE" w14:textId="77777777" w:rsidR="00302253" w:rsidRPr="0048555E" w:rsidRDefault="00302253" w:rsidP="00302253">
      <w:pPr>
        <w:pStyle w:val="FootnoteText"/>
        <w:ind w:firstLine="720"/>
        <w:jc w:val="both"/>
        <w:rPr>
          <w:rFonts w:ascii="Cambria" w:hAnsi="Cambria"/>
          <w:color w:val="000000" w:themeColor="text1"/>
          <w:sz w:val="16"/>
          <w:szCs w:val="16"/>
        </w:rPr>
      </w:pPr>
      <w:r w:rsidRPr="0048555E">
        <w:rPr>
          <w:rStyle w:val="FootnoteReference"/>
          <w:rFonts w:ascii="Cambria" w:hAnsi="Cambria"/>
          <w:color w:val="000000" w:themeColor="text1"/>
          <w:sz w:val="16"/>
          <w:szCs w:val="16"/>
        </w:rPr>
        <w:footnoteRef/>
      </w:r>
      <w:r w:rsidRPr="0048555E">
        <w:rPr>
          <w:rFonts w:ascii="Cambria" w:hAnsi="Cambria"/>
          <w:color w:val="000000" w:themeColor="text1"/>
          <w:sz w:val="16"/>
          <w:szCs w:val="16"/>
        </w:rPr>
        <w:t xml:space="preserve"> Joint Press Release P-1193-CA was issued on February 22, </w:t>
      </w:r>
      <w:proofErr w:type="gramStart"/>
      <w:r w:rsidRPr="0048555E">
        <w:rPr>
          <w:rFonts w:ascii="Cambria" w:hAnsi="Cambria"/>
          <w:color w:val="000000" w:themeColor="text1"/>
          <w:sz w:val="16"/>
          <w:szCs w:val="16"/>
        </w:rPr>
        <w:t>2001</w:t>
      </w:r>
      <w:proofErr w:type="gramEnd"/>
      <w:r w:rsidRPr="0048555E">
        <w:rPr>
          <w:rFonts w:ascii="Cambria" w:hAnsi="Cambria"/>
          <w:color w:val="000000" w:themeColor="text1"/>
          <w:sz w:val="16"/>
          <w:szCs w:val="16"/>
        </w:rPr>
        <w:t xml:space="preserve"> during the 110th Regular Session of the Inter-American Commission on Human Rights (IACHR).</w:t>
      </w:r>
    </w:p>
    <w:p w14:paraId="7B82032F" w14:textId="77777777" w:rsidR="00302253" w:rsidRPr="0048555E" w:rsidRDefault="00302253" w:rsidP="00302253">
      <w:pPr>
        <w:pStyle w:val="FootnoteText"/>
        <w:ind w:firstLine="720"/>
        <w:jc w:val="both"/>
        <w:rPr>
          <w:rFonts w:ascii="Cambria" w:hAnsi="Cambria"/>
          <w:color w:val="000000" w:themeColor="text1"/>
          <w:sz w:val="16"/>
          <w:szCs w:val="16"/>
        </w:rPr>
      </w:pPr>
    </w:p>
  </w:footnote>
  <w:footnote w:id="130">
    <w:p w14:paraId="45C12499" w14:textId="0642EE0C" w:rsidR="00302253" w:rsidRPr="00E46605" w:rsidRDefault="00302253" w:rsidP="00302253">
      <w:pPr>
        <w:pStyle w:val="FootnoteText"/>
        <w:ind w:firstLine="720"/>
        <w:jc w:val="both"/>
        <w:rPr>
          <w:rFonts w:ascii="Cambria" w:hAnsi="Cambria"/>
          <w:color w:val="000000" w:themeColor="text1"/>
          <w:sz w:val="16"/>
          <w:szCs w:val="16"/>
        </w:rPr>
      </w:pPr>
      <w:r w:rsidRPr="0048555E">
        <w:rPr>
          <w:rStyle w:val="FootnoteReference"/>
          <w:rFonts w:ascii="Cambria" w:hAnsi="Cambria"/>
          <w:color w:val="000000" w:themeColor="text1"/>
          <w:sz w:val="16"/>
          <w:szCs w:val="16"/>
        </w:rPr>
        <w:footnoteRef/>
      </w:r>
      <w:r w:rsidRPr="0048555E">
        <w:rPr>
          <w:rFonts w:ascii="Cambria" w:hAnsi="Cambria"/>
          <w:color w:val="000000" w:themeColor="text1"/>
          <w:sz w:val="16"/>
          <w:szCs w:val="16"/>
          <w:lang w:val="es-ES"/>
        </w:rPr>
        <w:t xml:space="preserve"> Case 11.031, </w:t>
      </w:r>
      <w:proofErr w:type="spellStart"/>
      <w:r w:rsidR="00991B24" w:rsidRPr="0048555E">
        <w:rPr>
          <w:rFonts w:ascii="Cambria" w:hAnsi="Cambria"/>
          <w:color w:val="000000" w:themeColor="text1"/>
          <w:sz w:val="16"/>
          <w:szCs w:val="16"/>
          <w:lang w:val="es-ES"/>
        </w:rPr>
        <w:t>Report</w:t>
      </w:r>
      <w:proofErr w:type="spellEnd"/>
      <w:r w:rsidR="00991B24" w:rsidRPr="0048555E">
        <w:rPr>
          <w:rFonts w:ascii="Cambria" w:hAnsi="Cambria"/>
          <w:color w:val="000000" w:themeColor="text1"/>
          <w:sz w:val="16"/>
          <w:szCs w:val="16"/>
          <w:lang w:val="es-ES"/>
        </w:rPr>
        <w:t xml:space="preserve"> </w:t>
      </w:r>
      <w:proofErr w:type="spellStart"/>
      <w:r w:rsidRPr="0048555E">
        <w:rPr>
          <w:rFonts w:ascii="Cambria" w:hAnsi="Cambria"/>
          <w:color w:val="000000" w:themeColor="text1"/>
          <w:sz w:val="16"/>
          <w:szCs w:val="16"/>
          <w:lang w:val="es-ES"/>
        </w:rPr>
        <w:t>Nº</w:t>
      </w:r>
      <w:proofErr w:type="spellEnd"/>
      <w:r w:rsidRPr="0048555E">
        <w:rPr>
          <w:rFonts w:ascii="Cambria" w:hAnsi="Cambria"/>
          <w:color w:val="000000" w:themeColor="text1"/>
          <w:sz w:val="16"/>
          <w:szCs w:val="16"/>
          <w:lang w:val="es-ES"/>
        </w:rPr>
        <w:t xml:space="preserve"> 111/00, Pedro Pablo López González </w:t>
      </w:r>
      <w:r w:rsidR="0057284E" w:rsidRPr="0048555E">
        <w:rPr>
          <w:rFonts w:ascii="Cambria" w:hAnsi="Cambria"/>
          <w:color w:val="000000" w:themeColor="text1"/>
          <w:sz w:val="16"/>
          <w:szCs w:val="16"/>
          <w:lang w:val="es-ES"/>
        </w:rPr>
        <w:t xml:space="preserve">et al. </w:t>
      </w:r>
      <w:r w:rsidRPr="0048555E">
        <w:rPr>
          <w:rFonts w:ascii="Cambria" w:hAnsi="Cambria"/>
          <w:color w:val="000000" w:themeColor="text1"/>
          <w:sz w:val="16"/>
          <w:szCs w:val="16"/>
          <w:lang w:val="es-ES"/>
        </w:rPr>
        <w:t xml:space="preserve">(Perú); Cases 10.247 y otros, </w:t>
      </w:r>
      <w:proofErr w:type="spellStart"/>
      <w:r w:rsidR="00991B24" w:rsidRPr="0048555E">
        <w:rPr>
          <w:rFonts w:ascii="Cambria" w:hAnsi="Cambria"/>
          <w:color w:val="000000" w:themeColor="text1"/>
          <w:sz w:val="16"/>
          <w:szCs w:val="16"/>
          <w:lang w:val="es-ES"/>
        </w:rPr>
        <w:t>Report</w:t>
      </w:r>
      <w:proofErr w:type="spellEnd"/>
      <w:r w:rsidR="00991B24" w:rsidRPr="0048555E">
        <w:rPr>
          <w:rFonts w:ascii="Cambria" w:hAnsi="Cambria"/>
          <w:color w:val="000000" w:themeColor="text1"/>
          <w:sz w:val="16"/>
          <w:szCs w:val="16"/>
          <w:lang w:val="es-ES"/>
        </w:rPr>
        <w:t xml:space="preserve"> </w:t>
      </w:r>
      <w:proofErr w:type="spellStart"/>
      <w:r w:rsidRPr="0048555E">
        <w:rPr>
          <w:rFonts w:ascii="Cambria" w:hAnsi="Cambria"/>
          <w:color w:val="000000" w:themeColor="text1"/>
          <w:sz w:val="16"/>
          <w:szCs w:val="16"/>
          <w:lang w:val="es-ES"/>
        </w:rPr>
        <w:t>Nº</w:t>
      </w:r>
      <w:proofErr w:type="spellEnd"/>
      <w:r w:rsidRPr="0048555E">
        <w:rPr>
          <w:rFonts w:ascii="Cambria" w:hAnsi="Cambria"/>
          <w:color w:val="000000" w:themeColor="text1"/>
          <w:sz w:val="16"/>
          <w:szCs w:val="16"/>
          <w:lang w:val="es-ES"/>
        </w:rPr>
        <w:t xml:space="preserve"> 101/01, Luis Miguel Pasache Vidal </w:t>
      </w:r>
      <w:r w:rsidR="0057284E" w:rsidRPr="0048555E">
        <w:rPr>
          <w:rFonts w:ascii="Cambria" w:hAnsi="Cambria"/>
          <w:color w:val="000000" w:themeColor="text1"/>
          <w:sz w:val="16"/>
          <w:szCs w:val="16"/>
          <w:lang w:val="es-ES"/>
        </w:rPr>
        <w:t xml:space="preserve">et al. </w:t>
      </w:r>
      <w:r w:rsidRPr="00E46605">
        <w:rPr>
          <w:rFonts w:ascii="Cambria" w:hAnsi="Cambria"/>
          <w:color w:val="000000" w:themeColor="text1"/>
          <w:sz w:val="16"/>
          <w:szCs w:val="16"/>
        </w:rPr>
        <w:t xml:space="preserve">(Perú); Case 11.099, </w:t>
      </w:r>
      <w:r w:rsidR="00991B24" w:rsidRPr="00E46605">
        <w:rPr>
          <w:rFonts w:ascii="Cambria" w:hAnsi="Cambria"/>
          <w:color w:val="000000" w:themeColor="text1"/>
          <w:sz w:val="16"/>
          <w:szCs w:val="16"/>
        </w:rPr>
        <w:t xml:space="preserve">Report </w:t>
      </w:r>
      <w:r w:rsidRPr="00E46605">
        <w:rPr>
          <w:rFonts w:ascii="Cambria" w:hAnsi="Cambria"/>
          <w:color w:val="000000" w:themeColor="text1"/>
          <w:sz w:val="16"/>
          <w:szCs w:val="16"/>
        </w:rPr>
        <w:t xml:space="preserve">Nº 112/00, </w:t>
      </w:r>
      <w:proofErr w:type="spellStart"/>
      <w:r w:rsidRPr="00E46605">
        <w:rPr>
          <w:rFonts w:ascii="Cambria" w:hAnsi="Cambria"/>
          <w:color w:val="000000" w:themeColor="text1"/>
          <w:sz w:val="16"/>
          <w:szCs w:val="16"/>
        </w:rPr>
        <w:t>Yone</w:t>
      </w:r>
      <w:proofErr w:type="spellEnd"/>
      <w:r w:rsidRPr="00E46605">
        <w:rPr>
          <w:rFonts w:ascii="Cambria" w:hAnsi="Cambria"/>
          <w:color w:val="000000" w:themeColor="text1"/>
          <w:sz w:val="16"/>
          <w:szCs w:val="16"/>
        </w:rPr>
        <w:t xml:space="preserve"> Cruz </w:t>
      </w:r>
      <w:proofErr w:type="spellStart"/>
      <w:r w:rsidRPr="00E46605">
        <w:rPr>
          <w:rFonts w:ascii="Cambria" w:hAnsi="Cambria"/>
          <w:color w:val="000000" w:themeColor="text1"/>
          <w:sz w:val="16"/>
          <w:szCs w:val="16"/>
        </w:rPr>
        <w:t>Ocalio</w:t>
      </w:r>
      <w:proofErr w:type="spellEnd"/>
      <w:r w:rsidRPr="00E46605">
        <w:rPr>
          <w:rFonts w:ascii="Cambria" w:hAnsi="Cambria"/>
          <w:color w:val="000000" w:themeColor="text1"/>
          <w:sz w:val="16"/>
          <w:szCs w:val="16"/>
        </w:rPr>
        <w:t xml:space="preserve"> (Perú).</w:t>
      </w:r>
    </w:p>
    <w:p w14:paraId="1DA5EB9C" w14:textId="77777777" w:rsidR="00302253" w:rsidRPr="00E46605" w:rsidRDefault="00302253" w:rsidP="00302253">
      <w:pPr>
        <w:pStyle w:val="FootnoteText"/>
        <w:ind w:firstLine="720"/>
        <w:jc w:val="both"/>
        <w:rPr>
          <w:rFonts w:ascii="Cambria" w:hAnsi="Cambria"/>
          <w:color w:val="000000" w:themeColor="text1"/>
          <w:sz w:val="16"/>
          <w:szCs w:val="16"/>
        </w:rPr>
      </w:pPr>
    </w:p>
  </w:footnote>
  <w:footnote w:id="131">
    <w:p w14:paraId="014C73FA" w14:textId="77777777" w:rsidR="007A5442" w:rsidRPr="0048555E" w:rsidRDefault="007A5442" w:rsidP="00302253">
      <w:pPr>
        <w:pStyle w:val="FootnoteText"/>
        <w:spacing w:after="120"/>
        <w:ind w:firstLine="720"/>
        <w:jc w:val="both"/>
        <w:rPr>
          <w:rFonts w:ascii="Cambria" w:hAnsi="Cambria"/>
          <w:color w:val="000000" w:themeColor="text1"/>
          <w:sz w:val="16"/>
          <w:szCs w:val="16"/>
        </w:rPr>
      </w:pPr>
      <w:r w:rsidRPr="0048555E">
        <w:rPr>
          <w:rStyle w:val="FootnoteReference"/>
          <w:rFonts w:ascii="Cambria" w:hAnsi="Cambria"/>
          <w:color w:val="000000" w:themeColor="text1"/>
          <w:sz w:val="16"/>
          <w:szCs w:val="16"/>
        </w:rPr>
        <w:footnoteRef/>
      </w:r>
      <w:r w:rsidRPr="0048555E">
        <w:rPr>
          <w:rFonts w:ascii="Cambria" w:hAnsi="Cambria" w:cs="Cambria"/>
          <w:color w:val="000000" w:themeColor="text1"/>
          <w:sz w:val="16"/>
          <w:szCs w:val="16"/>
        </w:rPr>
        <w:t xml:space="preserve"> In its 2018 Annual Report, the IACHR </w:t>
      </w:r>
      <w:proofErr w:type="spellStart"/>
      <w:r w:rsidRPr="0048555E">
        <w:rPr>
          <w:rFonts w:ascii="Cambria" w:hAnsi="Cambria" w:cs="Cambria"/>
          <w:color w:val="000000" w:themeColor="text1"/>
          <w:sz w:val="16"/>
          <w:szCs w:val="16"/>
        </w:rPr>
        <w:t>Reportd</w:t>
      </w:r>
      <w:proofErr w:type="spellEnd"/>
      <w:r w:rsidRPr="0048555E">
        <w:rPr>
          <w:rFonts w:ascii="Cambria" w:hAnsi="Cambria" w:cs="Cambria"/>
          <w:color w:val="000000" w:themeColor="text1"/>
          <w:sz w:val="16"/>
          <w:szCs w:val="16"/>
        </w:rPr>
        <w:t xml:space="preserve"> the OAS General Assembly that on April 10, 2019, the IACHR notified the parties of its decision, based on Article 48 of its Rules of Procedure, to stop monitoring compliance with the merits report and to close the case. IACHR, Annual Report 2018, Chapter IV, </w:t>
      </w:r>
      <w:hyperlink r:id="rId27" w:history="1">
        <w:r w:rsidRPr="0048555E">
          <w:rPr>
            <w:rStyle w:val="Hyperlink"/>
            <w:rFonts w:ascii="Cambria" w:hAnsi="Cambria" w:cs="Cambria"/>
            <w:color w:val="000000" w:themeColor="text1"/>
            <w:sz w:val="16"/>
            <w:szCs w:val="16"/>
          </w:rPr>
          <w:t>Follow-up Factsheet of Report No. 83/09. Case of Horacio Aníbal Schillizzi</w:t>
        </w:r>
      </w:hyperlink>
      <w:r w:rsidRPr="0048555E">
        <w:rPr>
          <w:rFonts w:ascii="Cambria" w:hAnsi="Cambria" w:cs="Cambria"/>
          <w:color w:val="000000" w:themeColor="text1"/>
          <w:sz w:val="16"/>
          <w:szCs w:val="16"/>
        </w:rPr>
        <w:t>, para. 7.</w:t>
      </w:r>
    </w:p>
  </w:footnote>
  <w:footnote w:id="132">
    <w:p w14:paraId="6D09E90D" w14:textId="77777777" w:rsidR="007A5442" w:rsidRPr="0048555E" w:rsidRDefault="007A5442" w:rsidP="00302253">
      <w:pPr>
        <w:pStyle w:val="FootnoteText"/>
        <w:spacing w:after="120"/>
        <w:ind w:firstLine="720"/>
        <w:jc w:val="both"/>
        <w:rPr>
          <w:rFonts w:ascii="Cambria" w:hAnsi="Cambria"/>
          <w:color w:val="000000" w:themeColor="text1"/>
          <w:sz w:val="16"/>
          <w:szCs w:val="16"/>
        </w:rPr>
      </w:pPr>
      <w:r w:rsidRPr="0048555E">
        <w:rPr>
          <w:rStyle w:val="FootnoteReference"/>
          <w:rFonts w:ascii="Cambria" w:hAnsi="Cambria"/>
          <w:color w:val="000000" w:themeColor="text1"/>
          <w:sz w:val="16"/>
          <w:szCs w:val="16"/>
        </w:rPr>
        <w:footnoteRef/>
      </w:r>
      <w:r w:rsidRPr="0048555E">
        <w:rPr>
          <w:rFonts w:ascii="Cambria" w:hAnsi="Cambria" w:cs="Cambria"/>
          <w:color w:val="000000" w:themeColor="text1"/>
          <w:sz w:val="16"/>
          <w:szCs w:val="16"/>
        </w:rPr>
        <w:t xml:space="preserve"> See IACHR, Annual Report 2008, </w:t>
      </w:r>
      <w:hyperlink r:id="rId28" w:history="1">
        <w:r w:rsidRPr="0048555E">
          <w:rPr>
            <w:rStyle w:val="Hyperlink"/>
            <w:rFonts w:ascii="Cambria" w:hAnsi="Cambria" w:cs="Cambria"/>
            <w:color w:val="000000" w:themeColor="text1"/>
            <w:sz w:val="16"/>
            <w:szCs w:val="16"/>
          </w:rPr>
          <w:t>Chapter III, Section D: Status of compliance with the recommendations of the IACHR</w:t>
        </w:r>
      </w:hyperlink>
      <w:r w:rsidRPr="0048555E">
        <w:rPr>
          <w:rFonts w:ascii="Cambria" w:hAnsi="Cambria" w:cs="Cambria"/>
          <w:color w:val="000000" w:themeColor="text1"/>
          <w:sz w:val="16"/>
          <w:szCs w:val="16"/>
        </w:rPr>
        <w:t xml:space="preserve">, </w:t>
      </w:r>
      <w:r w:rsidRPr="0048555E">
        <w:rPr>
          <w:rFonts w:ascii="Cambria" w:hAnsi="Cambria" w:cs="Cambria"/>
          <w:color w:val="000000" w:themeColor="text1"/>
          <w:sz w:val="16"/>
          <w:szCs w:val="16"/>
        </w:rPr>
        <w:br/>
        <w:t>paras. 216-224.</w:t>
      </w:r>
    </w:p>
  </w:footnote>
  <w:footnote w:id="133">
    <w:p w14:paraId="303E9082" w14:textId="77777777" w:rsidR="007A5442" w:rsidRPr="0048555E" w:rsidRDefault="007A5442" w:rsidP="00302253">
      <w:pPr>
        <w:pStyle w:val="FootnoteText"/>
        <w:spacing w:after="120"/>
        <w:ind w:firstLine="720"/>
        <w:jc w:val="both"/>
        <w:rPr>
          <w:rFonts w:ascii="Cambria" w:hAnsi="Cambria"/>
          <w:color w:val="000000" w:themeColor="text1"/>
          <w:sz w:val="16"/>
          <w:szCs w:val="16"/>
        </w:rPr>
      </w:pPr>
      <w:r w:rsidRPr="0048555E">
        <w:rPr>
          <w:rStyle w:val="FootnoteReference"/>
          <w:rFonts w:ascii="Cambria" w:hAnsi="Cambria"/>
          <w:color w:val="000000" w:themeColor="text1"/>
          <w:sz w:val="16"/>
          <w:szCs w:val="16"/>
        </w:rPr>
        <w:footnoteRef/>
      </w:r>
      <w:r w:rsidRPr="0048555E">
        <w:rPr>
          <w:rFonts w:ascii="Cambria" w:hAnsi="Cambria" w:cs="Cambria"/>
          <w:color w:val="000000" w:themeColor="text1"/>
          <w:sz w:val="16"/>
          <w:szCs w:val="16"/>
        </w:rPr>
        <w:t xml:space="preserve"> See IACHR, Annual Report 2016, </w:t>
      </w:r>
      <w:hyperlink r:id="rId29" w:history="1">
        <w:r w:rsidRPr="0048555E">
          <w:rPr>
            <w:rStyle w:val="Hyperlink"/>
            <w:rFonts w:ascii="Cambria" w:hAnsi="Cambria" w:cs="Cambria"/>
            <w:color w:val="000000" w:themeColor="text1"/>
            <w:sz w:val="16"/>
            <w:szCs w:val="16"/>
          </w:rPr>
          <w:t>Chapter II, Section D: Status of compliance with the recommendations and friendly settlements of the IACHR</w:t>
        </w:r>
      </w:hyperlink>
      <w:r w:rsidRPr="0048555E">
        <w:rPr>
          <w:rFonts w:ascii="Cambria" w:hAnsi="Cambria" w:cs="Cambria"/>
          <w:color w:val="000000" w:themeColor="text1"/>
          <w:sz w:val="16"/>
          <w:szCs w:val="16"/>
        </w:rPr>
        <w:t xml:space="preserve">, paras. 602-614. </w:t>
      </w:r>
    </w:p>
  </w:footnote>
  <w:footnote w:id="134">
    <w:p w14:paraId="6B3AA91C" w14:textId="77777777" w:rsidR="007A5442" w:rsidRPr="0048555E" w:rsidRDefault="007A5442" w:rsidP="00302253">
      <w:pPr>
        <w:pStyle w:val="FootnoteText"/>
        <w:spacing w:after="120"/>
        <w:ind w:firstLine="720"/>
        <w:jc w:val="both"/>
        <w:rPr>
          <w:rFonts w:ascii="Cambria" w:hAnsi="Cambria"/>
          <w:color w:val="000000" w:themeColor="text1"/>
          <w:sz w:val="16"/>
          <w:szCs w:val="16"/>
        </w:rPr>
      </w:pPr>
      <w:r w:rsidRPr="0048555E">
        <w:rPr>
          <w:rStyle w:val="FootnoteReference"/>
          <w:rFonts w:ascii="Cambria" w:hAnsi="Cambria"/>
          <w:color w:val="000000" w:themeColor="text1"/>
          <w:sz w:val="16"/>
          <w:szCs w:val="16"/>
        </w:rPr>
        <w:footnoteRef/>
      </w:r>
      <w:r w:rsidRPr="0048555E">
        <w:rPr>
          <w:rFonts w:ascii="Cambria" w:hAnsi="Cambria" w:cs="Cambria"/>
          <w:color w:val="000000" w:themeColor="text1"/>
          <w:sz w:val="16"/>
          <w:szCs w:val="16"/>
        </w:rPr>
        <w:t xml:space="preserve"> See IACHR, Annual Report 2009, </w:t>
      </w:r>
      <w:hyperlink r:id="rId30" w:history="1">
        <w:r w:rsidRPr="0048555E">
          <w:rPr>
            <w:rStyle w:val="Hyperlink"/>
            <w:rFonts w:ascii="Cambria" w:hAnsi="Cambria" w:cs="Cambria"/>
            <w:color w:val="000000" w:themeColor="text1"/>
            <w:sz w:val="16"/>
            <w:szCs w:val="16"/>
          </w:rPr>
          <w:t>Chapter III, Section D: Status of compliance with the recommendations of the IACHR</w:t>
        </w:r>
      </w:hyperlink>
      <w:r w:rsidRPr="0048555E">
        <w:rPr>
          <w:rFonts w:ascii="Cambria" w:hAnsi="Cambria" w:cs="Cambria"/>
          <w:color w:val="000000" w:themeColor="text1"/>
          <w:sz w:val="16"/>
          <w:szCs w:val="16"/>
        </w:rPr>
        <w:t xml:space="preserve">, </w:t>
      </w:r>
      <w:r w:rsidRPr="0048555E">
        <w:rPr>
          <w:rFonts w:ascii="Cambria" w:hAnsi="Cambria" w:cs="Cambria"/>
          <w:color w:val="000000" w:themeColor="text1"/>
          <w:sz w:val="16"/>
          <w:szCs w:val="16"/>
        </w:rPr>
        <w:br/>
        <w:t xml:space="preserve">paras. 274-280. </w:t>
      </w:r>
    </w:p>
  </w:footnote>
  <w:footnote w:id="135">
    <w:p w14:paraId="447687DD" w14:textId="77777777" w:rsidR="007A5442" w:rsidRPr="0048555E" w:rsidRDefault="007A5442" w:rsidP="00302253">
      <w:pPr>
        <w:pStyle w:val="FootnoteText"/>
        <w:spacing w:after="120"/>
        <w:ind w:firstLine="720"/>
        <w:jc w:val="both"/>
        <w:rPr>
          <w:rFonts w:ascii="Cambria" w:hAnsi="Cambria"/>
          <w:color w:val="000000" w:themeColor="text1"/>
          <w:sz w:val="16"/>
          <w:szCs w:val="16"/>
        </w:rPr>
      </w:pPr>
      <w:r w:rsidRPr="0048555E">
        <w:rPr>
          <w:rStyle w:val="FootnoteReference"/>
          <w:rFonts w:ascii="Cambria" w:hAnsi="Cambria"/>
          <w:color w:val="000000" w:themeColor="text1"/>
          <w:sz w:val="16"/>
          <w:szCs w:val="16"/>
        </w:rPr>
        <w:footnoteRef/>
      </w:r>
      <w:r w:rsidRPr="0048555E">
        <w:rPr>
          <w:rFonts w:ascii="Cambria" w:hAnsi="Cambria" w:cs="Cambria"/>
          <w:color w:val="000000" w:themeColor="text1"/>
          <w:sz w:val="16"/>
          <w:szCs w:val="16"/>
        </w:rPr>
        <w:t xml:space="preserve"> See IACHR, </w:t>
      </w:r>
      <w:hyperlink r:id="rId31" w:history="1">
        <w:r w:rsidRPr="0048555E">
          <w:rPr>
            <w:rStyle w:val="Hyperlink"/>
            <w:rFonts w:ascii="Cambria" w:hAnsi="Cambria" w:cs="Cambria"/>
            <w:color w:val="000000" w:themeColor="text1"/>
            <w:sz w:val="16"/>
            <w:szCs w:val="16"/>
          </w:rPr>
          <w:t>Case 12.393, Report No. 44/17, James Judge (Ecuador)</w:t>
        </w:r>
      </w:hyperlink>
      <w:r w:rsidRPr="0048555E">
        <w:rPr>
          <w:rFonts w:ascii="Cambria" w:hAnsi="Cambria" w:cs="Cambria"/>
          <w:color w:val="000000" w:themeColor="text1"/>
          <w:sz w:val="16"/>
          <w:szCs w:val="16"/>
        </w:rPr>
        <w:t xml:space="preserve">, paras. 115-116 (only available in Spanish). </w:t>
      </w:r>
    </w:p>
  </w:footnote>
  <w:footnote w:id="136">
    <w:p w14:paraId="12470A52" w14:textId="77777777" w:rsidR="007A5442" w:rsidRPr="0048555E" w:rsidRDefault="007A5442" w:rsidP="00302253">
      <w:pPr>
        <w:pStyle w:val="FootnoteText"/>
        <w:spacing w:after="120"/>
        <w:ind w:firstLine="720"/>
        <w:jc w:val="both"/>
        <w:rPr>
          <w:rFonts w:ascii="Cambria" w:hAnsi="Cambria"/>
          <w:color w:val="000000" w:themeColor="text1"/>
          <w:sz w:val="16"/>
          <w:szCs w:val="16"/>
        </w:rPr>
      </w:pPr>
      <w:r w:rsidRPr="0048555E">
        <w:rPr>
          <w:rStyle w:val="FootnoteReference"/>
          <w:rFonts w:ascii="Cambria" w:hAnsi="Cambria"/>
          <w:color w:val="000000" w:themeColor="text1"/>
          <w:sz w:val="16"/>
          <w:szCs w:val="16"/>
        </w:rPr>
        <w:footnoteRef/>
      </w:r>
      <w:r w:rsidRPr="0048555E">
        <w:rPr>
          <w:rFonts w:ascii="Cambria" w:hAnsi="Cambria" w:cs="Cambria"/>
          <w:color w:val="000000" w:themeColor="text1"/>
          <w:sz w:val="16"/>
          <w:szCs w:val="16"/>
        </w:rPr>
        <w:t xml:space="preserve"> See IACHR, Annual Report 2016, </w:t>
      </w:r>
      <w:hyperlink r:id="rId32" w:history="1">
        <w:r w:rsidRPr="0048555E">
          <w:rPr>
            <w:rStyle w:val="Hyperlink"/>
            <w:rFonts w:ascii="Cambria" w:hAnsi="Cambria" w:cs="Cambria"/>
            <w:color w:val="000000" w:themeColor="text1"/>
            <w:sz w:val="16"/>
            <w:szCs w:val="16"/>
          </w:rPr>
          <w:t>Chapter II, Section D: Status of compliance with the recommendations and friendly settlements of the IACHR</w:t>
        </w:r>
      </w:hyperlink>
      <w:r w:rsidRPr="0048555E">
        <w:rPr>
          <w:rFonts w:ascii="Cambria" w:hAnsi="Cambria" w:cs="Cambria"/>
          <w:color w:val="000000" w:themeColor="text1"/>
          <w:sz w:val="16"/>
          <w:szCs w:val="16"/>
        </w:rPr>
        <w:t xml:space="preserve">, paras. 1685-1708. </w:t>
      </w:r>
    </w:p>
  </w:footnote>
  <w:footnote w:id="137">
    <w:p w14:paraId="4A63A7E2" w14:textId="77777777" w:rsidR="007A5442" w:rsidRPr="0048555E" w:rsidRDefault="007A5442" w:rsidP="00302253">
      <w:pPr>
        <w:pStyle w:val="FootnoteText"/>
        <w:spacing w:after="120"/>
        <w:ind w:firstLine="720"/>
        <w:jc w:val="both"/>
        <w:rPr>
          <w:rFonts w:ascii="Cambria" w:hAnsi="Cambria"/>
          <w:color w:val="000000" w:themeColor="text1"/>
          <w:sz w:val="16"/>
          <w:szCs w:val="16"/>
        </w:rPr>
      </w:pPr>
      <w:r w:rsidRPr="0048555E">
        <w:rPr>
          <w:rStyle w:val="FootnoteReference"/>
          <w:rFonts w:ascii="Cambria" w:hAnsi="Cambria"/>
          <w:color w:val="000000" w:themeColor="text1"/>
          <w:sz w:val="16"/>
          <w:szCs w:val="16"/>
        </w:rPr>
        <w:footnoteRef/>
      </w:r>
      <w:r w:rsidRPr="0048555E">
        <w:rPr>
          <w:rFonts w:ascii="Cambria" w:hAnsi="Cambria" w:cs="Cambria"/>
          <w:color w:val="000000" w:themeColor="text1"/>
          <w:sz w:val="16"/>
          <w:szCs w:val="16"/>
        </w:rPr>
        <w:t xml:space="preserve"> See IACHR Annual Report 2012, </w:t>
      </w:r>
      <w:hyperlink r:id="rId33" w:history="1">
        <w:r w:rsidRPr="0048555E">
          <w:rPr>
            <w:rStyle w:val="Hyperlink"/>
            <w:rFonts w:ascii="Cambria" w:hAnsi="Cambria" w:cs="Cambria"/>
            <w:color w:val="000000" w:themeColor="text1"/>
            <w:sz w:val="16"/>
            <w:szCs w:val="16"/>
          </w:rPr>
          <w:t>Chapter III, Section D: Status of compliance with the recommendations of the IACHR</w:t>
        </w:r>
      </w:hyperlink>
      <w:r w:rsidRPr="0048555E">
        <w:rPr>
          <w:rFonts w:ascii="Cambria" w:hAnsi="Cambria" w:cs="Cambria"/>
          <w:color w:val="000000" w:themeColor="text1"/>
          <w:sz w:val="16"/>
          <w:szCs w:val="16"/>
        </w:rPr>
        <w:t xml:space="preserve">, </w:t>
      </w:r>
      <w:r w:rsidRPr="0048555E">
        <w:rPr>
          <w:rFonts w:ascii="Cambria" w:hAnsi="Cambria" w:cs="Cambria"/>
          <w:color w:val="000000" w:themeColor="text1"/>
          <w:sz w:val="16"/>
          <w:szCs w:val="16"/>
        </w:rPr>
        <w:br/>
        <w:t xml:space="preserve">paras. 904-908. </w:t>
      </w:r>
    </w:p>
  </w:footnote>
  <w:footnote w:id="138">
    <w:p w14:paraId="6C2C5680" w14:textId="77777777" w:rsidR="007A5442" w:rsidRPr="0048555E" w:rsidRDefault="007A5442" w:rsidP="00302253">
      <w:pPr>
        <w:pStyle w:val="FootnoteText"/>
        <w:spacing w:after="120"/>
        <w:ind w:firstLine="720"/>
        <w:jc w:val="both"/>
        <w:rPr>
          <w:rFonts w:ascii="Cambria" w:hAnsi="Cambria"/>
          <w:color w:val="000000" w:themeColor="text1"/>
          <w:sz w:val="16"/>
          <w:szCs w:val="16"/>
        </w:rPr>
      </w:pPr>
      <w:r w:rsidRPr="0048555E">
        <w:rPr>
          <w:rStyle w:val="FootnoteReference"/>
          <w:rFonts w:ascii="Cambria" w:hAnsi="Cambria"/>
          <w:color w:val="000000" w:themeColor="text1"/>
          <w:sz w:val="16"/>
          <w:szCs w:val="16"/>
        </w:rPr>
        <w:footnoteRef/>
      </w:r>
      <w:r w:rsidRPr="0048555E">
        <w:rPr>
          <w:rFonts w:ascii="Cambria" w:hAnsi="Cambria" w:cs="Cambria"/>
          <w:color w:val="000000" w:themeColor="text1"/>
          <w:sz w:val="16"/>
          <w:szCs w:val="16"/>
        </w:rPr>
        <w:t xml:space="preserve"> See IACHR Annual Report 2005, </w:t>
      </w:r>
      <w:hyperlink r:id="rId34" w:anchor="compliance" w:history="1">
        <w:r w:rsidRPr="0048555E">
          <w:rPr>
            <w:rStyle w:val="Hyperlink"/>
            <w:rFonts w:ascii="Cambria" w:hAnsi="Cambria" w:cs="Cambria"/>
            <w:color w:val="000000" w:themeColor="text1"/>
            <w:sz w:val="16"/>
            <w:szCs w:val="16"/>
          </w:rPr>
          <w:t>Chapter III, Section D: Status of compliance with the recommendations of the IACHR</w:t>
        </w:r>
      </w:hyperlink>
      <w:r w:rsidRPr="0048555E">
        <w:rPr>
          <w:rFonts w:ascii="Cambria" w:hAnsi="Cambria" w:cs="Cambria"/>
          <w:color w:val="000000" w:themeColor="text1"/>
          <w:sz w:val="16"/>
          <w:szCs w:val="16"/>
        </w:rPr>
        <w:t xml:space="preserve">, </w:t>
      </w:r>
      <w:r w:rsidRPr="0048555E">
        <w:rPr>
          <w:rFonts w:ascii="Cambria" w:hAnsi="Cambria" w:cs="Cambria"/>
          <w:color w:val="000000" w:themeColor="text1"/>
          <w:sz w:val="16"/>
          <w:szCs w:val="16"/>
        </w:rPr>
        <w:br/>
        <w:t>paras. 928-935.</w:t>
      </w:r>
    </w:p>
  </w:footnote>
  <w:footnote w:id="139">
    <w:p w14:paraId="7BFF5EB0" w14:textId="77777777" w:rsidR="007A5442" w:rsidRPr="0048555E" w:rsidRDefault="007A5442" w:rsidP="00302253">
      <w:pPr>
        <w:pStyle w:val="FootnoteText"/>
        <w:spacing w:after="120"/>
        <w:ind w:firstLine="720"/>
        <w:jc w:val="both"/>
        <w:rPr>
          <w:rFonts w:ascii="Cambria" w:hAnsi="Cambria"/>
          <w:color w:val="000000" w:themeColor="text1"/>
          <w:sz w:val="16"/>
          <w:szCs w:val="16"/>
        </w:rPr>
      </w:pPr>
      <w:r w:rsidRPr="0048555E">
        <w:rPr>
          <w:rStyle w:val="FootnoteReference"/>
          <w:rFonts w:ascii="Cambria" w:hAnsi="Cambria"/>
          <w:color w:val="000000" w:themeColor="text1"/>
          <w:sz w:val="16"/>
          <w:szCs w:val="16"/>
        </w:rPr>
        <w:footnoteRef/>
      </w:r>
      <w:r w:rsidRPr="0048555E">
        <w:rPr>
          <w:rFonts w:ascii="Cambria" w:hAnsi="Cambria" w:cs="Cambria"/>
          <w:color w:val="000000" w:themeColor="text1"/>
          <w:sz w:val="16"/>
          <w:szCs w:val="16"/>
        </w:rPr>
        <w:t xml:space="preserve"> See IACHR Annual Report 2005, </w:t>
      </w:r>
      <w:hyperlink r:id="rId35" w:anchor="compliance" w:history="1">
        <w:r w:rsidRPr="0048555E">
          <w:rPr>
            <w:rStyle w:val="Hyperlink"/>
            <w:rFonts w:ascii="Cambria" w:hAnsi="Cambria" w:cs="Cambria"/>
            <w:color w:val="000000" w:themeColor="text1"/>
            <w:sz w:val="16"/>
            <w:szCs w:val="16"/>
          </w:rPr>
          <w:t>Chapter III, Section D: Status of compliance with the recommendations of the IACHR</w:t>
        </w:r>
      </w:hyperlink>
      <w:r w:rsidRPr="0048555E">
        <w:rPr>
          <w:rFonts w:ascii="Cambria" w:hAnsi="Cambria" w:cs="Cambria"/>
          <w:color w:val="000000" w:themeColor="text1"/>
          <w:sz w:val="16"/>
          <w:szCs w:val="16"/>
        </w:rPr>
        <w:t xml:space="preserve">, </w:t>
      </w:r>
      <w:r w:rsidRPr="0048555E">
        <w:rPr>
          <w:rFonts w:ascii="Cambria" w:hAnsi="Cambria" w:cs="Cambria"/>
          <w:color w:val="000000" w:themeColor="text1"/>
          <w:sz w:val="16"/>
          <w:szCs w:val="16"/>
        </w:rPr>
        <w:br/>
        <w:t>paras. 185-186.</w:t>
      </w:r>
    </w:p>
  </w:footnote>
  <w:footnote w:id="140">
    <w:p w14:paraId="0EE07F40" w14:textId="77777777" w:rsidR="007A5442" w:rsidRPr="0048555E" w:rsidRDefault="007A5442" w:rsidP="00302253">
      <w:pPr>
        <w:pStyle w:val="FootnoteText"/>
        <w:spacing w:after="120"/>
        <w:ind w:firstLine="720"/>
        <w:jc w:val="both"/>
        <w:rPr>
          <w:rFonts w:ascii="Cambria" w:hAnsi="Cambria"/>
          <w:color w:val="000000" w:themeColor="text1"/>
          <w:sz w:val="16"/>
          <w:szCs w:val="16"/>
        </w:rPr>
      </w:pPr>
      <w:r w:rsidRPr="0048555E">
        <w:rPr>
          <w:rStyle w:val="FootnoteReference"/>
          <w:rFonts w:ascii="Cambria" w:hAnsi="Cambria"/>
          <w:color w:val="000000" w:themeColor="text1"/>
          <w:sz w:val="16"/>
          <w:szCs w:val="16"/>
        </w:rPr>
        <w:footnoteRef/>
      </w:r>
      <w:r w:rsidRPr="0048555E">
        <w:rPr>
          <w:rFonts w:ascii="Cambria" w:hAnsi="Cambria" w:cs="Cambria"/>
          <w:color w:val="000000" w:themeColor="text1"/>
          <w:sz w:val="16"/>
          <w:szCs w:val="16"/>
        </w:rPr>
        <w:t xml:space="preserve"> See IACHR, Annual Report 2010, </w:t>
      </w:r>
      <w:hyperlink r:id="rId36" w:history="1">
        <w:r w:rsidRPr="0048555E">
          <w:rPr>
            <w:rStyle w:val="Hyperlink"/>
            <w:rFonts w:ascii="Cambria" w:hAnsi="Cambria" w:cs="Cambria"/>
            <w:color w:val="000000" w:themeColor="text1"/>
            <w:sz w:val="16"/>
            <w:szCs w:val="16"/>
          </w:rPr>
          <w:t>Chapter III, Section D: Status of compliance with the recommendations of the IACHR</w:t>
        </w:r>
      </w:hyperlink>
      <w:r w:rsidRPr="0048555E">
        <w:rPr>
          <w:rFonts w:ascii="Cambria" w:hAnsi="Cambria" w:cs="Cambria"/>
          <w:color w:val="000000" w:themeColor="text1"/>
          <w:sz w:val="16"/>
          <w:szCs w:val="16"/>
        </w:rPr>
        <w:t xml:space="preserve">, </w:t>
      </w:r>
      <w:r w:rsidRPr="0048555E">
        <w:rPr>
          <w:rFonts w:ascii="Cambria" w:hAnsi="Cambria" w:cs="Cambria"/>
          <w:color w:val="000000" w:themeColor="text1"/>
          <w:sz w:val="16"/>
          <w:szCs w:val="16"/>
        </w:rPr>
        <w:br/>
        <w:t xml:space="preserve">paras. 1020-1127. </w:t>
      </w:r>
    </w:p>
  </w:footnote>
  <w:footnote w:id="141">
    <w:p w14:paraId="557E70B9" w14:textId="77777777" w:rsidR="00302253" w:rsidRPr="0048555E" w:rsidRDefault="00302253" w:rsidP="00302253">
      <w:pPr>
        <w:pStyle w:val="FootnoteText"/>
        <w:spacing w:after="240"/>
        <w:ind w:firstLine="720"/>
        <w:jc w:val="both"/>
        <w:rPr>
          <w:rFonts w:ascii="Cambria" w:hAnsi="Cambria"/>
          <w:color w:val="000000" w:themeColor="text1"/>
          <w:sz w:val="16"/>
          <w:szCs w:val="16"/>
        </w:rPr>
      </w:pPr>
      <w:r w:rsidRPr="0048555E">
        <w:rPr>
          <w:rStyle w:val="FootnoteReference"/>
          <w:rFonts w:ascii="Cambria" w:hAnsi="Cambria"/>
          <w:color w:val="000000" w:themeColor="text1"/>
          <w:sz w:val="16"/>
          <w:szCs w:val="16"/>
        </w:rPr>
        <w:footnoteRef/>
      </w:r>
      <w:r w:rsidRPr="0048555E">
        <w:rPr>
          <w:rFonts w:ascii="Cambria" w:hAnsi="Cambria"/>
          <w:color w:val="000000" w:themeColor="text1"/>
          <w:sz w:val="16"/>
          <w:szCs w:val="16"/>
        </w:rPr>
        <w:t xml:space="preserve"> It is important to consider that this percentage is calculated based on the 114 cases on which, in 2021, the IACHR requested information in the framework of monitoring published merits reports. The number of these cases increased compared to 2021, given that 11 new merits reports entered the follow-up stage and, in addition, the follow-up of 3 cases was incorporated into a new follow-up file regarding Press Release P-1193- AC (Peru).</w:t>
      </w:r>
    </w:p>
  </w:footnote>
  <w:footnote w:id="142">
    <w:p w14:paraId="6EB74511" w14:textId="77777777" w:rsidR="00302253" w:rsidRPr="0048555E" w:rsidRDefault="00302253" w:rsidP="00302253">
      <w:pPr>
        <w:pStyle w:val="FootnoteText"/>
        <w:spacing w:after="240"/>
        <w:ind w:firstLine="720"/>
        <w:jc w:val="both"/>
        <w:rPr>
          <w:rFonts w:ascii="Cambria" w:hAnsi="Cambria"/>
          <w:color w:val="000000" w:themeColor="text1"/>
          <w:sz w:val="16"/>
          <w:szCs w:val="16"/>
        </w:rPr>
      </w:pPr>
      <w:r w:rsidRPr="0048555E">
        <w:rPr>
          <w:rStyle w:val="FootnoteReference"/>
          <w:rFonts w:ascii="Cambria" w:hAnsi="Cambria"/>
          <w:color w:val="000000" w:themeColor="text1"/>
          <w:sz w:val="16"/>
          <w:szCs w:val="16"/>
        </w:rPr>
        <w:footnoteRef/>
      </w:r>
      <w:r w:rsidRPr="0048555E">
        <w:rPr>
          <w:rFonts w:ascii="Cambria" w:hAnsi="Cambria"/>
          <w:color w:val="000000" w:themeColor="text1"/>
          <w:sz w:val="16"/>
          <w:szCs w:val="16"/>
        </w:rPr>
        <w:t xml:space="preserve"> It should be noted that the follow-up of the cases included in this Joint Press Release involves 159 merits reports published by the IACHR.</w:t>
      </w:r>
    </w:p>
  </w:footnote>
  <w:footnote w:id="143">
    <w:p w14:paraId="07E1918B" w14:textId="77777777" w:rsidR="00302253" w:rsidRPr="0048555E" w:rsidRDefault="00302253" w:rsidP="00302253">
      <w:pPr>
        <w:pStyle w:val="FootnoteText"/>
        <w:spacing w:after="120"/>
        <w:ind w:firstLine="720"/>
        <w:jc w:val="both"/>
        <w:rPr>
          <w:rFonts w:ascii="Cambria" w:hAnsi="Cambria"/>
          <w:color w:val="000000" w:themeColor="text1"/>
          <w:sz w:val="16"/>
          <w:szCs w:val="16"/>
        </w:rPr>
      </w:pPr>
      <w:r w:rsidRPr="0048555E">
        <w:rPr>
          <w:rStyle w:val="FootnoteReference"/>
          <w:rFonts w:ascii="Cambria" w:hAnsi="Cambria"/>
          <w:color w:val="000000" w:themeColor="text1"/>
          <w:sz w:val="16"/>
          <w:szCs w:val="16"/>
        </w:rPr>
        <w:footnoteRef/>
      </w:r>
      <w:r w:rsidRPr="0048555E">
        <w:rPr>
          <w:rFonts w:ascii="Cambria" w:hAnsi="Cambria"/>
          <w:color w:val="000000" w:themeColor="text1"/>
          <w:sz w:val="16"/>
          <w:szCs w:val="16"/>
        </w:rPr>
        <w:t xml:space="preserve"> During 2021, the IACHR held working meetings within the framework of its 181st and 182nd Periods of Sessions, </w:t>
      </w:r>
      <w:proofErr w:type="gramStart"/>
      <w:r w:rsidRPr="0048555E">
        <w:rPr>
          <w:rFonts w:ascii="Cambria" w:hAnsi="Cambria"/>
          <w:color w:val="000000" w:themeColor="text1"/>
          <w:sz w:val="16"/>
          <w:szCs w:val="16"/>
        </w:rPr>
        <w:t>and also</w:t>
      </w:r>
      <w:proofErr w:type="gramEnd"/>
      <w:r w:rsidRPr="0048555E">
        <w:rPr>
          <w:rFonts w:ascii="Cambria" w:hAnsi="Cambria"/>
          <w:color w:val="000000" w:themeColor="text1"/>
          <w:sz w:val="16"/>
          <w:szCs w:val="16"/>
        </w:rPr>
        <w:t xml:space="preserve"> outside these periods. These meetings were held in relation to the following cases: Case 12,254, Report No. 24/17, Víctor Hugo </w:t>
      </w:r>
      <w:proofErr w:type="spellStart"/>
      <w:r w:rsidRPr="0048555E">
        <w:rPr>
          <w:rFonts w:ascii="Cambria" w:hAnsi="Cambria"/>
          <w:color w:val="000000" w:themeColor="text1"/>
          <w:sz w:val="16"/>
          <w:szCs w:val="16"/>
        </w:rPr>
        <w:t>Saldaño</w:t>
      </w:r>
      <w:proofErr w:type="spellEnd"/>
      <w:r w:rsidRPr="0048555E">
        <w:rPr>
          <w:rFonts w:ascii="Cambria" w:hAnsi="Cambria"/>
          <w:color w:val="000000" w:themeColor="text1"/>
          <w:sz w:val="16"/>
          <w:szCs w:val="16"/>
        </w:rPr>
        <w:t xml:space="preserve"> (United States); Joint Press Release P-1193-CA, 159 merits reports included in paragraphs C and D (Peru); Case 12,469, Report No. 56/10, Margarita </w:t>
      </w:r>
      <w:proofErr w:type="spellStart"/>
      <w:r w:rsidRPr="0048555E">
        <w:rPr>
          <w:rFonts w:ascii="Cambria" w:hAnsi="Cambria"/>
          <w:color w:val="000000" w:themeColor="text1"/>
          <w:sz w:val="16"/>
          <w:szCs w:val="16"/>
        </w:rPr>
        <w:t>Barbería</w:t>
      </w:r>
      <w:proofErr w:type="spellEnd"/>
      <w:r w:rsidRPr="0048555E">
        <w:rPr>
          <w:rFonts w:ascii="Cambria" w:hAnsi="Cambria"/>
          <w:color w:val="000000" w:themeColor="text1"/>
          <w:sz w:val="16"/>
          <w:szCs w:val="16"/>
        </w:rPr>
        <w:t xml:space="preserve"> Miranda (Chile); Case 10.455, Report No. 45/17, Valentín </w:t>
      </w:r>
      <w:proofErr w:type="spellStart"/>
      <w:r w:rsidRPr="0048555E">
        <w:rPr>
          <w:rFonts w:ascii="Cambria" w:hAnsi="Cambria"/>
          <w:color w:val="000000" w:themeColor="text1"/>
          <w:sz w:val="16"/>
          <w:szCs w:val="16"/>
        </w:rPr>
        <w:t>Basto</w:t>
      </w:r>
      <w:proofErr w:type="spellEnd"/>
      <w:r w:rsidRPr="0048555E">
        <w:rPr>
          <w:rFonts w:ascii="Cambria" w:hAnsi="Cambria"/>
          <w:color w:val="000000" w:themeColor="text1"/>
          <w:sz w:val="16"/>
          <w:szCs w:val="16"/>
        </w:rPr>
        <w:t xml:space="preserve"> Calderón (Colombia); Case 12.228, Report No. 117/09, Martín de Campo Dodd (Mexico).</w:t>
      </w:r>
    </w:p>
  </w:footnote>
  <w:footnote w:id="144">
    <w:p w14:paraId="7399386A" w14:textId="77777777" w:rsidR="00302253" w:rsidRPr="0048555E" w:rsidRDefault="00302253" w:rsidP="00302253">
      <w:pPr>
        <w:pStyle w:val="FootnoteText"/>
        <w:spacing w:after="120"/>
        <w:ind w:firstLine="720"/>
        <w:jc w:val="both"/>
        <w:rPr>
          <w:rFonts w:ascii="Cambria" w:hAnsi="Cambria"/>
          <w:color w:val="000000" w:themeColor="text1"/>
          <w:sz w:val="16"/>
          <w:szCs w:val="16"/>
          <w:lang w:val="es-US"/>
        </w:rPr>
      </w:pPr>
      <w:r w:rsidRPr="0048555E">
        <w:rPr>
          <w:rStyle w:val="FootnoteReference"/>
          <w:rFonts w:ascii="Cambria" w:hAnsi="Cambria" w:cs="Cambria"/>
          <w:color w:val="000000" w:themeColor="text1"/>
          <w:sz w:val="16"/>
          <w:szCs w:val="16"/>
        </w:rPr>
        <w:footnoteRef/>
      </w:r>
      <w:r w:rsidRPr="0048555E">
        <w:rPr>
          <w:rFonts w:ascii="Cambria" w:hAnsi="Cambria" w:cs="Cambria"/>
          <w:color w:val="000000" w:themeColor="text1"/>
          <w:sz w:val="16"/>
          <w:szCs w:val="16"/>
          <w:lang w:val="es-US"/>
        </w:rPr>
        <w:t xml:space="preserve"> Case 11.565, </w:t>
      </w:r>
      <w:proofErr w:type="spellStart"/>
      <w:r w:rsidRPr="0048555E">
        <w:rPr>
          <w:rFonts w:ascii="Cambria" w:hAnsi="Cambria" w:cs="Cambria"/>
          <w:color w:val="000000" w:themeColor="text1"/>
          <w:sz w:val="16"/>
          <w:szCs w:val="16"/>
          <w:lang w:val="es-US"/>
        </w:rPr>
        <w:t>Report</w:t>
      </w:r>
      <w:proofErr w:type="spellEnd"/>
      <w:r w:rsidRPr="0048555E">
        <w:rPr>
          <w:rFonts w:ascii="Cambria" w:hAnsi="Cambria" w:cs="Cambria"/>
          <w:color w:val="000000" w:themeColor="text1"/>
          <w:sz w:val="16"/>
          <w:szCs w:val="16"/>
          <w:lang w:val="es-US"/>
        </w:rPr>
        <w:t xml:space="preserve"> No. 53/01, González Pérez </w:t>
      </w:r>
      <w:proofErr w:type="spellStart"/>
      <w:r w:rsidRPr="0048555E">
        <w:rPr>
          <w:rFonts w:ascii="Cambria" w:hAnsi="Cambria" w:cs="Cambria"/>
          <w:color w:val="000000" w:themeColor="text1"/>
          <w:sz w:val="16"/>
          <w:szCs w:val="16"/>
          <w:lang w:val="es-US"/>
        </w:rPr>
        <w:t>Sisters</w:t>
      </w:r>
      <w:proofErr w:type="spellEnd"/>
      <w:r w:rsidRPr="0048555E">
        <w:rPr>
          <w:rFonts w:ascii="Cambria" w:hAnsi="Cambria" w:cs="Cambria"/>
          <w:color w:val="000000" w:themeColor="text1"/>
          <w:sz w:val="16"/>
          <w:szCs w:val="16"/>
          <w:lang w:val="es-US"/>
        </w:rPr>
        <w:t xml:space="preserve"> (</w:t>
      </w:r>
      <w:proofErr w:type="spellStart"/>
      <w:r w:rsidRPr="0048555E">
        <w:rPr>
          <w:rFonts w:ascii="Cambria" w:hAnsi="Cambria" w:cs="Cambria"/>
          <w:color w:val="000000" w:themeColor="text1"/>
          <w:sz w:val="16"/>
          <w:szCs w:val="16"/>
          <w:lang w:val="es-US"/>
        </w:rPr>
        <w:t>Mexico</w:t>
      </w:r>
      <w:proofErr w:type="spellEnd"/>
      <w:r w:rsidRPr="0048555E">
        <w:rPr>
          <w:rFonts w:ascii="Cambria" w:hAnsi="Cambria" w:cs="Cambria"/>
          <w:color w:val="000000" w:themeColor="text1"/>
          <w:sz w:val="16"/>
          <w:szCs w:val="16"/>
          <w:lang w:val="es-US"/>
        </w:rPr>
        <w:t>).</w:t>
      </w:r>
    </w:p>
  </w:footnote>
  <w:footnote w:id="145">
    <w:p w14:paraId="5816402E" w14:textId="77777777" w:rsidR="00302253" w:rsidRPr="0048555E" w:rsidRDefault="00302253" w:rsidP="00302253">
      <w:pPr>
        <w:autoSpaceDE w:val="0"/>
        <w:autoSpaceDN w:val="0"/>
        <w:adjustRightInd w:val="0"/>
        <w:spacing w:after="240"/>
        <w:ind w:firstLine="720"/>
        <w:jc w:val="both"/>
        <w:rPr>
          <w:rFonts w:ascii="Cambria" w:hAnsi="Cambria" w:cs="Calibri"/>
          <w:color w:val="000000" w:themeColor="text1"/>
          <w:sz w:val="16"/>
          <w:szCs w:val="16"/>
        </w:rPr>
      </w:pPr>
      <w:r w:rsidRPr="0048555E">
        <w:rPr>
          <w:rStyle w:val="FootnoteReference"/>
          <w:rFonts w:ascii="Cambria" w:hAnsi="Cambria"/>
          <w:color w:val="000000" w:themeColor="text1"/>
          <w:sz w:val="16"/>
          <w:szCs w:val="16"/>
        </w:rPr>
        <w:footnoteRef/>
      </w:r>
      <w:r w:rsidRPr="0048555E">
        <w:rPr>
          <w:rFonts w:ascii="Cambria" w:hAnsi="Cambria"/>
          <w:color w:val="000000" w:themeColor="text1"/>
          <w:sz w:val="16"/>
          <w:szCs w:val="16"/>
        </w:rPr>
        <w:t xml:space="preserve"> It should be noted that the table included above regarding the follow-up files of published background reports comprises a total of 124 cases. This table indicates that there are a total of 123 cases, and not 124, because it excludes those from Joint Press Release P-1193-CA (Peru). In this regard, it should be reiterated that this communication was not considered in this table since the IACHR has not yet determined levels of compliance with the reports contained in said communication.</w:t>
      </w:r>
    </w:p>
  </w:footnote>
  <w:footnote w:id="146">
    <w:p w14:paraId="367F35CB" w14:textId="39B94DFC" w:rsidR="00302253" w:rsidRPr="0048555E" w:rsidRDefault="00302253" w:rsidP="00302253">
      <w:pPr>
        <w:ind w:firstLine="720"/>
        <w:jc w:val="both"/>
        <w:rPr>
          <w:rFonts w:ascii="Cambria" w:hAnsi="Cambria"/>
          <w:color w:val="000000" w:themeColor="text1"/>
          <w:sz w:val="16"/>
          <w:szCs w:val="16"/>
        </w:rPr>
      </w:pPr>
      <w:r w:rsidRPr="0048555E">
        <w:rPr>
          <w:rStyle w:val="FootnoteReference"/>
          <w:rFonts w:ascii="Cambria" w:hAnsi="Cambria"/>
          <w:color w:val="000000" w:themeColor="text1"/>
          <w:sz w:val="16"/>
          <w:szCs w:val="16"/>
        </w:rPr>
        <w:footnoteRef/>
      </w:r>
      <w:r w:rsidRPr="0048555E">
        <w:rPr>
          <w:rFonts w:ascii="Cambria" w:hAnsi="Cambria"/>
          <w:color w:val="000000" w:themeColor="text1"/>
          <w:sz w:val="16"/>
          <w:szCs w:val="16"/>
        </w:rPr>
        <w:t xml:space="preserve"> </w:t>
      </w:r>
      <w:r w:rsidRPr="0048555E">
        <w:rPr>
          <w:rFonts w:ascii="Cambria" w:eastAsia="MS Mincho" w:hAnsi="Cambria" w:cs="Calibri"/>
          <w:color w:val="000000" w:themeColor="text1"/>
          <w:sz w:val="16"/>
          <w:szCs w:val="16"/>
        </w:rPr>
        <w:t xml:space="preserve">Case 12.324, Report No. 66/12, Rubén Luis Godoy (Argentina), recommendation 3; Cases 12.067, 12.068 and 12.086, Report Nº 48/01, Michael Edwards, Omar Hall, Brian </w:t>
      </w:r>
      <w:proofErr w:type="spellStart"/>
      <w:r w:rsidRPr="0048555E">
        <w:rPr>
          <w:rFonts w:ascii="Cambria" w:eastAsia="MS Mincho" w:hAnsi="Cambria" w:cs="Calibri"/>
          <w:color w:val="000000" w:themeColor="text1"/>
          <w:sz w:val="16"/>
          <w:szCs w:val="16"/>
        </w:rPr>
        <w:t>Schroeter</w:t>
      </w:r>
      <w:proofErr w:type="spellEnd"/>
      <w:r w:rsidRPr="0048555E">
        <w:rPr>
          <w:rFonts w:ascii="Cambria" w:eastAsia="MS Mincho" w:hAnsi="Cambria" w:cs="Calibri"/>
          <w:color w:val="000000" w:themeColor="text1"/>
          <w:sz w:val="16"/>
          <w:szCs w:val="16"/>
        </w:rPr>
        <w:t xml:space="preserve"> and Jeronimo Bowleg (Bahamas), recommendation 2; Case 12.265, Report Nº 78/07 Chad Roger Goodman (Bahamas), recommendation 2; Case 12.231, Report No. 12/14, Peter Cash (Bahamas), recommendation 5; Case 12,799, Report No. 48/16, Miguel </w:t>
      </w:r>
      <w:proofErr w:type="spellStart"/>
      <w:r w:rsidRPr="0048555E">
        <w:rPr>
          <w:rFonts w:ascii="Cambria" w:eastAsia="MS Mincho" w:hAnsi="Cambria" w:cs="Calibri"/>
          <w:color w:val="000000" w:themeColor="text1"/>
          <w:sz w:val="16"/>
          <w:szCs w:val="16"/>
        </w:rPr>
        <w:t>Ángel</w:t>
      </w:r>
      <w:proofErr w:type="spellEnd"/>
      <w:r w:rsidRPr="0048555E">
        <w:rPr>
          <w:rFonts w:ascii="Cambria" w:eastAsia="MS Mincho" w:hAnsi="Cambria" w:cs="Calibri"/>
          <w:color w:val="000000" w:themeColor="text1"/>
          <w:sz w:val="16"/>
          <w:szCs w:val="16"/>
        </w:rPr>
        <w:t xml:space="preserve"> Millar Silva et al. (Radio Estrella del Mar de </w:t>
      </w:r>
      <w:proofErr w:type="spellStart"/>
      <w:r w:rsidRPr="0048555E">
        <w:rPr>
          <w:rFonts w:ascii="Cambria" w:eastAsia="MS Mincho" w:hAnsi="Cambria" w:cs="Calibri"/>
          <w:color w:val="000000" w:themeColor="text1"/>
          <w:sz w:val="16"/>
          <w:szCs w:val="16"/>
        </w:rPr>
        <w:t>Melinka</w:t>
      </w:r>
      <w:proofErr w:type="spellEnd"/>
      <w:r w:rsidRPr="0048555E">
        <w:rPr>
          <w:rFonts w:ascii="Cambria" w:eastAsia="MS Mincho" w:hAnsi="Cambria" w:cs="Calibri"/>
          <w:color w:val="000000" w:themeColor="text1"/>
          <w:sz w:val="16"/>
          <w:szCs w:val="16"/>
        </w:rPr>
        <w:t xml:space="preserve">) (Chile), recommendations 1 and 2, and clause 1 of the compliance agreement; Case 11.656, Report No. 122/18, Marta Lucía Álvarez </w:t>
      </w:r>
      <w:proofErr w:type="spellStart"/>
      <w:r w:rsidRPr="0048555E">
        <w:rPr>
          <w:rFonts w:ascii="Cambria" w:eastAsia="MS Mincho" w:hAnsi="Cambria" w:cs="Calibri"/>
          <w:color w:val="000000" w:themeColor="text1"/>
          <w:sz w:val="16"/>
          <w:szCs w:val="16"/>
        </w:rPr>
        <w:t>Giraldo</w:t>
      </w:r>
      <w:proofErr w:type="spellEnd"/>
      <w:r w:rsidRPr="0048555E">
        <w:rPr>
          <w:rFonts w:ascii="Cambria" w:eastAsia="MS Mincho" w:hAnsi="Cambria" w:cs="Calibri"/>
          <w:color w:val="000000" w:themeColor="text1"/>
          <w:sz w:val="16"/>
          <w:szCs w:val="16"/>
        </w:rPr>
        <w:t xml:space="preserve"> (Colombia), recommendation 3; Case 11,565, Report No. 53/01, González Pérez Sisters (Mexico), recommendation 2.</w:t>
      </w:r>
    </w:p>
  </w:footnote>
  <w:footnote w:id="147">
    <w:p w14:paraId="21B6E139" w14:textId="14F18574" w:rsidR="00302253" w:rsidRPr="0048555E" w:rsidRDefault="00302253" w:rsidP="00302253">
      <w:pPr>
        <w:ind w:firstLine="720"/>
        <w:jc w:val="both"/>
        <w:rPr>
          <w:rFonts w:ascii="Cambria" w:hAnsi="Cambria" w:cs="Calibri"/>
          <w:color w:val="000000" w:themeColor="text1"/>
          <w:sz w:val="16"/>
          <w:szCs w:val="16"/>
          <w:highlight w:val="cyan"/>
        </w:rPr>
      </w:pPr>
      <w:r w:rsidRPr="0048555E">
        <w:rPr>
          <w:rStyle w:val="FootnoteReference"/>
          <w:rFonts w:ascii="Cambria" w:hAnsi="Cambria"/>
          <w:color w:val="000000" w:themeColor="text1"/>
          <w:sz w:val="16"/>
          <w:szCs w:val="16"/>
        </w:rPr>
        <w:footnoteRef/>
      </w:r>
      <w:r w:rsidRPr="0048555E">
        <w:rPr>
          <w:rFonts w:ascii="Cambria" w:hAnsi="Cambria"/>
          <w:color w:val="000000" w:themeColor="text1"/>
          <w:sz w:val="16"/>
          <w:szCs w:val="16"/>
        </w:rPr>
        <w:t xml:space="preserve"> </w:t>
      </w:r>
      <w:r w:rsidRPr="0048555E">
        <w:rPr>
          <w:rFonts w:ascii="Cambria" w:hAnsi="Cambria" w:cs="Calibri"/>
          <w:bCs/>
          <w:color w:val="000000" w:themeColor="text1"/>
          <w:sz w:val="16"/>
          <w:szCs w:val="16"/>
        </w:rPr>
        <w:t xml:space="preserve">Cases 12.067, 12.068 and 12.086, Report Nº 48/01, Michael Edwards, Omar Hall, Brian </w:t>
      </w:r>
      <w:proofErr w:type="spellStart"/>
      <w:r w:rsidRPr="0048555E">
        <w:rPr>
          <w:rFonts w:ascii="Cambria" w:hAnsi="Cambria" w:cs="Calibri"/>
          <w:bCs/>
          <w:color w:val="000000" w:themeColor="text1"/>
          <w:sz w:val="16"/>
          <w:szCs w:val="16"/>
        </w:rPr>
        <w:t>Schroeter</w:t>
      </w:r>
      <w:proofErr w:type="spellEnd"/>
      <w:r w:rsidRPr="0048555E">
        <w:rPr>
          <w:rFonts w:ascii="Cambria" w:hAnsi="Cambria" w:cs="Calibri"/>
          <w:bCs/>
          <w:color w:val="000000" w:themeColor="text1"/>
          <w:sz w:val="16"/>
          <w:szCs w:val="16"/>
        </w:rPr>
        <w:t xml:space="preserve"> and Jeronimo Bowleg (Bahamas), recommendations 5 and 6; Case 12.265, Report No. 78/07 Chad Roger Goodman (Bahamas), recommendations 3 and 4; Case 12,513, Report No. 79/07 Prince Pinder (Bahamas), recommendation 2; Case 12.231, Report No. 12/14, Peter Cash (Bahamas), recommendations 4 and 9; Case 12.332, Report No. 31/20, Margarida Maria Alves and relatives, recommendation 4; Case 11,771, Report No. 61/01, Samuel Alfonso </w:t>
      </w:r>
      <w:proofErr w:type="spellStart"/>
      <w:r w:rsidRPr="0048555E">
        <w:rPr>
          <w:rFonts w:ascii="Cambria" w:hAnsi="Cambria" w:cs="Calibri"/>
          <w:bCs/>
          <w:color w:val="000000" w:themeColor="text1"/>
          <w:sz w:val="16"/>
          <w:szCs w:val="16"/>
        </w:rPr>
        <w:t>Catalán</w:t>
      </w:r>
      <w:proofErr w:type="spellEnd"/>
      <w:r w:rsidRPr="0048555E">
        <w:rPr>
          <w:rFonts w:ascii="Cambria" w:hAnsi="Cambria" w:cs="Calibri"/>
          <w:bCs/>
          <w:color w:val="000000" w:themeColor="text1"/>
          <w:sz w:val="16"/>
          <w:szCs w:val="16"/>
        </w:rPr>
        <w:t xml:space="preserve"> </w:t>
      </w:r>
      <w:proofErr w:type="spellStart"/>
      <w:r w:rsidRPr="0048555E">
        <w:rPr>
          <w:rFonts w:ascii="Cambria" w:hAnsi="Cambria" w:cs="Calibri"/>
          <w:bCs/>
          <w:color w:val="000000" w:themeColor="text1"/>
          <w:sz w:val="16"/>
          <w:szCs w:val="16"/>
        </w:rPr>
        <w:t>Lincoleo</w:t>
      </w:r>
      <w:proofErr w:type="spellEnd"/>
      <w:r w:rsidRPr="0048555E">
        <w:rPr>
          <w:rFonts w:ascii="Cambria" w:hAnsi="Cambria" w:cs="Calibri"/>
          <w:bCs/>
          <w:color w:val="000000" w:themeColor="text1"/>
          <w:sz w:val="16"/>
          <w:szCs w:val="16"/>
        </w:rPr>
        <w:t xml:space="preserve"> (Chile), recommendations 1 and 2; Case 11.725, Report Nº 139/99, Carmelo Soria Espinoza (Chile), recommendation 3; Case 10,780, Report No. 25/20, Carlos Arturo Betancourt Estrada et al. (Colombia), recommendation 2; Case 12.562, Report Nº 81/10, Wayne Smith, Hugo Armendariz and others (United States), recommendation 4; Case 12.864, Report No. 53/13, Iván </w:t>
      </w:r>
      <w:proofErr w:type="spellStart"/>
      <w:r w:rsidRPr="0048555E">
        <w:rPr>
          <w:rFonts w:ascii="Cambria" w:hAnsi="Cambria" w:cs="Calibri"/>
          <w:bCs/>
          <w:color w:val="000000" w:themeColor="text1"/>
          <w:sz w:val="16"/>
          <w:szCs w:val="16"/>
        </w:rPr>
        <w:t>Teleguz</w:t>
      </w:r>
      <w:proofErr w:type="spellEnd"/>
      <w:r w:rsidRPr="0048555E">
        <w:rPr>
          <w:rFonts w:ascii="Cambria" w:hAnsi="Cambria" w:cs="Calibri"/>
          <w:bCs/>
          <w:color w:val="000000" w:themeColor="text1"/>
          <w:sz w:val="16"/>
          <w:szCs w:val="16"/>
        </w:rPr>
        <w:t xml:space="preserve"> (United States), recommendation 2; Case 13,356, Merits Report No. 200/20, Nelson Iván Serrano </w:t>
      </w:r>
      <w:proofErr w:type="spellStart"/>
      <w:r w:rsidRPr="0048555E">
        <w:rPr>
          <w:rFonts w:ascii="Cambria" w:hAnsi="Cambria" w:cs="Calibri"/>
          <w:bCs/>
          <w:color w:val="000000" w:themeColor="text1"/>
          <w:sz w:val="16"/>
          <w:szCs w:val="16"/>
        </w:rPr>
        <w:t>Sáenz</w:t>
      </w:r>
      <w:proofErr w:type="spellEnd"/>
      <w:r w:rsidRPr="0048555E">
        <w:rPr>
          <w:rFonts w:ascii="Cambria" w:hAnsi="Cambria" w:cs="Calibri"/>
          <w:bCs/>
          <w:color w:val="000000" w:themeColor="text1"/>
          <w:sz w:val="16"/>
          <w:szCs w:val="16"/>
        </w:rPr>
        <w:t xml:space="preserve"> (United States), recommendation 4; Case 11,625, Report No. 4/01, María Eugenia Morales de Sierra (Guatemala), clauses d and n of the compliance agreement; Case 11.382, Report No. 57/02, Finca “La Exacta” (Guatemala), recommendation 1.</w:t>
      </w:r>
    </w:p>
  </w:footnote>
  <w:footnote w:id="148">
    <w:p w14:paraId="7FEB0BAA" w14:textId="77777777" w:rsidR="00302253" w:rsidRPr="0048555E" w:rsidRDefault="00302253" w:rsidP="00302253">
      <w:pPr>
        <w:pStyle w:val="FootnoteText"/>
        <w:ind w:firstLine="720"/>
        <w:jc w:val="both"/>
        <w:rPr>
          <w:rFonts w:ascii="Cambria" w:hAnsi="Cambria"/>
          <w:color w:val="000000" w:themeColor="text1"/>
          <w:sz w:val="16"/>
          <w:szCs w:val="16"/>
        </w:rPr>
      </w:pPr>
      <w:r w:rsidRPr="0048555E">
        <w:rPr>
          <w:rStyle w:val="FootnoteReference"/>
          <w:rFonts w:ascii="Cambria" w:hAnsi="Cambria"/>
          <w:color w:val="000000" w:themeColor="text1"/>
          <w:sz w:val="16"/>
          <w:szCs w:val="16"/>
        </w:rPr>
        <w:footnoteRef/>
      </w:r>
      <w:r w:rsidRPr="0048555E">
        <w:rPr>
          <w:rFonts w:ascii="Cambria" w:hAnsi="Cambria"/>
          <w:color w:val="000000" w:themeColor="text1"/>
          <w:sz w:val="16"/>
          <w:szCs w:val="16"/>
        </w:rPr>
        <w:t xml:space="preserve"> It should be noted that the chart listing the follow-up files included earlier in this chapter comprises 124 cases. However, the count relative to the levels of compliance with the recommendations made in this section excludes the cases of the Joint Press Release P-1193-CA (Peru) given that the record prepared by the IACHR in 2021 is a tool aimed to facilitate the systematization of follow-up information and the levels of compliance have not yet been determined. This exclusion explains why a total of 123 cases are named here.</w:t>
      </w:r>
    </w:p>
  </w:footnote>
  <w:footnote w:id="149">
    <w:p w14:paraId="705ABA1F" w14:textId="77777777" w:rsidR="00842401" w:rsidRPr="0048555E" w:rsidRDefault="00842401" w:rsidP="00842401">
      <w:pPr>
        <w:pStyle w:val="FootnoteText"/>
        <w:spacing w:after="120"/>
        <w:ind w:firstLine="720"/>
        <w:jc w:val="both"/>
        <w:rPr>
          <w:rFonts w:ascii="Cambria" w:hAnsi="Cambria"/>
          <w:sz w:val="16"/>
          <w:szCs w:val="16"/>
        </w:rPr>
      </w:pPr>
      <w:r w:rsidRPr="0048555E">
        <w:rPr>
          <w:rStyle w:val="None"/>
          <w:rFonts w:ascii="Cambria" w:eastAsia="Cambria" w:hAnsi="Cambria" w:cs="Cambria"/>
          <w:sz w:val="16"/>
          <w:szCs w:val="16"/>
          <w:u w:val="single"/>
          <w:vertAlign w:val="superscript"/>
          <w:lang w:val="es-ES_tradnl"/>
        </w:rPr>
        <w:footnoteRef/>
      </w:r>
      <w:r w:rsidRPr="0048555E">
        <w:rPr>
          <w:rStyle w:val="None"/>
          <w:rFonts w:ascii="Cambria" w:hAnsi="Cambria"/>
          <w:sz w:val="16"/>
          <w:szCs w:val="16"/>
        </w:rPr>
        <w:t xml:space="preserve"> The </w:t>
      </w:r>
      <w:r w:rsidRPr="0048555E">
        <w:rPr>
          <w:rStyle w:val="None"/>
          <w:rFonts w:ascii="Cambria" w:hAnsi="Cambria"/>
          <w:sz w:val="16"/>
          <w:szCs w:val="16"/>
          <w:u w:val="single"/>
        </w:rPr>
        <w:t xml:space="preserve">initial </w:t>
      </w:r>
      <w:r w:rsidRPr="0048555E">
        <w:rPr>
          <w:rStyle w:val="None"/>
          <w:rFonts w:ascii="Cambria" w:hAnsi="Cambria"/>
          <w:sz w:val="16"/>
          <w:szCs w:val="16"/>
        </w:rPr>
        <w:t xml:space="preserve">review determines what the matter is about and evaluates its degree of urgency, enabling the Commission to prioritize situations of higher risk. This is distinct from the </w:t>
      </w:r>
      <w:r w:rsidRPr="0048555E">
        <w:rPr>
          <w:rStyle w:val="None"/>
          <w:rFonts w:ascii="Cambria" w:hAnsi="Cambria"/>
          <w:sz w:val="16"/>
          <w:szCs w:val="16"/>
          <w:u w:val="single"/>
        </w:rPr>
        <w:t>legal review</w:t>
      </w:r>
      <w:r w:rsidRPr="0048555E">
        <w:rPr>
          <w:rStyle w:val="None"/>
          <w:rFonts w:ascii="Cambria" w:hAnsi="Cambria"/>
          <w:sz w:val="16"/>
          <w:szCs w:val="16"/>
        </w:rPr>
        <w:t xml:space="preserve"> of the matter, which is the technical analysis of whether a request meets the regulatory requirements for granting a precautionary measure.</w:t>
      </w:r>
    </w:p>
  </w:footnote>
  <w:footnote w:id="150">
    <w:p w14:paraId="63A331C5" w14:textId="77777777" w:rsidR="00842401" w:rsidRPr="0048555E" w:rsidRDefault="00842401" w:rsidP="00842401">
      <w:pPr>
        <w:pStyle w:val="FootnoteText"/>
        <w:spacing w:after="120"/>
        <w:ind w:firstLine="720"/>
        <w:jc w:val="both"/>
        <w:rPr>
          <w:rFonts w:ascii="Cambria" w:hAnsi="Cambria"/>
          <w:sz w:val="16"/>
          <w:szCs w:val="16"/>
        </w:rPr>
      </w:pPr>
      <w:r w:rsidRPr="0048555E">
        <w:rPr>
          <w:rStyle w:val="None"/>
          <w:rFonts w:ascii="Cambria" w:eastAsia="Cambria" w:hAnsi="Cambria" w:cs="Cambria"/>
          <w:sz w:val="16"/>
          <w:szCs w:val="16"/>
          <w:vertAlign w:val="superscript"/>
          <w:lang w:val="es-ES_tradnl"/>
        </w:rPr>
        <w:footnoteRef/>
      </w:r>
      <w:r w:rsidRPr="0048555E">
        <w:rPr>
          <w:rStyle w:val="None"/>
          <w:rFonts w:ascii="Cambria" w:hAnsi="Cambria"/>
          <w:sz w:val="16"/>
          <w:szCs w:val="16"/>
        </w:rPr>
        <w:t xml:space="preserve"> The Commission reminded the parties that a new request for precautionary measures can be filed. </w:t>
      </w:r>
    </w:p>
  </w:footnote>
  <w:footnote w:id="151">
    <w:p w14:paraId="06B92BCF" w14:textId="77777777" w:rsidR="00842401" w:rsidRPr="0048555E" w:rsidRDefault="00842401" w:rsidP="00842401">
      <w:pPr>
        <w:pStyle w:val="FootnoteText"/>
        <w:spacing w:after="120"/>
        <w:ind w:firstLine="720"/>
        <w:jc w:val="both"/>
        <w:rPr>
          <w:rFonts w:ascii="Cambria" w:hAnsi="Cambria"/>
          <w:sz w:val="16"/>
          <w:szCs w:val="16"/>
        </w:rPr>
      </w:pPr>
      <w:r w:rsidRPr="0048555E">
        <w:rPr>
          <w:rStyle w:val="None"/>
          <w:rFonts w:ascii="Cambria" w:eastAsia="Cambria" w:hAnsi="Cambria" w:cs="Cambria"/>
          <w:sz w:val="16"/>
          <w:szCs w:val="16"/>
          <w:vertAlign w:val="superscript"/>
          <w:lang w:val="es-ES_tradnl"/>
        </w:rPr>
        <w:footnoteRef/>
      </w:r>
      <w:r w:rsidRPr="0048555E">
        <w:rPr>
          <w:rStyle w:val="None"/>
          <w:rFonts w:ascii="Cambria" w:hAnsi="Cambria"/>
          <w:sz w:val="16"/>
          <w:szCs w:val="16"/>
        </w:rPr>
        <w:t xml:space="preserve"> The deadline includes the time of the initial review of the requests, the transfer of information between the parties, the preparation of a draft Resolution, and consultation with the IACHR Commissioners. When extremely urgent situations are involved, some requests are processed and decided on in a matter of days, even in 24 hours.</w:t>
      </w:r>
    </w:p>
  </w:footnote>
  <w:footnote w:id="152">
    <w:p w14:paraId="08D2647E" w14:textId="77777777" w:rsidR="00842401" w:rsidRPr="0048555E" w:rsidRDefault="00842401" w:rsidP="00842401">
      <w:pPr>
        <w:pStyle w:val="FootnoteText"/>
        <w:spacing w:after="120"/>
        <w:ind w:firstLine="720"/>
        <w:rPr>
          <w:rFonts w:ascii="Cambria" w:hAnsi="Cambria"/>
          <w:sz w:val="16"/>
          <w:szCs w:val="16"/>
        </w:rPr>
      </w:pPr>
      <w:r w:rsidRPr="0048555E">
        <w:rPr>
          <w:rStyle w:val="FootnoteReference"/>
          <w:rFonts w:ascii="Cambria" w:hAnsi="Cambria"/>
          <w:sz w:val="16"/>
          <w:szCs w:val="16"/>
        </w:rPr>
        <w:footnoteRef/>
      </w:r>
      <w:r w:rsidRPr="0048555E">
        <w:rPr>
          <w:rStyle w:val="FootnoteReference"/>
          <w:rFonts w:ascii="Cambria" w:hAnsi="Cambria"/>
          <w:sz w:val="16"/>
          <w:szCs w:val="16"/>
        </w:rPr>
        <w:t xml:space="preserve"> </w:t>
      </w:r>
      <w:r w:rsidRPr="0048555E">
        <w:rPr>
          <w:rStyle w:val="None"/>
          <w:rFonts w:ascii="Cambria" w:hAnsi="Cambria"/>
          <w:sz w:val="16"/>
          <w:szCs w:val="16"/>
        </w:rPr>
        <w:t xml:space="preserve">IACHR, Press Release 201/20 </w:t>
      </w:r>
      <w:hyperlink r:id="rId37" w:history="1">
        <w:r w:rsidRPr="0048555E">
          <w:rPr>
            <w:rStyle w:val="Hyperlink"/>
            <w:rFonts w:ascii="Cambria" w:hAnsi="Cambria"/>
            <w:sz w:val="16"/>
            <w:szCs w:val="16"/>
          </w:rPr>
          <w:t>- IACHR Reports Implementation of Resolution 2/2020 on Strengthening of the Monitoring of Precautionary Measures in Force</w:t>
        </w:r>
      </w:hyperlink>
      <w:r w:rsidRPr="0048555E">
        <w:rPr>
          <w:rStyle w:val="None"/>
          <w:rFonts w:ascii="Cambria" w:hAnsi="Cambria"/>
          <w:sz w:val="16"/>
          <w:szCs w:val="16"/>
        </w:rPr>
        <w:t>, of August 17, 2020.</w:t>
      </w:r>
    </w:p>
  </w:footnote>
  <w:footnote w:id="153">
    <w:p w14:paraId="6A58ACA6" w14:textId="42DC085B" w:rsidR="00842401" w:rsidRPr="0048555E" w:rsidRDefault="00842401" w:rsidP="00000BF8">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IACHR. </w:t>
      </w:r>
      <w:hyperlink r:id="rId38" w:history="1">
        <w:r w:rsidRPr="0048555E">
          <w:rPr>
            <w:rStyle w:val="Hyperlink"/>
            <w:rFonts w:ascii="Cambria" w:hAnsi="Cambria"/>
            <w:sz w:val="16"/>
            <w:szCs w:val="16"/>
          </w:rPr>
          <w:t>Public hearing in the 180th POS.</w:t>
        </w:r>
      </w:hyperlink>
      <w:r w:rsidRPr="0048555E">
        <w:rPr>
          <w:rFonts w:ascii="Cambria" w:hAnsi="Cambria"/>
          <w:sz w:val="16"/>
          <w:szCs w:val="16"/>
        </w:rPr>
        <w:t xml:space="preserve">  </w:t>
      </w:r>
      <w:r w:rsidRPr="00524435">
        <w:rPr>
          <w:rFonts w:ascii="Cambria" w:hAnsi="Cambria"/>
          <w:sz w:val="16"/>
          <w:szCs w:val="16"/>
          <w:lang w:val="es-US"/>
        </w:rPr>
        <w:t xml:space="preserve">MC-563-20 Pueblo Yanomami y </w:t>
      </w:r>
      <w:proofErr w:type="spellStart"/>
      <w:r w:rsidRPr="00524435">
        <w:rPr>
          <w:rFonts w:ascii="Cambria" w:hAnsi="Cambria"/>
          <w:sz w:val="16"/>
          <w:szCs w:val="16"/>
          <w:lang w:val="es-US"/>
        </w:rPr>
        <w:t>Ye'kwana</w:t>
      </w:r>
      <w:proofErr w:type="spellEnd"/>
      <w:r w:rsidRPr="00524435">
        <w:rPr>
          <w:rFonts w:ascii="Cambria" w:hAnsi="Cambria"/>
          <w:sz w:val="16"/>
          <w:szCs w:val="16"/>
          <w:lang w:val="es-US"/>
        </w:rPr>
        <w:t xml:space="preserve">; MC-679-20 Pueblo </w:t>
      </w:r>
      <w:proofErr w:type="spellStart"/>
      <w:r w:rsidRPr="00524435">
        <w:rPr>
          <w:rFonts w:ascii="Cambria" w:hAnsi="Cambria"/>
          <w:sz w:val="16"/>
          <w:szCs w:val="16"/>
          <w:lang w:val="es-US"/>
        </w:rPr>
        <w:t>Munduruku</w:t>
      </w:r>
      <w:proofErr w:type="spellEnd"/>
      <w:r w:rsidRPr="00524435">
        <w:rPr>
          <w:rFonts w:ascii="Cambria" w:hAnsi="Cambria"/>
          <w:sz w:val="16"/>
          <w:szCs w:val="16"/>
          <w:lang w:val="es-US"/>
        </w:rPr>
        <w:t xml:space="preserve">; MC-754-20 Pueblo </w:t>
      </w:r>
      <w:proofErr w:type="spellStart"/>
      <w:r w:rsidRPr="00524435">
        <w:rPr>
          <w:rFonts w:ascii="Cambria" w:hAnsi="Cambria"/>
          <w:sz w:val="16"/>
          <w:szCs w:val="16"/>
          <w:lang w:val="es-US"/>
        </w:rPr>
        <w:t>Guajajara</w:t>
      </w:r>
      <w:proofErr w:type="spellEnd"/>
      <w:r w:rsidRPr="00524435">
        <w:rPr>
          <w:rFonts w:ascii="Cambria" w:hAnsi="Cambria"/>
          <w:sz w:val="16"/>
          <w:szCs w:val="16"/>
          <w:lang w:val="es-US"/>
        </w:rPr>
        <w:t xml:space="preserve"> y </w:t>
      </w:r>
      <w:r w:rsidRPr="00524435">
        <w:rPr>
          <w:rFonts w:ascii="Cambria" w:hAnsi="Cambria"/>
          <w:color w:val="000000" w:themeColor="text1"/>
          <w:sz w:val="16"/>
          <w:szCs w:val="16"/>
          <w:lang w:val="es-US"/>
        </w:rPr>
        <w:t xml:space="preserve">Awá. </w:t>
      </w:r>
      <w:proofErr w:type="spellStart"/>
      <w:r w:rsidRPr="00524435">
        <w:rPr>
          <w:rFonts w:ascii="Cambria" w:hAnsi="Cambria"/>
          <w:color w:val="000000" w:themeColor="text1"/>
          <w:sz w:val="16"/>
          <w:szCs w:val="16"/>
          <w:lang w:val="es-US"/>
        </w:rPr>
        <w:t>July</w:t>
      </w:r>
      <w:proofErr w:type="spellEnd"/>
      <w:r w:rsidRPr="00524435">
        <w:rPr>
          <w:rFonts w:ascii="Cambria" w:hAnsi="Cambria"/>
          <w:color w:val="000000" w:themeColor="text1"/>
          <w:sz w:val="16"/>
          <w:szCs w:val="16"/>
          <w:lang w:val="es-US"/>
        </w:rPr>
        <w:t xml:space="preserve"> 1, 2021; IACHR </w:t>
      </w:r>
      <w:hyperlink r:id="rId39" w:history="1">
        <w:proofErr w:type="spellStart"/>
        <w:r w:rsidRPr="00524435">
          <w:rPr>
            <w:rStyle w:val="Hyperlink"/>
            <w:rFonts w:ascii="Cambria" w:hAnsi="Cambria"/>
            <w:sz w:val="16"/>
            <w:szCs w:val="16"/>
            <w:lang w:val="es-US"/>
          </w:rPr>
          <w:t>Public</w:t>
        </w:r>
        <w:proofErr w:type="spellEnd"/>
        <w:r w:rsidRPr="00524435">
          <w:rPr>
            <w:rStyle w:val="Hyperlink"/>
            <w:rFonts w:ascii="Cambria" w:hAnsi="Cambria"/>
            <w:sz w:val="16"/>
            <w:szCs w:val="16"/>
            <w:lang w:val="es-US"/>
          </w:rPr>
          <w:t xml:space="preserve"> </w:t>
        </w:r>
        <w:proofErr w:type="spellStart"/>
        <w:r w:rsidRPr="00524435">
          <w:rPr>
            <w:rStyle w:val="Hyperlink"/>
            <w:rFonts w:ascii="Cambria" w:hAnsi="Cambria"/>
            <w:sz w:val="16"/>
            <w:szCs w:val="16"/>
            <w:lang w:val="es-US"/>
          </w:rPr>
          <w:t>hearing</w:t>
        </w:r>
        <w:proofErr w:type="spellEnd"/>
        <w:r w:rsidRPr="00524435">
          <w:rPr>
            <w:rStyle w:val="Hyperlink"/>
            <w:rFonts w:ascii="Cambria" w:hAnsi="Cambria"/>
            <w:sz w:val="16"/>
            <w:szCs w:val="16"/>
            <w:lang w:val="es-US"/>
          </w:rPr>
          <w:t xml:space="preserve"> in </w:t>
        </w:r>
        <w:proofErr w:type="spellStart"/>
        <w:r w:rsidRPr="00524435">
          <w:rPr>
            <w:rStyle w:val="Hyperlink"/>
            <w:rFonts w:ascii="Cambria" w:hAnsi="Cambria"/>
            <w:sz w:val="16"/>
            <w:szCs w:val="16"/>
            <w:lang w:val="es-US"/>
          </w:rPr>
          <w:t>the</w:t>
        </w:r>
        <w:proofErr w:type="spellEnd"/>
        <w:r w:rsidRPr="00524435">
          <w:rPr>
            <w:rStyle w:val="Hyperlink"/>
            <w:rFonts w:ascii="Cambria" w:hAnsi="Cambria"/>
            <w:sz w:val="16"/>
            <w:szCs w:val="16"/>
            <w:lang w:val="es-US"/>
          </w:rPr>
          <w:t xml:space="preserve"> 180th POS</w:t>
        </w:r>
      </w:hyperlink>
      <w:r w:rsidRPr="00524435">
        <w:rPr>
          <w:rFonts w:ascii="Cambria" w:hAnsi="Cambria"/>
          <w:color w:val="000000" w:themeColor="text1"/>
          <w:sz w:val="16"/>
          <w:szCs w:val="16"/>
          <w:lang w:val="es-US"/>
        </w:rPr>
        <w:t xml:space="preserve"> [</w:t>
      </w:r>
      <w:proofErr w:type="spellStart"/>
      <w:r w:rsidRPr="00524435">
        <w:rPr>
          <w:rFonts w:ascii="Cambria" w:hAnsi="Cambria"/>
          <w:color w:val="000000" w:themeColor="text1"/>
          <w:sz w:val="16"/>
          <w:szCs w:val="16"/>
          <w:lang w:val="es-US"/>
        </w:rPr>
        <w:t>Spanish</w:t>
      </w:r>
      <w:proofErr w:type="spellEnd"/>
      <w:r w:rsidRPr="00524435">
        <w:rPr>
          <w:rFonts w:ascii="Cambria" w:hAnsi="Cambria"/>
          <w:color w:val="000000" w:themeColor="text1"/>
          <w:sz w:val="16"/>
          <w:szCs w:val="16"/>
          <w:lang w:val="es-US"/>
        </w:rPr>
        <w:t xml:space="preserve">]. </w:t>
      </w:r>
      <w:r w:rsidRPr="0048555E">
        <w:rPr>
          <w:rFonts w:ascii="Cambria" w:hAnsi="Cambria"/>
          <w:color w:val="000000" w:themeColor="text1"/>
          <w:sz w:val="16"/>
          <w:szCs w:val="16"/>
          <w:lang w:val="es-US"/>
        </w:rPr>
        <w:t xml:space="preserve">MC 51.15 - Pueblo indígena Wayuu Asentado en el Departamento de la Guajira. </w:t>
      </w:r>
      <w:r w:rsidRPr="0048555E">
        <w:rPr>
          <w:rFonts w:ascii="Cambria" w:hAnsi="Cambria"/>
          <w:color w:val="000000" w:themeColor="text1"/>
          <w:sz w:val="16"/>
          <w:szCs w:val="16"/>
        </w:rPr>
        <w:t xml:space="preserve">June 29, 2021. IACHR. Public hearing in the 182nd POS. MC 693-18, MC 1606-18, MC 399-19, MC 366-21 - </w:t>
      </w:r>
      <w:r w:rsidRPr="0048555E">
        <w:rPr>
          <w:rFonts w:ascii="Cambria" w:hAnsi="Cambria"/>
          <w:i/>
          <w:iCs/>
          <w:color w:val="000000" w:themeColor="text1"/>
          <w:sz w:val="16"/>
          <w:szCs w:val="16"/>
        </w:rPr>
        <w:t xml:space="preserve">Radio Darío, </w:t>
      </w:r>
      <w:proofErr w:type="spellStart"/>
      <w:r w:rsidRPr="0048555E">
        <w:rPr>
          <w:rFonts w:ascii="Cambria" w:hAnsi="Cambria"/>
          <w:i/>
          <w:iCs/>
          <w:color w:val="000000" w:themeColor="text1"/>
          <w:sz w:val="16"/>
          <w:szCs w:val="16"/>
        </w:rPr>
        <w:t>Confidencial</w:t>
      </w:r>
      <w:proofErr w:type="spellEnd"/>
      <w:r w:rsidRPr="0048555E">
        <w:rPr>
          <w:rFonts w:ascii="Cambria" w:hAnsi="Cambria"/>
          <w:color w:val="000000" w:themeColor="text1"/>
          <w:sz w:val="16"/>
          <w:szCs w:val="16"/>
        </w:rPr>
        <w:t xml:space="preserve">, and </w:t>
      </w:r>
      <w:r w:rsidRPr="0048555E">
        <w:rPr>
          <w:rFonts w:ascii="Cambria" w:hAnsi="Cambria"/>
          <w:i/>
          <w:iCs/>
          <w:color w:val="000000" w:themeColor="text1"/>
          <w:sz w:val="16"/>
          <w:szCs w:val="16"/>
        </w:rPr>
        <w:t xml:space="preserve">La </w:t>
      </w:r>
      <w:proofErr w:type="spellStart"/>
      <w:r w:rsidRPr="0048555E">
        <w:rPr>
          <w:rFonts w:ascii="Cambria" w:hAnsi="Cambria"/>
          <w:i/>
          <w:iCs/>
          <w:color w:val="000000" w:themeColor="text1"/>
          <w:sz w:val="16"/>
          <w:szCs w:val="16"/>
        </w:rPr>
        <w:t>Costeñísima</w:t>
      </w:r>
      <w:proofErr w:type="spellEnd"/>
      <w:r w:rsidRPr="0048555E">
        <w:rPr>
          <w:rFonts w:ascii="Cambria" w:hAnsi="Cambria"/>
          <w:i/>
          <w:iCs/>
          <w:color w:val="000000" w:themeColor="text1"/>
          <w:sz w:val="16"/>
          <w:szCs w:val="16"/>
        </w:rPr>
        <w:t xml:space="preserve"> </w:t>
      </w:r>
      <w:r w:rsidRPr="0048555E">
        <w:rPr>
          <w:rFonts w:ascii="Cambria" w:hAnsi="Cambria"/>
          <w:color w:val="000000" w:themeColor="text1"/>
          <w:sz w:val="16"/>
          <w:szCs w:val="16"/>
        </w:rPr>
        <w:t>regarding Nicaragua.</w:t>
      </w:r>
    </w:p>
  </w:footnote>
  <w:footnote w:id="154">
    <w:p w14:paraId="66E45A09" w14:textId="77777777" w:rsidR="00842401" w:rsidRPr="0048555E" w:rsidRDefault="00842401" w:rsidP="00842401">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proofErr w:type="spellStart"/>
      <w:r w:rsidRPr="0048555E">
        <w:rPr>
          <w:rFonts w:ascii="Cambria" w:hAnsi="Cambria"/>
          <w:sz w:val="16"/>
          <w:szCs w:val="16"/>
        </w:rPr>
        <w:t>IACtHR</w:t>
      </w:r>
      <w:proofErr w:type="spellEnd"/>
      <w:r w:rsidRPr="0048555E">
        <w:rPr>
          <w:rFonts w:ascii="Cambria" w:hAnsi="Cambria"/>
          <w:sz w:val="16"/>
          <w:szCs w:val="16"/>
        </w:rPr>
        <w:t xml:space="preserve">. </w:t>
      </w:r>
      <w:hyperlink r:id="rId40" w:history="1">
        <w:r w:rsidRPr="0048555E">
          <w:rPr>
            <w:rStyle w:val="Hyperlink"/>
            <w:rFonts w:ascii="Cambria" w:hAnsi="Cambria"/>
            <w:sz w:val="16"/>
            <w:szCs w:val="16"/>
          </w:rPr>
          <w:t>Public Hearing in the140th POS</w:t>
        </w:r>
      </w:hyperlink>
      <w:r w:rsidRPr="0048555E">
        <w:rPr>
          <w:rFonts w:ascii="Cambria" w:hAnsi="Cambria"/>
          <w:sz w:val="16"/>
          <w:szCs w:val="16"/>
        </w:rPr>
        <w:t xml:space="preserve">. </w:t>
      </w:r>
      <w:r w:rsidRPr="007A5442">
        <w:rPr>
          <w:rFonts w:ascii="Cambria" w:hAnsi="Cambria"/>
          <w:sz w:val="16"/>
          <w:szCs w:val="16"/>
        </w:rPr>
        <w:t xml:space="preserve">Cases of </w:t>
      </w:r>
      <w:proofErr w:type="spellStart"/>
      <w:r w:rsidRPr="007A5442">
        <w:rPr>
          <w:rFonts w:ascii="Cambria" w:hAnsi="Cambria"/>
          <w:sz w:val="16"/>
          <w:szCs w:val="16"/>
        </w:rPr>
        <w:t>Garífuna</w:t>
      </w:r>
      <w:proofErr w:type="spellEnd"/>
      <w:r w:rsidRPr="007A5442">
        <w:rPr>
          <w:rFonts w:ascii="Cambria" w:hAnsi="Cambria"/>
          <w:sz w:val="16"/>
          <w:szCs w:val="16"/>
        </w:rPr>
        <w:t xml:space="preserve"> Communities of </w:t>
      </w:r>
      <w:proofErr w:type="spellStart"/>
      <w:r w:rsidRPr="007A5442">
        <w:rPr>
          <w:rFonts w:ascii="Cambria" w:hAnsi="Cambria"/>
          <w:sz w:val="16"/>
          <w:szCs w:val="16"/>
        </w:rPr>
        <w:t>Triunfo</w:t>
      </w:r>
      <w:proofErr w:type="spellEnd"/>
      <w:r w:rsidRPr="007A5442">
        <w:rPr>
          <w:rFonts w:ascii="Cambria" w:hAnsi="Cambria"/>
          <w:sz w:val="16"/>
          <w:szCs w:val="16"/>
        </w:rPr>
        <w:t xml:space="preserve"> de la Cruz and Punta Piedra v. Honduras. </w:t>
      </w:r>
      <w:r w:rsidRPr="0048555E">
        <w:rPr>
          <w:rFonts w:ascii="Cambria" w:hAnsi="Cambria"/>
          <w:sz w:val="16"/>
          <w:szCs w:val="16"/>
        </w:rPr>
        <w:t>March 4, 2021.</w:t>
      </w:r>
    </w:p>
  </w:footnote>
  <w:footnote w:id="155">
    <w:p w14:paraId="615EF42B" w14:textId="77777777" w:rsidR="00842401" w:rsidRPr="0048555E" w:rsidRDefault="00842401" w:rsidP="00842401">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proofErr w:type="spellStart"/>
      <w:r w:rsidRPr="0048555E">
        <w:rPr>
          <w:rFonts w:ascii="Cambria" w:hAnsi="Cambria"/>
          <w:sz w:val="16"/>
          <w:szCs w:val="16"/>
        </w:rPr>
        <w:t>IACtHR</w:t>
      </w:r>
      <w:proofErr w:type="spellEnd"/>
      <w:r w:rsidRPr="0048555E">
        <w:rPr>
          <w:rFonts w:ascii="Cambria" w:hAnsi="Cambria"/>
          <w:sz w:val="16"/>
          <w:szCs w:val="16"/>
        </w:rPr>
        <w:t xml:space="preserve">. </w:t>
      </w:r>
      <w:hyperlink r:id="rId41" w:history="1">
        <w:r w:rsidRPr="0048555E">
          <w:rPr>
            <w:rStyle w:val="Hyperlink"/>
            <w:rFonts w:ascii="Cambria" w:hAnsi="Cambria"/>
            <w:sz w:val="16"/>
            <w:szCs w:val="16"/>
          </w:rPr>
          <w:t>Public Hearing in the 141st POS</w:t>
        </w:r>
      </w:hyperlink>
      <w:r w:rsidRPr="0048555E">
        <w:rPr>
          <w:rFonts w:ascii="Cambria" w:hAnsi="Cambria"/>
          <w:sz w:val="16"/>
          <w:szCs w:val="16"/>
        </w:rPr>
        <w:t xml:space="preserve">. Matter of Members of the Nicaraguan Center and Permanent Commission on Human Rights in reference to Nicaragua. May 6, 2021. </w:t>
      </w:r>
    </w:p>
  </w:footnote>
  <w:footnote w:id="156">
    <w:p w14:paraId="12C9FADA" w14:textId="77777777" w:rsidR="00842401" w:rsidRPr="007A5442" w:rsidRDefault="00842401" w:rsidP="00842401">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proofErr w:type="spellStart"/>
      <w:r w:rsidRPr="0048555E">
        <w:rPr>
          <w:rFonts w:ascii="Cambria" w:hAnsi="Cambria"/>
          <w:sz w:val="16"/>
          <w:szCs w:val="16"/>
        </w:rPr>
        <w:t>IACtHR</w:t>
      </w:r>
      <w:proofErr w:type="spellEnd"/>
      <w:r w:rsidRPr="0048555E">
        <w:rPr>
          <w:rFonts w:ascii="Cambria" w:hAnsi="Cambria"/>
          <w:sz w:val="16"/>
          <w:szCs w:val="16"/>
        </w:rPr>
        <w:t xml:space="preserve">. </w:t>
      </w:r>
      <w:hyperlink r:id="rId42" w:history="1">
        <w:r w:rsidRPr="0048555E">
          <w:rPr>
            <w:rStyle w:val="Hyperlink"/>
            <w:rFonts w:ascii="Cambria" w:hAnsi="Cambria"/>
            <w:sz w:val="16"/>
            <w:szCs w:val="16"/>
          </w:rPr>
          <w:t>Public Hearing in the 141st POS</w:t>
        </w:r>
      </w:hyperlink>
      <w:r w:rsidRPr="0048555E">
        <w:rPr>
          <w:rFonts w:ascii="Cambria" w:hAnsi="Cambria"/>
          <w:sz w:val="16"/>
          <w:szCs w:val="16"/>
        </w:rPr>
        <w:t xml:space="preserve">. </w:t>
      </w:r>
      <w:r w:rsidRPr="0048555E">
        <w:rPr>
          <w:rFonts w:ascii="Cambria" w:hAnsi="Cambria"/>
          <w:bCs/>
          <w:sz w:val="16"/>
          <w:szCs w:val="16"/>
        </w:rPr>
        <w:t xml:space="preserve">Case of </w:t>
      </w:r>
      <w:proofErr w:type="spellStart"/>
      <w:r w:rsidRPr="0048555E">
        <w:rPr>
          <w:rFonts w:ascii="Cambria" w:hAnsi="Cambria"/>
          <w:bCs/>
          <w:sz w:val="16"/>
          <w:szCs w:val="16"/>
        </w:rPr>
        <w:t>Vélez</w:t>
      </w:r>
      <w:proofErr w:type="spellEnd"/>
      <w:r w:rsidRPr="0048555E">
        <w:rPr>
          <w:rFonts w:ascii="Cambria" w:hAnsi="Cambria"/>
          <w:bCs/>
          <w:sz w:val="16"/>
          <w:szCs w:val="16"/>
        </w:rPr>
        <w:t xml:space="preserve"> </w:t>
      </w:r>
      <w:proofErr w:type="spellStart"/>
      <w:r w:rsidRPr="0048555E">
        <w:rPr>
          <w:rFonts w:ascii="Cambria" w:hAnsi="Cambria"/>
          <w:bCs/>
          <w:sz w:val="16"/>
          <w:szCs w:val="16"/>
        </w:rPr>
        <w:t>Loor</w:t>
      </w:r>
      <w:proofErr w:type="spellEnd"/>
      <w:r w:rsidRPr="0048555E">
        <w:rPr>
          <w:rFonts w:ascii="Cambria" w:hAnsi="Cambria"/>
          <w:bCs/>
          <w:sz w:val="16"/>
          <w:szCs w:val="16"/>
        </w:rPr>
        <w:t xml:space="preserve"> v. Panama</w:t>
      </w:r>
      <w:r w:rsidRPr="0048555E">
        <w:rPr>
          <w:rFonts w:ascii="Cambria" w:hAnsi="Cambria"/>
          <w:sz w:val="16"/>
          <w:szCs w:val="16"/>
        </w:rPr>
        <w:t xml:space="preserve">. </w:t>
      </w:r>
      <w:r w:rsidRPr="007A5442">
        <w:rPr>
          <w:rFonts w:ascii="Cambria" w:hAnsi="Cambria"/>
          <w:sz w:val="16"/>
          <w:szCs w:val="16"/>
        </w:rPr>
        <w:t>May 6, 2021.</w:t>
      </w:r>
    </w:p>
  </w:footnote>
  <w:footnote w:id="157">
    <w:p w14:paraId="69A93FE1" w14:textId="77777777" w:rsidR="00842401" w:rsidRPr="0048555E" w:rsidRDefault="00842401" w:rsidP="00842401">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7A5442">
        <w:rPr>
          <w:rFonts w:ascii="Cambria" w:hAnsi="Cambria"/>
          <w:sz w:val="16"/>
          <w:szCs w:val="16"/>
        </w:rPr>
        <w:t xml:space="preserve"> </w:t>
      </w:r>
      <w:proofErr w:type="spellStart"/>
      <w:r w:rsidRPr="007A5442">
        <w:rPr>
          <w:rFonts w:ascii="Cambria" w:hAnsi="Cambria"/>
          <w:sz w:val="16"/>
          <w:szCs w:val="16"/>
        </w:rPr>
        <w:t>IACtHR</w:t>
      </w:r>
      <w:proofErr w:type="spellEnd"/>
      <w:r w:rsidRPr="007A5442">
        <w:rPr>
          <w:rFonts w:ascii="Cambria" w:hAnsi="Cambria"/>
          <w:sz w:val="16"/>
          <w:szCs w:val="16"/>
        </w:rPr>
        <w:t xml:space="preserve">. </w:t>
      </w:r>
      <w:hyperlink r:id="rId43" w:history="1">
        <w:r w:rsidRPr="007A5442">
          <w:rPr>
            <w:rStyle w:val="Hyperlink"/>
            <w:rFonts w:ascii="Cambria" w:hAnsi="Cambria"/>
            <w:sz w:val="16"/>
            <w:szCs w:val="16"/>
          </w:rPr>
          <w:t>Public Hearing in the 142nd POS.</w:t>
        </w:r>
      </w:hyperlink>
      <w:r w:rsidRPr="007A5442">
        <w:rPr>
          <w:rFonts w:ascii="Cambria" w:hAnsi="Cambria"/>
          <w:sz w:val="16"/>
          <w:szCs w:val="16"/>
        </w:rPr>
        <w:t xml:space="preserve"> Matters of </w:t>
      </w:r>
      <w:r w:rsidRPr="007A5442">
        <w:rPr>
          <w:rFonts w:ascii="Cambria" w:hAnsi="Cambria"/>
          <w:bCs/>
          <w:sz w:val="16"/>
          <w:szCs w:val="16"/>
        </w:rPr>
        <w:t xml:space="preserve">Unidad de </w:t>
      </w:r>
      <w:proofErr w:type="spellStart"/>
      <w:r w:rsidRPr="007A5442">
        <w:rPr>
          <w:rFonts w:ascii="Cambria" w:hAnsi="Cambria"/>
          <w:bCs/>
          <w:sz w:val="16"/>
          <w:szCs w:val="16"/>
        </w:rPr>
        <w:t>Internación</w:t>
      </w:r>
      <w:proofErr w:type="spellEnd"/>
      <w:r w:rsidRPr="007A5442">
        <w:rPr>
          <w:rFonts w:ascii="Cambria" w:hAnsi="Cambria"/>
          <w:bCs/>
          <w:sz w:val="16"/>
          <w:szCs w:val="16"/>
        </w:rPr>
        <w:t xml:space="preserve"> </w:t>
      </w:r>
      <w:proofErr w:type="spellStart"/>
      <w:r w:rsidRPr="007A5442">
        <w:rPr>
          <w:rFonts w:ascii="Cambria" w:hAnsi="Cambria"/>
          <w:bCs/>
          <w:sz w:val="16"/>
          <w:szCs w:val="16"/>
        </w:rPr>
        <w:t>Socioeducativa</w:t>
      </w:r>
      <w:proofErr w:type="spellEnd"/>
      <w:r w:rsidRPr="007A5442">
        <w:rPr>
          <w:rFonts w:ascii="Cambria" w:hAnsi="Cambria"/>
          <w:bCs/>
          <w:sz w:val="16"/>
          <w:szCs w:val="16"/>
        </w:rPr>
        <w:t xml:space="preserve">, </w:t>
      </w:r>
      <w:proofErr w:type="spellStart"/>
      <w:r w:rsidRPr="007A5442">
        <w:rPr>
          <w:rFonts w:ascii="Cambria" w:hAnsi="Cambria"/>
          <w:bCs/>
          <w:sz w:val="16"/>
          <w:szCs w:val="16"/>
        </w:rPr>
        <w:t>Complejo</w:t>
      </w:r>
      <w:proofErr w:type="spellEnd"/>
      <w:r w:rsidRPr="007A5442">
        <w:rPr>
          <w:rFonts w:ascii="Cambria" w:hAnsi="Cambria"/>
          <w:bCs/>
          <w:sz w:val="16"/>
          <w:szCs w:val="16"/>
        </w:rPr>
        <w:t xml:space="preserve"> Penitenciario de </w:t>
      </w:r>
      <w:proofErr w:type="spellStart"/>
      <w:r w:rsidRPr="007A5442">
        <w:rPr>
          <w:rFonts w:ascii="Cambria" w:hAnsi="Cambria"/>
          <w:bCs/>
          <w:sz w:val="16"/>
          <w:szCs w:val="16"/>
        </w:rPr>
        <w:t>Curado</w:t>
      </w:r>
      <w:proofErr w:type="spellEnd"/>
      <w:r w:rsidRPr="007A5442">
        <w:rPr>
          <w:rFonts w:ascii="Cambria" w:hAnsi="Cambria"/>
          <w:bCs/>
          <w:sz w:val="16"/>
          <w:szCs w:val="16"/>
        </w:rPr>
        <w:t xml:space="preserve">, </w:t>
      </w:r>
      <w:proofErr w:type="spellStart"/>
      <w:r w:rsidRPr="007A5442">
        <w:rPr>
          <w:rFonts w:ascii="Cambria" w:hAnsi="Cambria"/>
          <w:bCs/>
          <w:sz w:val="16"/>
          <w:szCs w:val="16"/>
        </w:rPr>
        <w:t>Complejo</w:t>
      </w:r>
      <w:proofErr w:type="spellEnd"/>
      <w:r w:rsidRPr="007A5442">
        <w:rPr>
          <w:rFonts w:ascii="Cambria" w:hAnsi="Cambria"/>
          <w:bCs/>
          <w:sz w:val="16"/>
          <w:szCs w:val="16"/>
        </w:rPr>
        <w:t xml:space="preserve"> Penitenciario de </w:t>
      </w:r>
      <w:proofErr w:type="spellStart"/>
      <w:r w:rsidRPr="007A5442">
        <w:rPr>
          <w:rFonts w:ascii="Cambria" w:hAnsi="Cambria"/>
          <w:bCs/>
          <w:sz w:val="16"/>
          <w:szCs w:val="16"/>
        </w:rPr>
        <w:t>Pedrinhas</w:t>
      </w:r>
      <w:proofErr w:type="spellEnd"/>
      <w:r w:rsidRPr="007A5442">
        <w:rPr>
          <w:rFonts w:ascii="Cambria" w:hAnsi="Cambria"/>
          <w:bCs/>
          <w:sz w:val="16"/>
          <w:szCs w:val="16"/>
        </w:rPr>
        <w:t xml:space="preserve">, and Instituto Penal </w:t>
      </w:r>
      <w:proofErr w:type="spellStart"/>
      <w:r w:rsidRPr="007A5442">
        <w:rPr>
          <w:rFonts w:ascii="Cambria" w:hAnsi="Cambria"/>
          <w:bCs/>
          <w:sz w:val="16"/>
          <w:szCs w:val="16"/>
        </w:rPr>
        <w:t>Plácido</w:t>
      </w:r>
      <w:proofErr w:type="spellEnd"/>
      <w:r w:rsidRPr="007A5442">
        <w:rPr>
          <w:rFonts w:ascii="Cambria" w:hAnsi="Cambria"/>
          <w:bCs/>
          <w:sz w:val="16"/>
          <w:szCs w:val="16"/>
        </w:rPr>
        <w:t xml:space="preserve"> de Sá Carvalho. </w:t>
      </w:r>
      <w:r w:rsidRPr="0048555E">
        <w:rPr>
          <w:rFonts w:ascii="Cambria" w:hAnsi="Cambria"/>
          <w:bCs/>
          <w:sz w:val="16"/>
          <w:szCs w:val="16"/>
        </w:rPr>
        <w:t>June 2, 2021.</w:t>
      </w:r>
    </w:p>
  </w:footnote>
  <w:footnote w:id="158">
    <w:p w14:paraId="1D048DE8" w14:textId="77777777" w:rsidR="00842401" w:rsidRPr="0048555E" w:rsidRDefault="00842401" w:rsidP="00842401">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proofErr w:type="spellStart"/>
      <w:r w:rsidRPr="0048555E">
        <w:rPr>
          <w:rFonts w:ascii="Cambria" w:hAnsi="Cambria"/>
          <w:sz w:val="16"/>
          <w:szCs w:val="16"/>
        </w:rPr>
        <w:t>IACtHR</w:t>
      </w:r>
      <w:proofErr w:type="spellEnd"/>
      <w:r w:rsidRPr="0048555E">
        <w:rPr>
          <w:rFonts w:ascii="Cambria" w:hAnsi="Cambria"/>
          <w:sz w:val="16"/>
          <w:szCs w:val="16"/>
        </w:rPr>
        <w:t xml:space="preserve">. </w:t>
      </w:r>
      <w:hyperlink r:id="rId44" w:history="1">
        <w:r w:rsidRPr="0048555E">
          <w:rPr>
            <w:rStyle w:val="Hyperlink"/>
            <w:rFonts w:ascii="Cambria" w:hAnsi="Cambria"/>
            <w:sz w:val="16"/>
            <w:szCs w:val="16"/>
          </w:rPr>
          <w:t>Public Hearing in the 142nd POS</w:t>
        </w:r>
      </w:hyperlink>
      <w:r w:rsidRPr="0048555E">
        <w:rPr>
          <w:rFonts w:ascii="Cambria" w:hAnsi="Cambria"/>
          <w:sz w:val="16"/>
          <w:szCs w:val="16"/>
        </w:rPr>
        <w:t xml:space="preserve">. Matter of Members of the </w:t>
      </w:r>
      <w:proofErr w:type="spellStart"/>
      <w:r w:rsidRPr="0048555E">
        <w:rPr>
          <w:rFonts w:ascii="Cambria" w:hAnsi="Cambria"/>
          <w:sz w:val="16"/>
          <w:szCs w:val="16"/>
        </w:rPr>
        <w:t>Choréachi</w:t>
      </w:r>
      <w:proofErr w:type="spellEnd"/>
      <w:r w:rsidRPr="0048555E">
        <w:rPr>
          <w:rFonts w:ascii="Cambria" w:hAnsi="Cambria"/>
          <w:sz w:val="16"/>
          <w:szCs w:val="16"/>
        </w:rPr>
        <w:t xml:space="preserve"> Community in reference to Mexico. June 11, 2021. </w:t>
      </w:r>
    </w:p>
  </w:footnote>
  <w:footnote w:id="159">
    <w:p w14:paraId="52C4B7B9" w14:textId="77777777" w:rsidR="00842401" w:rsidRPr="0048555E" w:rsidRDefault="00842401" w:rsidP="00842401">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proofErr w:type="spellStart"/>
      <w:r w:rsidRPr="0048555E">
        <w:rPr>
          <w:rFonts w:ascii="Cambria" w:hAnsi="Cambria"/>
          <w:sz w:val="16"/>
          <w:szCs w:val="16"/>
        </w:rPr>
        <w:t>IACtHR</w:t>
      </w:r>
      <w:proofErr w:type="spellEnd"/>
      <w:r w:rsidRPr="0048555E">
        <w:rPr>
          <w:rFonts w:ascii="Cambria" w:hAnsi="Cambria"/>
          <w:sz w:val="16"/>
          <w:szCs w:val="16"/>
        </w:rPr>
        <w:t xml:space="preserve">. </w:t>
      </w:r>
      <w:hyperlink r:id="rId45" w:history="1">
        <w:r w:rsidRPr="0048555E">
          <w:rPr>
            <w:rStyle w:val="Hyperlink"/>
            <w:rFonts w:ascii="Cambria" w:hAnsi="Cambria"/>
            <w:sz w:val="16"/>
            <w:szCs w:val="16"/>
          </w:rPr>
          <w:t>Public Hearing in the 143rd POS</w:t>
        </w:r>
      </w:hyperlink>
      <w:r w:rsidRPr="0048555E">
        <w:rPr>
          <w:rFonts w:ascii="Cambria" w:hAnsi="Cambria"/>
          <w:sz w:val="16"/>
          <w:szCs w:val="16"/>
        </w:rPr>
        <w:t xml:space="preserve">. Request for Provisional Measures in the Case of Valenzuela Ávila and the Case of </w:t>
      </w:r>
      <w:proofErr w:type="spellStart"/>
      <w:r w:rsidRPr="0048555E">
        <w:rPr>
          <w:rFonts w:ascii="Cambria" w:hAnsi="Cambria"/>
          <w:sz w:val="16"/>
          <w:szCs w:val="16"/>
        </w:rPr>
        <w:t>Ruíz</w:t>
      </w:r>
      <w:proofErr w:type="spellEnd"/>
      <w:r w:rsidRPr="0048555E">
        <w:rPr>
          <w:rFonts w:ascii="Cambria" w:hAnsi="Cambria"/>
          <w:sz w:val="16"/>
          <w:szCs w:val="16"/>
        </w:rPr>
        <w:t xml:space="preserve"> Fuentes and other v. Guatemala. August 27, 2021. </w:t>
      </w:r>
    </w:p>
  </w:footnote>
  <w:footnote w:id="160">
    <w:p w14:paraId="5FC9281F" w14:textId="77777777" w:rsidR="00842401" w:rsidRPr="0048555E" w:rsidRDefault="00842401" w:rsidP="00842401">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proofErr w:type="spellStart"/>
      <w:r w:rsidRPr="0048555E">
        <w:rPr>
          <w:rFonts w:ascii="Cambria" w:hAnsi="Cambria"/>
          <w:sz w:val="16"/>
          <w:szCs w:val="16"/>
        </w:rPr>
        <w:t>IACtHR</w:t>
      </w:r>
      <w:proofErr w:type="spellEnd"/>
      <w:r w:rsidRPr="0048555E">
        <w:rPr>
          <w:rFonts w:ascii="Cambria" w:hAnsi="Cambria"/>
          <w:sz w:val="16"/>
          <w:szCs w:val="16"/>
        </w:rPr>
        <w:t xml:space="preserve">. </w:t>
      </w:r>
      <w:hyperlink r:id="rId46" w:history="1">
        <w:r w:rsidRPr="0048555E">
          <w:rPr>
            <w:rStyle w:val="Hyperlink"/>
            <w:rFonts w:ascii="Cambria" w:hAnsi="Cambria"/>
            <w:sz w:val="16"/>
            <w:szCs w:val="16"/>
          </w:rPr>
          <w:t>Public Hearing in the143rd POS</w:t>
        </w:r>
      </w:hyperlink>
      <w:r w:rsidRPr="0048555E">
        <w:rPr>
          <w:rFonts w:ascii="Cambria" w:hAnsi="Cambria"/>
          <w:sz w:val="16"/>
          <w:szCs w:val="16"/>
        </w:rPr>
        <w:t xml:space="preserve">. Urgent Measures. Matter of Juan Sebastián Chamorro et al. in reference to Nicaragua. August 27, 2021. </w:t>
      </w:r>
    </w:p>
  </w:footnote>
  <w:footnote w:id="161">
    <w:p w14:paraId="43150707" w14:textId="77777777" w:rsidR="00842401" w:rsidRPr="0048555E" w:rsidRDefault="00842401" w:rsidP="00842401">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IACHR</w:t>
      </w:r>
      <w:r w:rsidRPr="0048555E">
        <w:rPr>
          <w:rFonts w:ascii="Cambria" w:hAnsi="Cambria" w:cs="Times New Roman"/>
          <w:sz w:val="16"/>
          <w:szCs w:val="16"/>
        </w:rPr>
        <w:t xml:space="preserve">. </w:t>
      </w:r>
      <w:hyperlink r:id="rId47" w:history="1">
        <w:r w:rsidRPr="0048555E">
          <w:rPr>
            <w:rStyle w:val="Hyperlink"/>
            <w:rFonts w:ascii="Cambria" w:hAnsi="Cambria" w:cs="Times New Roman"/>
            <w:sz w:val="16"/>
            <w:szCs w:val="16"/>
          </w:rPr>
          <w:t>Press Release 156/21</w:t>
        </w:r>
      </w:hyperlink>
      <w:r w:rsidRPr="0048555E">
        <w:rPr>
          <w:rFonts w:ascii="Cambria" w:hAnsi="Cambria" w:cs="Times New Roman"/>
          <w:sz w:val="16"/>
          <w:szCs w:val="16"/>
        </w:rPr>
        <w:t>.</w:t>
      </w:r>
      <w:r w:rsidRPr="0048555E">
        <w:rPr>
          <w:rFonts w:ascii="Cambria" w:hAnsi="Cambria"/>
          <w:sz w:val="16"/>
          <w:szCs w:val="16"/>
        </w:rPr>
        <w:t xml:space="preserve"> The IACHR requests that the Inter-American Court adopt provisional measures on behalf of Juan Chamorro, José </w:t>
      </w:r>
      <w:proofErr w:type="spellStart"/>
      <w:r w:rsidRPr="0048555E">
        <w:rPr>
          <w:rFonts w:ascii="Cambria" w:hAnsi="Cambria"/>
          <w:sz w:val="16"/>
          <w:szCs w:val="16"/>
        </w:rPr>
        <w:t>Aguerri</w:t>
      </w:r>
      <w:proofErr w:type="spellEnd"/>
      <w:r w:rsidRPr="0048555E">
        <w:rPr>
          <w:rFonts w:ascii="Cambria" w:hAnsi="Cambria"/>
          <w:sz w:val="16"/>
          <w:szCs w:val="16"/>
        </w:rPr>
        <w:t xml:space="preserve">, Félix Maradiaga, Violeta </w:t>
      </w:r>
      <w:proofErr w:type="spellStart"/>
      <w:r w:rsidRPr="0048555E">
        <w:rPr>
          <w:rFonts w:ascii="Cambria" w:hAnsi="Cambria"/>
          <w:sz w:val="16"/>
          <w:szCs w:val="16"/>
        </w:rPr>
        <w:t>Granera</w:t>
      </w:r>
      <w:proofErr w:type="spellEnd"/>
      <w:r w:rsidRPr="0048555E">
        <w:rPr>
          <w:rFonts w:ascii="Cambria" w:hAnsi="Cambria"/>
          <w:sz w:val="16"/>
          <w:szCs w:val="16"/>
        </w:rPr>
        <w:t>, and family, due to extreme risk in Nicaragua. June 23, 2021</w:t>
      </w:r>
    </w:p>
  </w:footnote>
  <w:footnote w:id="162">
    <w:p w14:paraId="18BB6240" w14:textId="77777777" w:rsidR="00842401" w:rsidRPr="0048555E" w:rsidRDefault="00842401" w:rsidP="00842401">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proofErr w:type="spellStart"/>
      <w:r w:rsidRPr="0048555E">
        <w:rPr>
          <w:rFonts w:ascii="Cambria" w:hAnsi="Cambria"/>
          <w:sz w:val="16"/>
          <w:szCs w:val="16"/>
        </w:rPr>
        <w:t>IACtHR</w:t>
      </w:r>
      <w:proofErr w:type="spellEnd"/>
      <w:r w:rsidRPr="0048555E">
        <w:rPr>
          <w:rFonts w:ascii="Cambria" w:hAnsi="Cambria"/>
          <w:sz w:val="16"/>
          <w:szCs w:val="16"/>
        </w:rPr>
        <w:t xml:space="preserve">. </w:t>
      </w:r>
      <w:hyperlink r:id="rId48" w:history="1">
        <w:r w:rsidRPr="0048555E">
          <w:rPr>
            <w:rStyle w:val="Hyperlink"/>
            <w:rFonts w:ascii="Cambria" w:hAnsi="Cambria"/>
            <w:sz w:val="16"/>
            <w:szCs w:val="16"/>
          </w:rPr>
          <w:t>Matter of Juan Sebastián Chamorro et al. with respect to Nicaragua</w:t>
        </w:r>
      </w:hyperlink>
      <w:r w:rsidRPr="0048555E">
        <w:rPr>
          <w:rFonts w:ascii="Cambria" w:hAnsi="Cambria"/>
          <w:sz w:val="16"/>
          <w:szCs w:val="16"/>
        </w:rPr>
        <w:t>. Provisional Measures. Resolution of the Inter-American Court of Human Rights. June 24, 2021.</w:t>
      </w:r>
    </w:p>
  </w:footnote>
  <w:footnote w:id="163">
    <w:p w14:paraId="67B4E865" w14:textId="77777777" w:rsidR="00842401" w:rsidRPr="0048555E" w:rsidRDefault="00842401" w:rsidP="00842401">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IACHR. </w:t>
      </w:r>
      <w:hyperlink r:id="rId49" w:history="1">
        <w:r w:rsidRPr="0048555E">
          <w:rPr>
            <w:rStyle w:val="Hyperlink"/>
            <w:rFonts w:ascii="Cambria" w:hAnsi="Cambria"/>
            <w:sz w:val="16"/>
            <w:szCs w:val="16"/>
          </w:rPr>
          <w:t>Press Release 181/21</w:t>
        </w:r>
      </w:hyperlink>
      <w:r w:rsidRPr="0048555E">
        <w:rPr>
          <w:rFonts w:ascii="Cambria" w:hAnsi="Cambria"/>
          <w:sz w:val="16"/>
          <w:szCs w:val="16"/>
        </w:rPr>
        <w:t xml:space="preserve">. The IACHR requests that the Inter-American Court extends provisional measures to Daisy Tamara </w:t>
      </w:r>
      <w:proofErr w:type="spellStart"/>
      <w:r w:rsidRPr="0048555E">
        <w:rPr>
          <w:rFonts w:ascii="Cambria" w:hAnsi="Cambria"/>
          <w:sz w:val="16"/>
          <w:szCs w:val="16"/>
        </w:rPr>
        <w:t>Dávila</w:t>
      </w:r>
      <w:proofErr w:type="spellEnd"/>
      <w:r w:rsidRPr="0048555E">
        <w:rPr>
          <w:rFonts w:ascii="Cambria" w:hAnsi="Cambria"/>
          <w:sz w:val="16"/>
          <w:szCs w:val="16"/>
        </w:rPr>
        <w:t xml:space="preserve"> Rivas and her family due to a situation of extreme risk in Nicaragua. July 16, 2021.</w:t>
      </w:r>
    </w:p>
  </w:footnote>
  <w:footnote w:id="164">
    <w:p w14:paraId="22445EE8" w14:textId="77777777" w:rsidR="00842401" w:rsidRPr="0048555E" w:rsidRDefault="00842401" w:rsidP="00842401">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proofErr w:type="spellStart"/>
      <w:r w:rsidRPr="0048555E">
        <w:rPr>
          <w:rFonts w:ascii="Cambria" w:hAnsi="Cambria"/>
          <w:sz w:val="16"/>
          <w:szCs w:val="16"/>
        </w:rPr>
        <w:t>IACtHR</w:t>
      </w:r>
      <w:proofErr w:type="spellEnd"/>
      <w:r w:rsidRPr="0048555E">
        <w:rPr>
          <w:rFonts w:ascii="Cambria" w:hAnsi="Cambria"/>
          <w:sz w:val="16"/>
          <w:szCs w:val="16"/>
        </w:rPr>
        <w:t xml:space="preserve">. </w:t>
      </w:r>
      <w:hyperlink r:id="rId50" w:history="1">
        <w:r w:rsidRPr="0048555E">
          <w:rPr>
            <w:rStyle w:val="Hyperlink"/>
            <w:rFonts w:ascii="Cambria" w:hAnsi="Cambria"/>
            <w:sz w:val="16"/>
            <w:szCs w:val="16"/>
          </w:rPr>
          <w:t>Matter of Sebastián Chamorro et al. with respect to Nicaragua</w:t>
        </w:r>
      </w:hyperlink>
      <w:r w:rsidRPr="0048555E">
        <w:rPr>
          <w:rFonts w:ascii="Cambria" w:hAnsi="Cambria"/>
          <w:sz w:val="16"/>
          <w:szCs w:val="16"/>
        </w:rPr>
        <w:t xml:space="preserve">. Adoption of Urgent Measures to the benefit of Daisy Tamara </w:t>
      </w:r>
      <w:proofErr w:type="spellStart"/>
      <w:r w:rsidRPr="0048555E">
        <w:rPr>
          <w:rFonts w:ascii="Cambria" w:hAnsi="Cambria"/>
          <w:sz w:val="16"/>
          <w:szCs w:val="16"/>
        </w:rPr>
        <w:t>Dávila</w:t>
      </w:r>
      <w:proofErr w:type="spellEnd"/>
      <w:r w:rsidRPr="0048555E">
        <w:rPr>
          <w:rFonts w:ascii="Cambria" w:hAnsi="Cambria"/>
          <w:sz w:val="16"/>
          <w:szCs w:val="16"/>
        </w:rPr>
        <w:t xml:space="preserve"> Rivas and her immediate family in the framework of the provisional measures adopted in the matter of Juan Sebastián Chamorro et al. in reference to Nicaragua. Resolution of the President of the Inter-American Court of Human Rights of July 19, 2021.</w:t>
      </w:r>
    </w:p>
  </w:footnote>
  <w:footnote w:id="165">
    <w:p w14:paraId="33F9B98E" w14:textId="77777777" w:rsidR="00842401" w:rsidRPr="0048555E" w:rsidRDefault="00842401" w:rsidP="00842401">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IACHR. </w:t>
      </w:r>
      <w:hyperlink r:id="rId51" w:history="1">
        <w:r w:rsidRPr="0048555E">
          <w:rPr>
            <w:rStyle w:val="Hyperlink"/>
            <w:rFonts w:ascii="Cambria" w:hAnsi="Cambria"/>
            <w:sz w:val="16"/>
            <w:szCs w:val="16"/>
          </w:rPr>
          <w:t>Press Release 220/21</w:t>
        </w:r>
      </w:hyperlink>
      <w:r w:rsidRPr="0048555E">
        <w:rPr>
          <w:rFonts w:ascii="Cambria" w:hAnsi="Cambria"/>
          <w:sz w:val="16"/>
          <w:szCs w:val="16"/>
        </w:rPr>
        <w:t xml:space="preserve">. The IACHR Asks Inter-American Court of Human Rights to Extend Temporary Protection Measures on behalf of </w:t>
      </w:r>
      <w:proofErr w:type="spellStart"/>
      <w:r w:rsidRPr="0048555E">
        <w:rPr>
          <w:rFonts w:ascii="Cambria" w:hAnsi="Cambria"/>
          <w:sz w:val="16"/>
          <w:szCs w:val="16"/>
        </w:rPr>
        <w:t>Lesther</w:t>
      </w:r>
      <w:proofErr w:type="spellEnd"/>
      <w:r w:rsidRPr="0048555E">
        <w:rPr>
          <w:rFonts w:ascii="Cambria" w:hAnsi="Cambria"/>
          <w:sz w:val="16"/>
          <w:szCs w:val="16"/>
        </w:rPr>
        <w:t xml:space="preserve"> Lenin </w:t>
      </w:r>
      <w:proofErr w:type="spellStart"/>
      <w:r w:rsidRPr="0048555E">
        <w:rPr>
          <w:rFonts w:ascii="Cambria" w:hAnsi="Cambria"/>
          <w:sz w:val="16"/>
          <w:szCs w:val="16"/>
        </w:rPr>
        <w:t>Alemán</w:t>
      </w:r>
      <w:proofErr w:type="spellEnd"/>
      <w:r w:rsidRPr="0048555E">
        <w:rPr>
          <w:rFonts w:ascii="Cambria" w:hAnsi="Cambria"/>
          <w:sz w:val="16"/>
          <w:szCs w:val="16"/>
        </w:rPr>
        <w:t xml:space="preserve"> Alfaro and Freddy Alberto </w:t>
      </w:r>
      <w:proofErr w:type="spellStart"/>
      <w:r w:rsidRPr="0048555E">
        <w:rPr>
          <w:rFonts w:ascii="Cambria" w:hAnsi="Cambria"/>
          <w:sz w:val="16"/>
          <w:szCs w:val="16"/>
        </w:rPr>
        <w:t>Navas</w:t>
      </w:r>
      <w:proofErr w:type="spellEnd"/>
      <w:r w:rsidRPr="0048555E">
        <w:rPr>
          <w:rFonts w:ascii="Cambria" w:hAnsi="Cambria"/>
          <w:sz w:val="16"/>
          <w:szCs w:val="16"/>
        </w:rPr>
        <w:t xml:space="preserve"> López and their Families, Given the Extreme Risks they Face in Nicaragua. August 25, 2021.</w:t>
      </w:r>
    </w:p>
  </w:footnote>
  <w:footnote w:id="166">
    <w:p w14:paraId="0E505D2C" w14:textId="77777777" w:rsidR="00842401" w:rsidRPr="0048555E" w:rsidRDefault="00842401" w:rsidP="00842401">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proofErr w:type="spellStart"/>
      <w:r w:rsidRPr="0048555E">
        <w:rPr>
          <w:rFonts w:ascii="Cambria" w:hAnsi="Cambria"/>
          <w:sz w:val="16"/>
          <w:szCs w:val="16"/>
        </w:rPr>
        <w:t>IACtHR</w:t>
      </w:r>
      <w:proofErr w:type="spellEnd"/>
      <w:r w:rsidRPr="0048555E">
        <w:rPr>
          <w:rFonts w:ascii="Cambria" w:hAnsi="Cambria"/>
          <w:sz w:val="16"/>
          <w:szCs w:val="16"/>
        </w:rPr>
        <w:t xml:space="preserve">. </w:t>
      </w:r>
      <w:hyperlink r:id="rId52" w:history="1">
        <w:r w:rsidRPr="0048555E">
          <w:rPr>
            <w:rStyle w:val="Hyperlink"/>
            <w:rFonts w:ascii="Cambria" w:hAnsi="Cambria"/>
            <w:sz w:val="16"/>
            <w:szCs w:val="16"/>
          </w:rPr>
          <w:t>Matter of Juan Sebastián Chamorro et al. with regard to Nicaragua</w:t>
        </w:r>
      </w:hyperlink>
      <w:r w:rsidRPr="0048555E">
        <w:rPr>
          <w:rFonts w:ascii="Cambria" w:hAnsi="Cambria"/>
          <w:sz w:val="16"/>
          <w:szCs w:val="16"/>
        </w:rPr>
        <w:t xml:space="preserve">. Ratification, </w:t>
      </w:r>
      <w:proofErr w:type="gramStart"/>
      <w:r w:rsidRPr="0048555E">
        <w:rPr>
          <w:rFonts w:ascii="Cambria" w:hAnsi="Cambria"/>
          <w:sz w:val="16"/>
          <w:szCs w:val="16"/>
        </w:rPr>
        <w:t>expansion</w:t>
      </w:r>
      <w:proofErr w:type="gramEnd"/>
      <w:r w:rsidRPr="0048555E">
        <w:rPr>
          <w:rFonts w:ascii="Cambria" w:hAnsi="Cambria"/>
          <w:sz w:val="16"/>
          <w:szCs w:val="16"/>
        </w:rPr>
        <w:t xml:space="preserve"> and monitoring of provisional measures. Resolution of the Inter-American Court of Human Rights of September 9, 2021.</w:t>
      </w:r>
    </w:p>
  </w:footnote>
  <w:footnote w:id="167">
    <w:p w14:paraId="3C1319A1" w14:textId="77777777" w:rsidR="00842401" w:rsidRPr="0048555E" w:rsidRDefault="00842401" w:rsidP="00842401">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IACHR. </w:t>
      </w:r>
      <w:hyperlink r:id="rId53" w:history="1">
        <w:r w:rsidRPr="0048555E">
          <w:rPr>
            <w:rStyle w:val="Hyperlink"/>
            <w:rFonts w:ascii="Cambria" w:hAnsi="Cambria"/>
            <w:sz w:val="16"/>
            <w:szCs w:val="16"/>
          </w:rPr>
          <w:t>Press Release 242/21</w:t>
        </w:r>
      </w:hyperlink>
      <w:r w:rsidRPr="0048555E">
        <w:rPr>
          <w:rFonts w:ascii="Cambria" w:hAnsi="Cambria"/>
          <w:sz w:val="16"/>
          <w:szCs w:val="16"/>
        </w:rPr>
        <w:t xml:space="preserve">. IACHR asks Inter-American Court to extend provisional measures on behalf of communities of </w:t>
      </w:r>
      <w:proofErr w:type="spellStart"/>
      <w:r w:rsidRPr="0048555E">
        <w:rPr>
          <w:rFonts w:ascii="Cambria" w:hAnsi="Cambria"/>
          <w:sz w:val="16"/>
          <w:szCs w:val="16"/>
        </w:rPr>
        <w:t>Miskitu</w:t>
      </w:r>
      <w:proofErr w:type="spellEnd"/>
      <w:r w:rsidRPr="0048555E">
        <w:rPr>
          <w:rFonts w:ascii="Cambria" w:hAnsi="Cambria"/>
          <w:sz w:val="16"/>
          <w:szCs w:val="16"/>
        </w:rPr>
        <w:t xml:space="preserve"> indigenous people in Nicaragua. September 17, 2021.</w:t>
      </w:r>
    </w:p>
  </w:footnote>
  <w:footnote w:id="168">
    <w:p w14:paraId="43CB1B9E" w14:textId="77777777" w:rsidR="00842401" w:rsidRPr="0048555E" w:rsidRDefault="00842401" w:rsidP="00842401">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w:t>
      </w:r>
      <w:proofErr w:type="spellStart"/>
      <w:r w:rsidRPr="0048555E">
        <w:rPr>
          <w:rFonts w:ascii="Cambria" w:hAnsi="Cambria"/>
          <w:sz w:val="16"/>
          <w:szCs w:val="16"/>
        </w:rPr>
        <w:t>IACtHR</w:t>
      </w:r>
      <w:proofErr w:type="spellEnd"/>
      <w:r w:rsidRPr="0048555E">
        <w:rPr>
          <w:rFonts w:ascii="Cambria" w:hAnsi="Cambria"/>
          <w:sz w:val="16"/>
          <w:szCs w:val="16"/>
        </w:rPr>
        <w:t xml:space="preserve">. </w:t>
      </w:r>
      <w:hyperlink r:id="rId54" w:history="1">
        <w:r w:rsidRPr="0048555E">
          <w:rPr>
            <w:rStyle w:val="Hyperlink"/>
            <w:rFonts w:ascii="Cambria" w:hAnsi="Cambria"/>
            <w:sz w:val="16"/>
            <w:szCs w:val="16"/>
          </w:rPr>
          <w:t>Matter of Members of the Miskitu Indigenous Peoples of the North Caribbean Coast regarding Nicaragua</w:t>
        </w:r>
      </w:hyperlink>
      <w:r w:rsidRPr="0048555E">
        <w:rPr>
          <w:rFonts w:ascii="Cambria" w:hAnsi="Cambria"/>
          <w:sz w:val="16"/>
          <w:szCs w:val="16"/>
        </w:rPr>
        <w:t>. Extension of Provisional Measures. Resolution of the Inter-American Court of Human Rights of October 14, 2021.</w:t>
      </w:r>
    </w:p>
  </w:footnote>
  <w:footnote w:id="169">
    <w:p w14:paraId="61EF45FA" w14:textId="77777777" w:rsidR="00842401" w:rsidRPr="0048555E" w:rsidRDefault="00842401" w:rsidP="00842401">
      <w:pPr>
        <w:pStyle w:val="FootnoteText"/>
        <w:spacing w:after="120"/>
        <w:ind w:firstLine="720"/>
        <w:jc w:val="both"/>
        <w:rPr>
          <w:rFonts w:ascii="Cambria" w:hAnsi="Cambria"/>
          <w:sz w:val="16"/>
          <w:szCs w:val="16"/>
        </w:rPr>
      </w:pPr>
      <w:r w:rsidRPr="0048555E">
        <w:rPr>
          <w:rStyle w:val="FootnoteReference"/>
          <w:rFonts w:ascii="Cambria" w:hAnsi="Cambria"/>
          <w:sz w:val="16"/>
          <w:szCs w:val="16"/>
        </w:rPr>
        <w:footnoteRef/>
      </w:r>
      <w:r w:rsidRPr="0048555E">
        <w:rPr>
          <w:rFonts w:ascii="Cambria" w:hAnsi="Cambria"/>
          <w:sz w:val="16"/>
          <w:szCs w:val="16"/>
        </w:rPr>
        <w:t xml:space="preserve"> IACHR. </w:t>
      </w:r>
      <w:hyperlink r:id="rId55" w:history="1">
        <w:r w:rsidRPr="0048555E">
          <w:rPr>
            <w:rStyle w:val="Hyperlink"/>
            <w:rFonts w:ascii="Cambria" w:hAnsi="Cambria"/>
            <w:sz w:val="16"/>
            <w:szCs w:val="16"/>
          </w:rPr>
          <w:t>Press Release 285/21</w:t>
        </w:r>
      </w:hyperlink>
      <w:r w:rsidRPr="0048555E">
        <w:rPr>
          <w:rFonts w:ascii="Cambria" w:hAnsi="Cambria"/>
          <w:sz w:val="16"/>
          <w:szCs w:val="16"/>
        </w:rPr>
        <w:t>. IACHR Asks Inter-American Court of Human Rights to Extend Temporary Protection Measures on behalf of Cristiana Chamorro and 14 Other Individuals Who Face Extreme Risks in Nicaragua. October 29, 2021.</w:t>
      </w:r>
    </w:p>
  </w:footnote>
  <w:footnote w:id="170">
    <w:p w14:paraId="335C6FE6" w14:textId="77777777" w:rsidR="00842401" w:rsidRPr="0048555E" w:rsidRDefault="00842401" w:rsidP="00842401">
      <w:pPr>
        <w:pStyle w:val="FootnoteText"/>
        <w:spacing w:after="120"/>
        <w:ind w:firstLine="720"/>
        <w:jc w:val="both"/>
        <w:rPr>
          <w:rFonts w:ascii="Cambria" w:hAnsi="Cambria"/>
          <w:color w:val="000000" w:themeColor="text1"/>
          <w:sz w:val="16"/>
          <w:szCs w:val="16"/>
        </w:rPr>
      </w:pPr>
      <w:r w:rsidRPr="0048555E">
        <w:rPr>
          <w:rFonts w:ascii="Cambria" w:hAnsi="Cambria"/>
          <w:color w:val="000000" w:themeColor="text1"/>
          <w:sz w:val="16"/>
          <w:szCs w:val="16"/>
          <w:vertAlign w:val="superscript"/>
        </w:rPr>
        <w:footnoteRef/>
      </w:r>
      <w:r w:rsidRPr="0048555E">
        <w:rPr>
          <w:rFonts w:ascii="Cambria" w:hAnsi="Cambria"/>
          <w:color w:val="000000" w:themeColor="text1"/>
          <w:sz w:val="16"/>
          <w:szCs w:val="16"/>
          <w:vertAlign w:val="superscript"/>
        </w:rPr>
        <w:t xml:space="preserve"> </w:t>
      </w:r>
      <w:r w:rsidRPr="0048555E">
        <w:rPr>
          <w:rFonts w:ascii="Cambria" w:hAnsi="Cambria"/>
          <w:color w:val="000000" w:themeColor="text1"/>
          <w:sz w:val="16"/>
          <w:szCs w:val="16"/>
        </w:rPr>
        <w:t>IACHR Court. Case of Juan Sebastián Chamorro et al. v. Nicaragua. Extension of Provisional Measures. Order of the Inter-American Court of Human Rights of November 4,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1C523" w14:textId="77777777" w:rsidR="00F756FC" w:rsidRPr="00ED1EBA" w:rsidRDefault="00F756FC" w:rsidP="00CC3C4F">
    <w:pPr>
      <w:pStyle w:val="Header"/>
      <w:rPr>
        <w:rFonts w:ascii="Arial" w:hAnsi="Arial" w:cs="Arial"/>
        <w:color w:val="3B3838" w:themeColor="background2" w:themeShade="40"/>
        <w:szCs w:val="28"/>
      </w:rPr>
    </w:pPr>
    <w:r w:rsidRPr="006B1F24">
      <w:rPr>
        <w:noProof/>
        <w:sz w:val="28"/>
        <w:szCs w:val="28"/>
        <w:lang w:val="es-US" w:eastAsia="es-US"/>
      </w:rPr>
      <w:drawing>
        <wp:anchor distT="0" distB="0" distL="114300" distR="114300" simplePos="0" relativeHeight="251664384" behindDoc="0" locked="0" layoutInCell="1" allowOverlap="1" wp14:anchorId="2FC0B323" wp14:editId="0EA515F7">
          <wp:simplePos x="0" y="0"/>
          <wp:positionH relativeFrom="column">
            <wp:posOffset>4787900</wp:posOffset>
          </wp:positionH>
          <wp:positionV relativeFrom="paragraph">
            <wp:posOffset>-3175</wp:posOffset>
          </wp:positionV>
          <wp:extent cx="1360170" cy="313055"/>
          <wp:effectExtent l="0" t="0" r="0" b="0"/>
          <wp:wrapSquare wrapText="bothSides"/>
          <wp:docPr id="6"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60170" cy="313055"/>
                  </a:xfrm>
                  <a:prstGeom prst="rect">
                    <a:avLst/>
                  </a:prstGeom>
                </pic:spPr>
              </pic:pic>
            </a:graphicData>
          </a:graphic>
          <wp14:sizeRelH relativeFrom="page">
            <wp14:pctWidth>0</wp14:pctWidth>
          </wp14:sizeRelH>
          <wp14:sizeRelV relativeFrom="page">
            <wp14:pctHeight>0</wp14:pctHeight>
          </wp14:sizeRelV>
        </wp:anchor>
      </w:drawing>
    </w:r>
    <w:r>
      <w:rPr>
        <w:noProof/>
        <w:lang w:val="es-US" w:eastAsia="es-US"/>
      </w:rPr>
      <w:drawing>
        <wp:inline distT="0" distB="0" distL="0" distR="0" wp14:anchorId="6E486CCF" wp14:editId="6B83375C">
          <wp:extent cx="1317171" cy="307321"/>
          <wp:effectExtent l="0" t="0" r="3810" b="0"/>
          <wp:docPr id="7" name="Imagem 13" descr="Desenho com traços pretos em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Desenho com traços pretos em fundo branco&#10;&#10;Descrição gerada automaticamente com confiança baixa"/>
                  <pic:cNvPicPr/>
                </pic:nvPicPr>
                <pic:blipFill rotWithShape="1">
                  <a:blip r:embed="rId2">
                    <a:extLst>
                      <a:ext uri="{28A0092B-C50C-407E-A947-70E740481C1C}">
                        <a14:useLocalDpi xmlns:a14="http://schemas.microsoft.com/office/drawing/2010/main" val="0"/>
                      </a:ext>
                    </a:extLst>
                  </a:blip>
                  <a:srcRect t="-48" b="-48"/>
                  <a:stretch/>
                </pic:blipFill>
                <pic:spPr bwMode="auto">
                  <a:xfrm>
                    <a:off x="0" y="0"/>
                    <a:ext cx="1398639" cy="32632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3B3838" w:themeColor="background2" w:themeShade="40"/>
        <w:szCs w:val="28"/>
      </w:rPr>
      <w:softHyphen/>
    </w:r>
    <w:r>
      <w:rPr>
        <w:rFonts w:ascii="Arial" w:hAnsi="Arial" w:cs="Arial"/>
        <w:color w:val="3B3838" w:themeColor="background2" w:themeShade="40"/>
        <w:szCs w:val="28"/>
      </w:rPr>
      <w:softHyphen/>
      <w:t xml:space="preserve">                       </w:t>
    </w:r>
  </w:p>
  <w:p w14:paraId="1664B000" w14:textId="77777777" w:rsidR="00F756FC" w:rsidRPr="00D56DC4" w:rsidRDefault="00F756FC" w:rsidP="00CC3C4F">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lang w:val="es-US" w:eastAsia="es-US"/>
      </w:rPr>
      <mc:AlternateContent>
        <mc:Choice Requires="wps">
          <w:drawing>
            <wp:anchor distT="0" distB="0" distL="114300" distR="114300" simplePos="0" relativeHeight="251663360" behindDoc="0" locked="0" layoutInCell="1" allowOverlap="1" wp14:anchorId="23EFAF7F" wp14:editId="3D2C6458">
              <wp:simplePos x="0" y="0"/>
              <wp:positionH relativeFrom="column">
                <wp:posOffset>-5080</wp:posOffset>
              </wp:positionH>
              <wp:positionV relativeFrom="paragraph">
                <wp:posOffset>174133</wp:posOffset>
              </wp:positionV>
              <wp:extent cx="6148358" cy="0"/>
              <wp:effectExtent l="0" t="0" r="11430" b="12700"/>
              <wp:wrapNone/>
              <wp:docPr id="2" name="Straight Connector 2"/>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2695127" id="Straight Connector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3.7pt" to="483.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" strokecolor="#272727 [2749]" strokeweight="1.2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BD222" w14:textId="77777777" w:rsidR="00F756FC" w:rsidRDefault="00F756FC" w:rsidP="00CC3C4F">
    <w:pPr>
      <w:pStyle w:val="Header"/>
      <w:spacing w:line="216" w:lineRule="auto"/>
      <w:rPr>
        <w:rFonts w:ascii="Arial" w:hAnsi="Arial" w:cs="Arial"/>
        <w:color w:val="3B3838" w:themeColor="background2" w:themeShade="40"/>
        <w:sz w:val="28"/>
        <w:szCs w:val="28"/>
        <w:lang w:val="es-ES"/>
      </w:rPr>
    </w:pPr>
    <w:r w:rsidRPr="006B1F24">
      <w:rPr>
        <w:noProof/>
        <w:sz w:val="28"/>
        <w:szCs w:val="28"/>
        <w:lang w:val="es-US" w:eastAsia="es-US"/>
      </w:rPr>
      <w:drawing>
        <wp:anchor distT="0" distB="0" distL="114300" distR="114300" simplePos="0" relativeHeight="251660288" behindDoc="0" locked="0" layoutInCell="1" allowOverlap="1" wp14:anchorId="6B6448BD" wp14:editId="01476CC8">
          <wp:simplePos x="0" y="0"/>
          <wp:positionH relativeFrom="column">
            <wp:posOffset>4076065</wp:posOffset>
          </wp:positionH>
          <wp:positionV relativeFrom="paragraph">
            <wp:posOffset>78740</wp:posOffset>
          </wp:positionV>
          <wp:extent cx="2210435" cy="508635"/>
          <wp:effectExtent l="0" t="0" r="0" b="0"/>
          <wp:wrapSquare wrapText="bothSides"/>
          <wp:docPr id="8"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0435" cy="50863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val="es-US" w:eastAsia="es-US"/>
      </w:rPr>
      <mc:AlternateContent>
        <mc:Choice Requires="wps">
          <w:drawing>
            <wp:anchor distT="0" distB="0" distL="114300" distR="114300" simplePos="0" relativeHeight="251661312" behindDoc="0" locked="0" layoutInCell="1" allowOverlap="1" wp14:anchorId="2C24DA59" wp14:editId="1CD949D3">
              <wp:simplePos x="0" y="0"/>
              <wp:positionH relativeFrom="column">
                <wp:posOffset>-166255</wp:posOffset>
              </wp:positionH>
              <wp:positionV relativeFrom="paragraph">
                <wp:posOffset>49184</wp:posOffset>
              </wp:positionV>
              <wp:extent cx="2937164" cy="66501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2937164" cy="665018"/>
                      </a:xfrm>
                      <a:prstGeom prst="rect">
                        <a:avLst/>
                      </a:prstGeom>
                      <a:noFill/>
                      <a:ln w="6350">
                        <a:noFill/>
                      </a:ln>
                    </wps:spPr>
                    <wps:txbx>
                      <w:txbxContent>
                        <w:p w14:paraId="1876EB7C" w14:textId="77777777" w:rsidR="00F756FC" w:rsidRDefault="00F756FC" w:rsidP="00CC3C4F">
                          <w:r>
                            <w:rPr>
                              <w:noProof/>
                              <w:lang w:val="es-US" w:eastAsia="es-US"/>
                            </w:rPr>
                            <w:drawing>
                              <wp:inline distT="0" distB="0" distL="0" distR="0" wp14:anchorId="2534C0DA" wp14:editId="73D725A3">
                                <wp:extent cx="2021265" cy="471600"/>
                                <wp:effectExtent l="0" t="0" r="0" b="0"/>
                                <wp:docPr id="10" name="Imagem 13" descr="Desenho com traços pretos em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Desenho com traços pretos em fundo branco&#10;&#10;Descrição gerada automaticamente com confiança baixa"/>
                                        <pic:cNvPicPr/>
                                      </pic:nvPicPr>
                                      <pic:blipFill rotWithShape="1">
                                        <a:blip r:embed="rId2">
                                          <a:extLst>
                                            <a:ext uri="{28A0092B-C50C-407E-A947-70E740481C1C}">
                                              <a14:useLocalDpi xmlns:a14="http://schemas.microsoft.com/office/drawing/2010/main" val="0"/>
                                            </a:ext>
                                          </a:extLst>
                                        </a:blip>
                                        <a:srcRect t="-48" b="-48"/>
                                        <a:stretch/>
                                      </pic:blipFill>
                                      <pic:spPr bwMode="auto">
                                        <a:xfrm>
                                          <a:off x="0" y="0"/>
                                          <a:ext cx="2021265" cy="4716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type w14:anchorId="2C24DA59" id="_x0000_t202" coordsize="21600,21600" o:spt="202" path="m,l,21600r21600,l21600,xe">
              <v:stroke joinstyle="miter"/>
              <v:path gradientshapeok="t" o:connecttype="rect"/>
            </v:shapetype>
            <v:shape id="Caixa de Texto 9" o:spid="_x0000_s1035" type="#_x0000_t202" style="position:absolute;margin-left:-13.1pt;margin-top:3.85pt;width:231.25pt;height:52.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" filled="f" stroked="f" strokeweight=".5pt">
              <v:textbox>
                <w:txbxContent>
                  <w:p w14:paraId="1876EB7C" w14:textId="77777777" w:rsidR="00F756FC" w:rsidRDefault="00F756FC" w:rsidP="00CC3C4F">
                    <w:r>
                      <w:rPr>
                        <w:noProof/>
                        <w:lang w:val="es-US" w:eastAsia="es-US"/>
                      </w:rPr>
                      <w:drawing>
                        <wp:inline distT="0" distB="0" distL="0" distR="0" wp14:anchorId="2534C0DA" wp14:editId="73D725A3">
                          <wp:extent cx="2021265" cy="471600"/>
                          <wp:effectExtent l="0" t="0" r="0" b="0"/>
                          <wp:docPr id="10" name="Imagem 13" descr="Desenho com traços pretos em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Desenho com traços pretos em fundo branco&#10;&#10;Descrição gerada automaticamente com confiança baixa"/>
                                  <pic:cNvPicPr/>
                                </pic:nvPicPr>
                                <pic:blipFill rotWithShape="1">
                                  <a:blip r:embed="rId3">
                                    <a:extLst>
                                      <a:ext uri="{28A0092B-C50C-407E-A947-70E740481C1C}">
                                        <a14:useLocalDpi xmlns:a14="http://schemas.microsoft.com/office/drawing/2010/main" val="0"/>
                                      </a:ext>
                                    </a:extLst>
                                  </a:blip>
                                  <a:srcRect t="-48" b="-48"/>
                                  <a:stretch/>
                                </pic:blipFill>
                                <pic:spPr bwMode="auto">
                                  <a:xfrm>
                                    <a:off x="0" y="0"/>
                                    <a:ext cx="2021265" cy="4716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Arial" w:hAnsi="Arial" w:cs="Arial"/>
        <w:color w:val="3B3838" w:themeColor="background2" w:themeShade="40"/>
        <w:sz w:val="28"/>
        <w:szCs w:val="28"/>
        <w:lang w:val="es-ES"/>
      </w:rPr>
      <w:softHyphen/>
    </w:r>
    <w:r>
      <w:rPr>
        <w:rFonts w:ascii="Arial" w:hAnsi="Arial" w:cs="Arial"/>
        <w:color w:val="3B3838" w:themeColor="background2" w:themeShade="40"/>
        <w:sz w:val="28"/>
        <w:szCs w:val="28"/>
        <w:lang w:val="es-ES"/>
      </w:rPr>
      <w:softHyphen/>
    </w:r>
    <w:r>
      <w:rPr>
        <w:rFonts w:ascii="Arial" w:hAnsi="Arial" w:cs="Arial"/>
        <w:color w:val="3B3838" w:themeColor="background2" w:themeShade="40"/>
        <w:sz w:val="28"/>
        <w:szCs w:val="28"/>
        <w:lang w:val="es-ES"/>
      </w:rPr>
      <w:softHyphen/>
    </w:r>
  </w:p>
  <w:p w14:paraId="694915D3" w14:textId="77777777" w:rsidR="00F756FC" w:rsidRDefault="00F756FC" w:rsidP="00CC3C4F">
    <w:pPr>
      <w:pStyle w:val="Header"/>
      <w:spacing w:line="216" w:lineRule="auto"/>
      <w:rPr>
        <w:rFonts w:ascii="Arial" w:hAnsi="Arial" w:cs="Arial"/>
        <w:color w:val="3B3838" w:themeColor="background2" w:themeShade="40"/>
        <w:sz w:val="28"/>
        <w:szCs w:val="28"/>
        <w:lang w:val="es-ES"/>
      </w:rPr>
    </w:pPr>
  </w:p>
  <w:p w14:paraId="33D737B0" w14:textId="77777777" w:rsidR="00F756FC" w:rsidRDefault="00F756FC" w:rsidP="00CC3C4F">
    <w:pPr>
      <w:pStyle w:val="Header"/>
      <w:spacing w:line="216" w:lineRule="auto"/>
      <w:rPr>
        <w:rFonts w:ascii="Arial" w:hAnsi="Arial" w:cs="Arial"/>
        <w:color w:val="3B3838" w:themeColor="background2" w:themeShade="40"/>
        <w:sz w:val="28"/>
        <w:szCs w:val="28"/>
        <w:lang w:val="es-ES"/>
      </w:rPr>
    </w:pPr>
  </w:p>
  <w:p w14:paraId="62803453" w14:textId="77777777" w:rsidR="00F756FC" w:rsidRPr="00566CD0" w:rsidRDefault="00F756FC" w:rsidP="00CC3C4F">
    <w:pPr>
      <w:pStyle w:val="Header"/>
      <w:spacing w:line="216" w:lineRule="auto"/>
      <w:rPr>
        <w:rFonts w:ascii="Arial" w:hAnsi="Arial" w:cs="Arial"/>
        <w:b/>
        <w:bCs/>
        <w:color w:val="404040" w:themeColor="text1" w:themeTint="BF"/>
        <w:sz w:val="44"/>
        <w:szCs w:val="44"/>
        <w:lang w:val="es-ES"/>
      </w:rPr>
    </w:pPr>
    <w:r>
      <w:rPr>
        <w:rFonts w:ascii="Arial" w:hAnsi="Arial" w:cs="Arial"/>
        <w:b/>
        <w:bCs/>
        <w:noProof/>
        <w:color w:val="000000" w:themeColor="text1"/>
        <w:sz w:val="44"/>
        <w:szCs w:val="44"/>
        <w:lang w:val="es-US" w:eastAsia="es-US"/>
      </w:rPr>
      <mc:AlternateContent>
        <mc:Choice Requires="wps">
          <w:drawing>
            <wp:anchor distT="0" distB="0" distL="114300" distR="114300" simplePos="0" relativeHeight="251659264" behindDoc="0" locked="0" layoutInCell="1" allowOverlap="1" wp14:anchorId="56F1D930" wp14:editId="1725EB1B">
              <wp:simplePos x="0" y="0"/>
              <wp:positionH relativeFrom="column">
                <wp:posOffset>-5610</wp:posOffset>
              </wp:positionH>
              <wp:positionV relativeFrom="paragraph">
                <wp:posOffset>167882</wp:posOffset>
              </wp:positionV>
              <wp:extent cx="6148358" cy="0"/>
              <wp:effectExtent l="0" t="0" r="11430" b="12700"/>
              <wp:wrapNone/>
              <wp:docPr id="5" name="Straight Connector 5"/>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32A6511"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3.2pt" to="483.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" strokecolor="#272727 [2749]" strokeweight="1.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427"/>
    <w:multiLevelType w:val="hybridMultilevel"/>
    <w:tmpl w:val="4A7E55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C84B32"/>
    <w:multiLevelType w:val="hybridMultilevel"/>
    <w:tmpl w:val="75469278"/>
    <w:lvl w:ilvl="0" w:tplc="92820B48">
      <w:start w:val="1"/>
      <w:numFmt w:val="upperLetter"/>
      <w:pStyle w:val="Heading1"/>
      <w:lvlText w:val="%1."/>
      <w:lvlJc w:val="left"/>
      <w:pPr>
        <w:ind w:left="3870" w:hanging="360"/>
      </w:pPr>
      <w:rPr>
        <w:rFonts w:ascii="Cambria" w:eastAsia="Cambria" w:hAnsi="Cambria" w:cs="Cambria" w:hint="default"/>
        <w:b/>
        <w:bCs/>
        <w:spacing w:val="-1"/>
        <w:w w:val="99"/>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221FB"/>
    <w:multiLevelType w:val="hybridMultilevel"/>
    <w:tmpl w:val="D056F7E6"/>
    <w:lvl w:ilvl="0" w:tplc="04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6EC3D91"/>
    <w:multiLevelType w:val="hybridMultilevel"/>
    <w:tmpl w:val="52E8F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4B782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7F20B84"/>
    <w:multiLevelType w:val="hybridMultilevel"/>
    <w:tmpl w:val="1D300FE6"/>
    <w:lvl w:ilvl="0" w:tplc="41C0C6BC">
      <w:start w:val="1"/>
      <w:numFmt w:val="lowerLetter"/>
      <w:pStyle w:val="Heading4"/>
      <w:lvlText w:val="%1."/>
      <w:lvlJc w:val="left"/>
      <w:pPr>
        <w:ind w:left="720" w:hanging="360"/>
      </w:pPr>
      <w:rPr>
        <w:rFonts w:ascii="Cambria" w:hAnsi="Cambr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EEF1E20"/>
    <w:multiLevelType w:val="hybridMultilevel"/>
    <w:tmpl w:val="B4FCC4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850062"/>
    <w:multiLevelType w:val="multilevel"/>
    <w:tmpl w:val="8D6C042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13252E89"/>
    <w:multiLevelType w:val="multilevel"/>
    <w:tmpl w:val="8D6C0422"/>
    <w:lvl w:ilvl="0">
      <w:start w:val="1"/>
      <w:numFmt w:val="bullet"/>
      <w:lvlText w:val=""/>
      <w:lvlJc w:val="left"/>
      <w:pPr>
        <w:ind w:left="720" w:hanging="360"/>
      </w:pPr>
      <w:rPr>
        <w:rFonts w:ascii="Symbol" w:hAnsi="Symbol" w:hint="default"/>
        <w:b/>
        <w:sz w:val="2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13902BFE"/>
    <w:multiLevelType w:val="hybridMultilevel"/>
    <w:tmpl w:val="8C4A963A"/>
    <w:lvl w:ilvl="0" w:tplc="B9EAE4BE">
      <w:start w:val="1"/>
      <w:numFmt w:val="decimal"/>
      <w:lvlText w:val="%1."/>
      <w:lvlJc w:val="left"/>
      <w:pPr>
        <w:ind w:left="720" w:hanging="360"/>
      </w:pPr>
      <w:rPr>
        <w:rFonts w:hint="default"/>
        <w:b w:val="0"/>
        <w:bCs/>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7C4600"/>
    <w:multiLevelType w:val="multilevel"/>
    <w:tmpl w:val="4E8241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C1449A"/>
    <w:multiLevelType w:val="multilevel"/>
    <w:tmpl w:val="243A41D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1F8B42FC"/>
    <w:multiLevelType w:val="hybridMultilevel"/>
    <w:tmpl w:val="AFCCCE24"/>
    <w:lvl w:ilvl="0" w:tplc="BED4442A">
      <w:start w:val="1"/>
      <w:numFmt w:val="bullet"/>
      <w:lvlText w:val=""/>
      <w:lvlJc w:val="left"/>
      <w:pPr>
        <w:ind w:left="720" w:hanging="360"/>
      </w:pPr>
      <w:rPr>
        <w:rFonts w:ascii="Symbol" w:hAnsi="Symbol" w:cs="Symbol" w:hint="default"/>
        <w:vanish w:val="0"/>
      </w:rPr>
    </w:lvl>
    <w:lvl w:ilvl="1" w:tplc="4F142DAE">
      <w:start w:val="1"/>
      <w:numFmt w:val="bullet"/>
      <w:lvlText w:val="o"/>
      <w:lvlJc w:val="left"/>
      <w:pPr>
        <w:ind w:left="1440" w:hanging="360"/>
      </w:pPr>
      <w:rPr>
        <w:rFonts w:ascii="Courier New" w:hAnsi="Courier New" w:cs="Courier New" w:hint="default"/>
      </w:rPr>
    </w:lvl>
    <w:lvl w:ilvl="2" w:tplc="D4B4A2A2">
      <w:start w:val="1"/>
      <w:numFmt w:val="bullet"/>
      <w:lvlText w:val=""/>
      <w:lvlJc w:val="left"/>
      <w:pPr>
        <w:ind w:left="2160" w:hanging="360"/>
      </w:pPr>
      <w:rPr>
        <w:rFonts w:ascii="Wingdings" w:hAnsi="Wingdings" w:cs="Wingdings" w:hint="default"/>
      </w:rPr>
    </w:lvl>
    <w:lvl w:ilvl="3" w:tplc="A8DEF6A4">
      <w:start w:val="1"/>
      <w:numFmt w:val="bullet"/>
      <w:lvlText w:val=""/>
      <w:lvlJc w:val="left"/>
      <w:pPr>
        <w:ind w:left="2880" w:hanging="360"/>
      </w:pPr>
      <w:rPr>
        <w:rFonts w:ascii="Symbol" w:hAnsi="Symbol" w:cs="Symbol" w:hint="default"/>
      </w:rPr>
    </w:lvl>
    <w:lvl w:ilvl="4" w:tplc="8CEE298C">
      <w:start w:val="1"/>
      <w:numFmt w:val="bullet"/>
      <w:lvlText w:val="o"/>
      <w:lvlJc w:val="left"/>
      <w:pPr>
        <w:ind w:left="3600" w:hanging="360"/>
      </w:pPr>
      <w:rPr>
        <w:rFonts w:ascii="Courier New" w:hAnsi="Courier New" w:cs="Courier New" w:hint="default"/>
      </w:rPr>
    </w:lvl>
    <w:lvl w:ilvl="5" w:tplc="33B034C8">
      <w:start w:val="1"/>
      <w:numFmt w:val="bullet"/>
      <w:lvlText w:val=""/>
      <w:lvlJc w:val="left"/>
      <w:pPr>
        <w:ind w:left="4320" w:hanging="360"/>
      </w:pPr>
      <w:rPr>
        <w:rFonts w:ascii="Wingdings" w:hAnsi="Wingdings" w:cs="Wingdings" w:hint="default"/>
      </w:rPr>
    </w:lvl>
    <w:lvl w:ilvl="6" w:tplc="292011AE">
      <w:start w:val="1"/>
      <w:numFmt w:val="bullet"/>
      <w:lvlText w:val=""/>
      <w:lvlJc w:val="left"/>
      <w:pPr>
        <w:ind w:left="5040" w:hanging="360"/>
      </w:pPr>
      <w:rPr>
        <w:rFonts w:ascii="Symbol" w:hAnsi="Symbol" w:cs="Symbol" w:hint="default"/>
      </w:rPr>
    </w:lvl>
    <w:lvl w:ilvl="7" w:tplc="9C70E302">
      <w:start w:val="1"/>
      <w:numFmt w:val="bullet"/>
      <w:lvlText w:val="o"/>
      <w:lvlJc w:val="left"/>
      <w:pPr>
        <w:ind w:left="5760" w:hanging="360"/>
      </w:pPr>
      <w:rPr>
        <w:rFonts w:ascii="Courier New" w:hAnsi="Courier New" w:cs="Courier New" w:hint="default"/>
      </w:rPr>
    </w:lvl>
    <w:lvl w:ilvl="8" w:tplc="75CC877C">
      <w:start w:val="1"/>
      <w:numFmt w:val="bullet"/>
      <w:lvlText w:val=""/>
      <w:lvlJc w:val="left"/>
      <w:pPr>
        <w:ind w:left="6480" w:hanging="360"/>
      </w:pPr>
      <w:rPr>
        <w:rFonts w:ascii="Wingdings" w:hAnsi="Wingdings" w:cs="Wingdings" w:hint="default"/>
      </w:rPr>
    </w:lvl>
  </w:abstractNum>
  <w:abstractNum w:abstractNumId="13" w15:restartNumberingAfterBreak="0">
    <w:nsid w:val="22026A6A"/>
    <w:multiLevelType w:val="hybridMultilevel"/>
    <w:tmpl w:val="76621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64390E"/>
    <w:multiLevelType w:val="hybridMultilevel"/>
    <w:tmpl w:val="7750D872"/>
    <w:lvl w:ilvl="0" w:tplc="4198E410">
      <w:start w:val="4"/>
      <w:numFmt w:val="bullet"/>
      <w:pStyle w:val="Style1"/>
      <w:lvlText w:val="-"/>
      <w:lvlJc w:val="left"/>
      <w:pPr>
        <w:ind w:left="1080" w:hanging="360"/>
      </w:pPr>
      <w:rPr>
        <w:rFonts w:ascii="Cambria" w:eastAsia="Calibri"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2760603"/>
    <w:multiLevelType w:val="multilevel"/>
    <w:tmpl w:val="8D6C042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3A261375"/>
    <w:multiLevelType w:val="hybridMultilevel"/>
    <w:tmpl w:val="490E12D0"/>
    <w:lvl w:ilvl="0" w:tplc="6122A9B4">
      <w:start w:val="1"/>
      <w:numFmt w:val="bullet"/>
      <w:lvlText w:val=""/>
      <w:lvlJc w:val="left"/>
      <w:pPr>
        <w:ind w:left="720" w:hanging="360"/>
      </w:pPr>
      <w:rPr>
        <w:rFonts w:ascii="Symbol" w:hAnsi="Symbol"/>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6122A9B4">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DB20F4"/>
    <w:multiLevelType w:val="hybridMultilevel"/>
    <w:tmpl w:val="E3803678"/>
    <w:lvl w:ilvl="0" w:tplc="04090001">
      <w:start w:val="1"/>
      <w:numFmt w:val="bullet"/>
      <w:lvlText w:val=""/>
      <w:lvlJc w:val="left"/>
      <w:pPr>
        <w:ind w:left="7650" w:hanging="360"/>
      </w:pPr>
      <w:rPr>
        <w:rFonts w:ascii="Symbol" w:hAnsi="Symbol" w:hint="default"/>
        <w:b w:val="0"/>
        <w:color w:val="000000" w:themeColor="text1"/>
        <w:sz w:val="20"/>
        <w:lang w:val="es-MX"/>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2E8714E"/>
    <w:multiLevelType w:val="hybridMultilevel"/>
    <w:tmpl w:val="07906E00"/>
    <w:lvl w:ilvl="0" w:tplc="9550A3DA">
      <w:start w:val="1"/>
      <w:numFmt w:val="decimal"/>
      <w:pStyle w:val="Listainforme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44000A5"/>
    <w:multiLevelType w:val="hybridMultilevel"/>
    <w:tmpl w:val="1F5EA71C"/>
    <w:lvl w:ilvl="0" w:tplc="E2488184">
      <w:start w:val="1"/>
      <w:numFmt w:val="decimal"/>
      <w:pStyle w:val="ListParagraph"/>
      <w:lvlText w:val="%1."/>
      <w:lvlJc w:val="left"/>
      <w:pPr>
        <w:ind w:left="720" w:hanging="360"/>
      </w:pPr>
      <w:rPr>
        <w:b w:val="0"/>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FC691A"/>
    <w:multiLevelType w:val="hybridMultilevel"/>
    <w:tmpl w:val="C1FA4E20"/>
    <w:styleLink w:val="ImportedStyle2"/>
    <w:lvl w:ilvl="0" w:tplc="B618524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D2A3EC">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C28E46">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2E2BEE">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5C9B08">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8A8AA4">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FEECF8">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0CBA9A">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6DAB1B8">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47944272"/>
    <w:multiLevelType w:val="hybridMultilevel"/>
    <w:tmpl w:val="A938799C"/>
    <w:numStyleLink w:val="ImportedStyle1"/>
  </w:abstractNum>
  <w:abstractNum w:abstractNumId="22" w15:restartNumberingAfterBreak="0">
    <w:nsid w:val="4C077C97"/>
    <w:multiLevelType w:val="hybridMultilevel"/>
    <w:tmpl w:val="19F633BE"/>
    <w:lvl w:ilvl="0" w:tplc="774057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C826C7"/>
    <w:multiLevelType w:val="hybridMultilevel"/>
    <w:tmpl w:val="D55A957C"/>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4F442BB4"/>
    <w:multiLevelType w:val="hybridMultilevel"/>
    <w:tmpl w:val="A938799C"/>
    <w:styleLink w:val="ImportedStyle1"/>
    <w:lvl w:ilvl="0" w:tplc="B6FED794">
      <w:start w:val="1"/>
      <w:numFmt w:val="decimal"/>
      <w:pStyle w:val="paragraphs"/>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88A47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A2039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0E139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F96364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181A7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1A491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30296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3AE65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52055B92"/>
    <w:multiLevelType w:val="hybridMultilevel"/>
    <w:tmpl w:val="001C8D08"/>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988032C"/>
    <w:multiLevelType w:val="hybridMultilevel"/>
    <w:tmpl w:val="BCEEAF12"/>
    <w:lvl w:ilvl="0" w:tplc="113A3CA4">
      <w:start w:val="1"/>
      <w:numFmt w:val="lowerRoman"/>
      <w:pStyle w:val="Heading5"/>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B297CC4"/>
    <w:multiLevelType w:val="hybridMultilevel"/>
    <w:tmpl w:val="685C30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B98325C"/>
    <w:multiLevelType w:val="hybridMultilevel"/>
    <w:tmpl w:val="63C019FC"/>
    <w:styleLink w:val="ImportedStyle3"/>
    <w:lvl w:ilvl="0" w:tplc="2E40C7B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78AED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92CD3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8C6B31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0E12A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9646B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96D11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4B81FA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2CB0E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60D81AAD"/>
    <w:multiLevelType w:val="multilevel"/>
    <w:tmpl w:val="243A41D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61391E37"/>
    <w:multiLevelType w:val="hybridMultilevel"/>
    <w:tmpl w:val="AE9AC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EC262D"/>
    <w:multiLevelType w:val="hybridMultilevel"/>
    <w:tmpl w:val="54640BD2"/>
    <w:lvl w:ilvl="0" w:tplc="E5629166">
      <w:start w:val="1"/>
      <w:numFmt w:val="decimal"/>
      <w:lvlText w:val="%1."/>
      <w:lvlJc w:val="left"/>
      <w:pPr>
        <w:ind w:left="1440" w:hanging="360"/>
      </w:pPr>
      <w:rPr>
        <w:rFonts w:hint="default"/>
        <w:b w:val="0"/>
        <w:bCs/>
        <w:color w:val="auto"/>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90248D3"/>
    <w:multiLevelType w:val="hybridMultilevel"/>
    <w:tmpl w:val="B4B8A5E2"/>
    <w:lvl w:ilvl="0" w:tplc="9D542EC2">
      <w:start w:val="1"/>
      <w:numFmt w:val="decimal"/>
      <w:lvlText w:val="%1."/>
      <w:lvlJc w:val="left"/>
      <w:pPr>
        <w:tabs>
          <w:tab w:val="num" w:pos="720"/>
        </w:tabs>
        <w:ind w:left="0" w:firstLine="720"/>
      </w:pPr>
      <w:rPr>
        <w:rFonts w:cs="Times New Roman" w:hint="default"/>
        <w:b w:val="0"/>
        <w:i w:val="0"/>
        <w:sz w:val="20"/>
        <w:szCs w:val="20"/>
      </w:rPr>
    </w:lvl>
    <w:lvl w:ilvl="1" w:tplc="04090005">
      <w:start w:val="1"/>
      <w:numFmt w:val="bullet"/>
      <w:lvlText w:val=""/>
      <w:lvlJc w:val="left"/>
      <w:pPr>
        <w:tabs>
          <w:tab w:val="num" w:pos="1440"/>
        </w:tabs>
        <w:ind w:left="1440" w:hanging="360"/>
      </w:pPr>
      <w:rPr>
        <w:rFonts w:ascii="Wingdings" w:hAnsi="Wingdings" w:hint="default"/>
      </w:rPr>
    </w:lvl>
    <w:lvl w:ilvl="2" w:tplc="192AAA14">
      <w:start w:val="1"/>
      <w:numFmt w:val="decimal"/>
      <w:lvlText w:val="%3."/>
      <w:lvlJc w:val="left"/>
      <w:pPr>
        <w:tabs>
          <w:tab w:val="num" w:pos="810"/>
        </w:tabs>
        <w:ind w:left="90" w:firstLine="720"/>
      </w:pPr>
      <w:rPr>
        <w:rFonts w:ascii="Cambria" w:eastAsia="Calibri" w:hAnsi="Cambria" w:cs="Times New Roman"/>
        <w:b w:val="0"/>
        <w:i w:val="0"/>
        <w:sz w:val="20"/>
        <w:szCs w:val="20"/>
      </w:rPr>
    </w:lvl>
    <w:lvl w:ilvl="3" w:tplc="FA309624">
      <w:start w:val="1"/>
      <w:numFmt w:val="decimal"/>
      <w:lvlText w:val="%4."/>
      <w:lvlJc w:val="left"/>
      <w:pPr>
        <w:tabs>
          <w:tab w:val="num" w:pos="720"/>
        </w:tabs>
        <w:ind w:left="0" w:firstLine="720"/>
      </w:pPr>
      <w:rPr>
        <w:rFonts w:ascii="Univers" w:hAnsi="Univers" w:hint="default"/>
        <w:b w:val="0"/>
        <w:i w:val="0"/>
        <w:sz w:val="20"/>
        <w:szCs w:val="2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CA72134"/>
    <w:multiLevelType w:val="hybridMultilevel"/>
    <w:tmpl w:val="E30CD298"/>
    <w:lvl w:ilvl="0" w:tplc="04090001">
      <w:start w:val="1"/>
      <w:numFmt w:val="bullet"/>
      <w:lvlText w:val=""/>
      <w:lvlJc w:val="left"/>
      <w:pPr>
        <w:ind w:left="720" w:hanging="360"/>
      </w:pPr>
      <w:rPr>
        <w:rFonts w:ascii="Symbol" w:hAnsi="Symbol" w:hint="default"/>
        <w:b w:val="0"/>
        <w:lang w:val="es-MX"/>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FC52D55"/>
    <w:multiLevelType w:val="hybridMultilevel"/>
    <w:tmpl w:val="20108B8A"/>
    <w:lvl w:ilvl="0" w:tplc="C3508F0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45B0C7E"/>
    <w:multiLevelType w:val="hybridMultilevel"/>
    <w:tmpl w:val="96E8B8AC"/>
    <w:lvl w:ilvl="0" w:tplc="56E878E0">
      <w:start w:val="1"/>
      <w:numFmt w:val="decimal"/>
      <w:pStyle w:val="Heading3"/>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15:restartNumberingAfterBreak="0">
    <w:nsid w:val="7A167B1D"/>
    <w:multiLevelType w:val="hybridMultilevel"/>
    <w:tmpl w:val="D77EAA8C"/>
    <w:lvl w:ilvl="0" w:tplc="32869278">
      <w:start w:val="1"/>
      <w:numFmt w:val="decimal"/>
      <w:lvlText w:val="%1."/>
      <w:lvlJc w:val="left"/>
      <w:pPr>
        <w:ind w:left="720" w:hanging="360"/>
      </w:pPr>
      <w:rPr>
        <w:rFonts w:hint="default"/>
        <w:b w:val="0"/>
        <w:bCs/>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AF5642"/>
    <w:multiLevelType w:val="hybridMultilevel"/>
    <w:tmpl w:val="D778977A"/>
    <w:lvl w:ilvl="0" w:tplc="04090001">
      <w:start w:val="1"/>
      <w:numFmt w:val="bullet"/>
      <w:lvlText w:val=""/>
      <w:lvlJc w:val="left"/>
      <w:pPr>
        <w:ind w:left="8010" w:hanging="360"/>
      </w:pPr>
      <w:rPr>
        <w:rFonts w:ascii="Symbol" w:hAnsi="Symbol" w:hint="default"/>
      </w:rPr>
    </w:lvl>
    <w:lvl w:ilvl="1" w:tplc="04090003" w:tentative="1">
      <w:start w:val="1"/>
      <w:numFmt w:val="bullet"/>
      <w:lvlText w:val="o"/>
      <w:lvlJc w:val="left"/>
      <w:pPr>
        <w:ind w:left="8730" w:hanging="360"/>
      </w:pPr>
      <w:rPr>
        <w:rFonts w:ascii="Courier New" w:hAnsi="Courier New" w:cs="Courier New" w:hint="default"/>
      </w:rPr>
    </w:lvl>
    <w:lvl w:ilvl="2" w:tplc="04090005" w:tentative="1">
      <w:start w:val="1"/>
      <w:numFmt w:val="bullet"/>
      <w:lvlText w:val=""/>
      <w:lvlJc w:val="left"/>
      <w:pPr>
        <w:ind w:left="9450" w:hanging="360"/>
      </w:pPr>
      <w:rPr>
        <w:rFonts w:ascii="Wingdings" w:hAnsi="Wingdings" w:hint="default"/>
      </w:rPr>
    </w:lvl>
    <w:lvl w:ilvl="3" w:tplc="04090001" w:tentative="1">
      <w:start w:val="1"/>
      <w:numFmt w:val="bullet"/>
      <w:lvlText w:val=""/>
      <w:lvlJc w:val="left"/>
      <w:pPr>
        <w:ind w:left="10170" w:hanging="360"/>
      </w:pPr>
      <w:rPr>
        <w:rFonts w:ascii="Symbol" w:hAnsi="Symbol" w:hint="default"/>
      </w:rPr>
    </w:lvl>
    <w:lvl w:ilvl="4" w:tplc="04090003" w:tentative="1">
      <w:start w:val="1"/>
      <w:numFmt w:val="bullet"/>
      <w:lvlText w:val="o"/>
      <w:lvlJc w:val="left"/>
      <w:pPr>
        <w:ind w:left="10890" w:hanging="360"/>
      </w:pPr>
      <w:rPr>
        <w:rFonts w:ascii="Courier New" w:hAnsi="Courier New" w:cs="Courier New" w:hint="default"/>
      </w:rPr>
    </w:lvl>
    <w:lvl w:ilvl="5" w:tplc="04090005" w:tentative="1">
      <w:start w:val="1"/>
      <w:numFmt w:val="bullet"/>
      <w:lvlText w:val=""/>
      <w:lvlJc w:val="left"/>
      <w:pPr>
        <w:ind w:left="11610" w:hanging="360"/>
      </w:pPr>
      <w:rPr>
        <w:rFonts w:ascii="Wingdings" w:hAnsi="Wingdings" w:hint="default"/>
      </w:rPr>
    </w:lvl>
    <w:lvl w:ilvl="6" w:tplc="04090001" w:tentative="1">
      <w:start w:val="1"/>
      <w:numFmt w:val="bullet"/>
      <w:lvlText w:val=""/>
      <w:lvlJc w:val="left"/>
      <w:pPr>
        <w:ind w:left="12330" w:hanging="360"/>
      </w:pPr>
      <w:rPr>
        <w:rFonts w:ascii="Symbol" w:hAnsi="Symbol" w:hint="default"/>
      </w:rPr>
    </w:lvl>
    <w:lvl w:ilvl="7" w:tplc="04090003" w:tentative="1">
      <w:start w:val="1"/>
      <w:numFmt w:val="bullet"/>
      <w:lvlText w:val="o"/>
      <w:lvlJc w:val="left"/>
      <w:pPr>
        <w:ind w:left="13050" w:hanging="360"/>
      </w:pPr>
      <w:rPr>
        <w:rFonts w:ascii="Courier New" w:hAnsi="Courier New" w:cs="Courier New" w:hint="default"/>
      </w:rPr>
    </w:lvl>
    <w:lvl w:ilvl="8" w:tplc="04090005" w:tentative="1">
      <w:start w:val="1"/>
      <w:numFmt w:val="bullet"/>
      <w:lvlText w:val=""/>
      <w:lvlJc w:val="left"/>
      <w:pPr>
        <w:ind w:left="13770" w:hanging="360"/>
      </w:pPr>
      <w:rPr>
        <w:rFonts w:ascii="Wingdings" w:hAnsi="Wingdings" w:hint="default"/>
      </w:rPr>
    </w:lvl>
  </w:abstractNum>
  <w:abstractNum w:abstractNumId="38" w15:restartNumberingAfterBreak="0">
    <w:nsid w:val="7E891F8D"/>
    <w:multiLevelType w:val="multilevel"/>
    <w:tmpl w:val="BCEEAF12"/>
    <w:styleLink w:val="CurrentList1"/>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488014907">
    <w:abstractNumId w:val="19"/>
  </w:num>
  <w:num w:numId="2" w16cid:durableId="109614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89813295">
    <w:abstractNumId w:val="4"/>
  </w:num>
  <w:num w:numId="4" w16cid:durableId="1659503038">
    <w:abstractNumId w:val="8"/>
  </w:num>
  <w:num w:numId="5" w16cid:durableId="1466696086">
    <w:abstractNumId w:val="7"/>
  </w:num>
  <w:num w:numId="6" w16cid:durableId="459152626">
    <w:abstractNumId w:val="5"/>
  </w:num>
  <w:num w:numId="7" w16cid:durableId="1225413597">
    <w:abstractNumId w:val="26"/>
  </w:num>
  <w:num w:numId="8" w16cid:durableId="1859419362">
    <w:abstractNumId w:val="1"/>
  </w:num>
  <w:num w:numId="9" w16cid:durableId="217984783">
    <w:abstractNumId w:val="14"/>
  </w:num>
  <w:num w:numId="10" w16cid:durableId="1414938938">
    <w:abstractNumId w:val="2"/>
  </w:num>
  <w:num w:numId="11" w16cid:durableId="1340619867">
    <w:abstractNumId w:val="15"/>
  </w:num>
  <w:num w:numId="12" w16cid:durableId="845246914">
    <w:abstractNumId w:val="9"/>
  </w:num>
  <w:num w:numId="13" w16cid:durableId="958950486">
    <w:abstractNumId w:val="36"/>
  </w:num>
  <w:num w:numId="14" w16cid:durableId="1924028542">
    <w:abstractNumId w:val="31"/>
  </w:num>
  <w:num w:numId="15" w16cid:durableId="1846162672">
    <w:abstractNumId w:val="13"/>
  </w:num>
  <w:num w:numId="16" w16cid:durableId="1678262935">
    <w:abstractNumId w:val="16"/>
  </w:num>
  <w:num w:numId="17" w16cid:durableId="1633095729">
    <w:abstractNumId w:val="27"/>
  </w:num>
  <w:num w:numId="18" w16cid:durableId="1571038515">
    <w:abstractNumId w:val="32"/>
  </w:num>
  <w:num w:numId="19" w16cid:durableId="1437865031">
    <w:abstractNumId w:val="35"/>
  </w:num>
  <w:num w:numId="20" w16cid:durableId="784537612">
    <w:abstractNumId w:val="6"/>
  </w:num>
  <w:num w:numId="21" w16cid:durableId="2116754586">
    <w:abstractNumId w:val="3"/>
  </w:num>
  <w:num w:numId="22" w16cid:durableId="737018372">
    <w:abstractNumId w:val="30"/>
  </w:num>
  <w:num w:numId="23" w16cid:durableId="1655840480">
    <w:abstractNumId w:val="22"/>
  </w:num>
  <w:num w:numId="24" w16cid:durableId="9061141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49960809">
    <w:abstractNumId w:val="10"/>
  </w:num>
  <w:num w:numId="26" w16cid:durableId="1188064746">
    <w:abstractNumId w:val="33"/>
  </w:num>
  <w:num w:numId="27" w16cid:durableId="1883208173">
    <w:abstractNumId w:val="5"/>
    <w:lvlOverride w:ilvl="0">
      <w:startOverride w:val="1"/>
    </w:lvlOverride>
  </w:num>
  <w:num w:numId="28" w16cid:durableId="1644582902">
    <w:abstractNumId w:val="29"/>
  </w:num>
  <w:num w:numId="29" w16cid:durableId="1482848936">
    <w:abstractNumId w:val="11"/>
  </w:num>
  <w:num w:numId="30" w16cid:durableId="1093630816">
    <w:abstractNumId w:val="12"/>
  </w:num>
  <w:num w:numId="31" w16cid:durableId="395707430">
    <w:abstractNumId w:val="38"/>
  </w:num>
  <w:num w:numId="32" w16cid:durableId="184756189">
    <w:abstractNumId w:val="17"/>
  </w:num>
  <w:num w:numId="33" w16cid:durableId="975914394">
    <w:abstractNumId w:val="37"/>
  </w:num>
  <w:num w:numId="34" w16cid:durableId="2120641036">
    <w:abstractNumId w:val="0"/>
  </w:num>
  <w:num w:numId="35" w16cid:durableId="351803735">
    <w:abstractNumId w:val="35"/>
    <w:lvlOverride w:ilvl="0">
      <w:startOverride w:val="1"/>
    </w:lvlOverride>
  </w:num>
  <w:num w:numId="36" w16cid:durableId="1883135330">
    <w:abstractNumId w:val="5"/>
    <w:lvlOverride w:ilvl="0">
      <w:startOverride w:val="1"/>
    </w:lvlOverride>
  </w:num>
  <w:num w:numId="37" w16cid:durableId="2069718822">
    <w:abstractNumId w:val="35"/>
    <w:lvlOverride w:ilvl="0">
      <w:startOverride w:val="1"/>
    </w:lvlOverride>
  </w:num>
  <w:num w:numId="38" w16cid:durableId="463232432">
    <w:abstractNumId w:val="24"/>
  </w:num>
  <w:num w:numId="39" w16cid:durableId="757141611">
    <w:abstractNumId w:val="21"/>
    <w:lvlOverride w:ilvl="0">
      <w:lvl w:ilvl="0" w:tplc="E44480FC">
        <w:start w:val="1"/>
        <w:numFmt w:val="decimal"/>
        <w:pStyle w:val="paragraphs"/>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40" w16cid:durableId="1826242406">
    <w:abstractNumId w:val="20"/>
  </w:num>
  <w:num w:numId="41" w16cid:durableId="92095415">
    <w:abstractNumId w:val="28"/>
  </w:num>
  <w:num w:numId="42" w16cid:durableId="270017483">
    <w:abstractNumId w:val="23"/>
  </w:num>
  <w:num w:numId="43" w16cid:durableId="767702439">
    <w:abstractNumId w:val="35"/>
    <w:lvlOverride w:ilvl="0">
      <w:startOverride w:val="1"/>
    </w:lvlOverride>
  </w:num>
  <w:num w:numId="44" w16cid:durableId="595213267">
    <w:abstractNumId w:val="34"/>
  </w:num>
  <w:num w:numId="45" w16cid:durableId="525103237">
    <w:abstractNumId w:val="35"/>
    <w:lvlOverride w:ilvl="0">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90D5FB9F-1350-48C5-B4DA-7F1CD1D2F788}"/>
    <w:docVar w:name="dgnword-eventsink" w:val="1451555812128"/>
  </w:docVars>
  <w:rsids>
    <w:rsidRoot w:val="00025891"/>
    <w:rsid w:val="0000055A"/>
    <w:rsid w:val="00000BF8"/>
    <w:rsid w:val="00005144"/>
    <w:rsid w:val="00005755"/>
    <w:rsid w:val="000154CC"/>
    <w:rsid w:val="00025891"/>
    <w:rsid w:val="0003552D"/>
    <w:rsid w:val="00051245"/>
    <w:rsid w:val="000567B8"/>
    <w:rsid w:val="0005786C"/>
    <w:rsid w:val="00061141"/>
    <w:rsid w:val="00062BDE"/>
    <w:rsid w:val="0007644D"/>
    <w:rsid w:val="0009324C"/>
    <w:rsid w:val="00093F62"/>
    <w:rsid w:val="00095350"/>
    <w:rsid w:val="000A0FBD"/>
    <w:rsid w:val="000A2228"/>
    <w:rsid w:val="000A2CF2"/>
    <w:rsid w:val="000B0951"/>
    <w:rsid w:val="000B097B"/>
    <w:rsid w:val="000B273D"/>
    <w:rsid w:val="000B5747"/>
    <w:rsid w:val="000C483C"/>
    <w:rsid w:val="000F0FB1"/>
    <w:rsid w:val="00101292"/>
    <w:rsid w:val="001100AF"/>
    <w:rsid w:val="0011498A"/>
    <w:rsid w:val="00117F86"/>
    <w:rsid w:val="001332F8"/>
    <w:rsid w:val="00140E6F"/>
    <w:rsid w:val="001414BE"/>
    <w:rsid w:val="00142ED7"/>
    <w:rsid w:val="00143FFA"/>
    <w:rsid w:val="00151B15"/>
    <w:rsid w:val="00156B3E"/>
    <w:rsid w:val="00164510"/>
    <w:rsid w:val="00192E0A"/>
    <w:rsid w:val="00194947"/>
    <w:rsid w:val="001A1AB3"/>
    <w:rsid w:val="001A4B0D"/>
    <w:rsid w:val="001A66CA"/>
    <w:rsid w:val="001A680E"/>
    <w:rsid w:val="001B3575"/>
    <w:rsid w:val="001B4270"/>
    <w:rsid w:val="001B79BA"/>
    <w:rsid w:val="001C19CE"/>
    <w:rsid w:val="001D3A5D"/>
    <w:rsid w:val="001D3D3C"/>
    <w:rsid w:val="001D3F00"/>
    <w:rsid w:val="001D630D"/>
    <w:rsid w:val="001D69FC"/>
    <w:rsid w:val="001E041E"/>
    <w:rsid w:val="001E360E"/>
    <w:rsid w:val="0021463F"/>
    <w:rsid w:val="002170D9"/>
    <w:rsid w:val="002333BB"/>
    <w:rsid w:val="00240B93"/>
    <w:rsid w:val="002472FE"/>
    <w:rsid w:val="00252C2D"/>
    <w:rsid w:val="002645C5"/>
    <w:rsid w:val="002826C4"/>
    <w:rsid w:val="002833D2"/>
    <w:rsid w:val="00285D1B"/>
    <w:rsid w:val="00292505"/>
    <w:rsid w:val="002B0ECE"/>
    <w:rsid w:val="002B26A4"/>
    <w:rsid w:val="002B4C78"/>
    <w:rsid w:val="002C2812"/>
    <w:rsid w:val="002D21EF"/>
    <w:rsid w:val="002D2A24"/>
    <w:rsid w:val="002E1671"/>
    <w:rsid w:val="002F186F"/>
    <w:rsid w:val="00302253"/>
    <w:rsid w:val="0030565E"/>
    <w:rsid w:val="003103B2"/>
    <w:rsid w:val="00324C1F"/>
    <w:rsid w:val="00325711"/>
    <w:rsid w:val="003366DE"/>
    <w:rsid w:val="00336830"/>
    <w:rsid w:val="00352990"/>
    <w:rsid w:val="00362902"/>
    <w:rsid w:val="00363DD1"/>
    <w:rsid w:val="00375762"/>
    <w:rsid w:val="00377058"/>
    <w:rsid w:val="0039069A"/>
    <w:rsid w:val="003A1E98"/>
    <w:rsid w:val="003B66A7"/>
    <w:rsid w:val="003C1F15"/>
    <w:rsid w:val="003D0A25"/>
    <w:rsid w:val="003D0B33"/>
    <w:rsid w:val="003D171B"/>
    <w:rsid w:val="003D5A0F"/>
    <w:rsid w:val="003D60AF"/>
    <w:rsid w:val="003D7B27"/>
    <w:rsid w:val="003D7F60"/>
    <w:rsid w:val="003F0F5B"/>
    <w:rsid w:val="003F238D"/>
    <w:rsid w:val="00411498"/>
    <w:rsid w:val="004117A0"/>
    <w:rsid w:val="004240AF"/>
    <w:rsid w:val="00434E1D"/>
    <w:rsid w:val="00444150"/>
    <w:rsid w:val="0044478F"/>
    <w:rsid w:val="004559E9"/>
    <w:rsid w:val="0048555E"/>
    <w:rsid w:val="004B76D9"/>
    <w:rsid w:val="004C47D5"/>
    <w:rsid w:val="004D0F77"/>
    <w:rsid w:val="004D14F8"/>
    <w:rsid w:val="004D4F2E"/>
    <w:rsid w:val="004D6735"/>
    <w:rsid w:val="004E0E7E"/>
    <w:rsid w:val="004F6572"/>
    <w:rsid w:val="004F67C2"/>
    <w:rsid w:val="00507C2D"/>
    <w:rsid w:val="00510456"/>
    <w:rsid w:val="00511128"/>
    <w:rsid w:val="005161AE"/>
    <w:rsid w:val="00524435"/>
    <w:rsid w:val="0052455B"/>
    <w:rsid w:val="005379E9"/>
    <w:rsid w:val="00547F83"/>
    <w:rsid w:val="00552E7D"/>
    <w:rsid w:val="005631B4"/>
    <w:rsid w:val="0057284E"/>
    <w:rsid w:val="00573C8C"/>
    <w:rsid w:val="00577181"/>
    <w:rsid w:val="00581316"/>
    <w:rsid w:val="00586098"/>
    <w:rsid w:val="005860F4"/>
    <w:rsid w:val="0059075C"/>
    <w:rsid w:val="005938DF"/>
    <w:rsid w:val="00594DE8"/>
    <w:rsid w:val="005A0E7D"/>
    <w:rsid w:val="005A67DD"/>
    <w:rsid w:val="005C2A7B"/>
    <w:rsid w:val="005C4EF7"/>
    <w:rsid w:val="005D7B8A"/>
    <w:rsid w:val="005E1EF7"/>
    <w:rsid w:val="005F227B"/>
    <w:rsid w:val="00622342"/>
    <w:rsid w:val="00623009"/>
    <w:rsid w:val="00623DB8"/>
    <w:rsid w:val="00631E97"/>
    <w:rsid w:val="006425A6"/>
    <w:rsid w:val="00654049"/>
    <w:rsid w:val="00655B94"/>
    <w:rsid w:val="00657C09"/>
    <w:rsid w:val="0067161C"/>
    <w:rsid w:val="00677907"/>
    <w:rsid w:val="00686501"/>
    <w:rsid w:val="006935A4"/>
    <w:rsid w:val="00697889"/>
    <w:rsid w:val="006A03BE"/>
    <w:rsid w:val="006A4F87"/>
    <w:rsid w:val="006B11EC"/>
    <w:rsid w:val="006B2FB7"/>
    <w:rsid w:val="006B7403"/>
    <w:rsid w:val="006C496D"/>
    <w:rsid w:val="006C5AA2"/>
    <w:rsid w:val="006D3896"/>
    <w:rsid w:val="006D5B45"/>
    <w:rsid w:val="006D5F49"/>
    <w:rsid w:val="006E5C42"/>
    <w:rsid w:val="006E6CA8"/>
    <w:rsid w:val="006F208A"/>
    <w:rsid w:val="006F60CA"/>
    <w:rsid w:val="00700248"/>
    <w:rsid w:val="007048FF"/>
    <w:rsid w:val="00705B89"/>
    <w:rsid w:val="00716232"/>
    <w:rsid w:val="007349BE"/>
    <w:rsid w:val="007425A1"/>
    <w:rsid w:val="00750A3C"/>
    <w:rsid w:val="0075226B"/>
    <w:rsid w:val="007558F0"/>
    <w:rsid w:val="0075788E"/>
    <w:rsid w:val="00761314"/>
    <w:rsid w:val="0076289F"/>
    <w:rsid w:val="00772E07"/>
    <w:rsid w:val="0078552E"/>
    <w:rsid w:val="00796A41"/>
    <w:rsid w:val="007A5442"/>
    <w:rsid w:val="007A5976"/>
    <w:rsid w:val="007E1D7F"/>
    <w:rsid w:val="007E31E3"/>
    <w:rsid w:val="007E4DFF"/>
    <w:rsid w:val="007E50D9"/>
    <w:rsid w:val="007F056F"/>
    <w:rsid w:val="008017FC"/>
    <w:rsid w:val="00801EE8"/>
    <w:rsid w:val="0080453B"/>
    <w:rsid w:val="00815730"/>
    <w:rsid w:val="00823CFB"/>
    <w:rsid w:val="00826FA4"/>
    <w:rsid w:val="0084187A"/>
    <w:rsid w:val="00842401"/>
    <w:rsid w:val="008449D1"/>
    <w:rsid w:val="00844CA7"/>
    <w:rsid w:val="008512C5"/>
    <w:rsid w:val="00855C51"/>
    <w:rsid w:val="00860B47"/>
    <w:rsid w:val="00861644"/>
    <w:rsid w:val="00870BCF"/>
    <w:rsid w:val="008906C6"/>
    <w:rsid w:val="008B0732"/>
    <w:rsid w:val="008B0DB5"/>
    <w:rsid w:val="008C5D1E"/>
    <w:rsid w:val="008C6349"/>
    <w:rsid w:val="008D2AC7"/>
    <w:rsid w:val="008D45E3"/>
    <w:rsid w:val="008F6252"/>
    <w:rsid w:val="00903C91"/>
    <w:rsid w:val="009203DC"/>
    <w:rsid w:val="00922DF3"/>
    <w:rsid w:val="009242CD"/>
    <w:rsid w:val="00927726"/>
    <w:rsid w:val="00940386"/>
    <w:rsid w:val="00943D31"/>
    <w:rsid w:val="009466D3"/>
    <w:rsid w:val="009650A3"/>
    <w:rsid w:val="0097256D"/>
    <w:rsid w:val="0097599C"/>
    <w:rsid w:val="00977CC8"/>
    <w:rsid w:val="009810F1"/>
    <w:rsid w:val="00984FC2"/>
    <w:rsid w:val="0098797C"/>
    <w:rsid w:val="00991B24"/>
    <w:rsid w:val="00995E5D"/>
    <w:rsid w:val="009A5226"/>
    <w:rsid w:val="009A5EE3"/>
    <w:rsid w:val="009B1FC6"/>
    <w:rsid w:val="009B5F71"/>
    <w:rsid w:val="009C314A"/>
    <w:rsid w:val="009D2D9F"/>
    <w:rsid w:val="009D35D6"/>
    <w:rsid w:val="009D687A"/>
    <w:rsid w:val="009D6EEE"/>
    <w:rsid w:val="009F0002"/>
    <w:rsid w:val="009F0BE5"/>
    <w:rsid w:val="00A004CC"/>
    <w:rsid w:val="00A401DC"/>
    <w:rsid w:val="00A44E69"/>
    <w:rsid w:val="00A507DD"/>
    <w:rsid w:val="00A54337"/>
    <w:rsid w:val="00A679BB"/>
    <w:rsid w:val="00A77E75"/>
    <w:rsid w:val="00A83F96"/>
    <w:rsid w:val="00A84DBA"/>
    <w:rsid w:val="00A87D27"/>
    <w:rsid w:val="00A966FA"/>
    <w:rsid w:val="00AB74F7"/>
    <w:rsid w:val="00AC2E60"/>
    <w:rsid w:val="00AD2D39"/>
    <w:rsid w:val="00AD4DC8"/>
    <w:rsid w:val="00AD7FB7"/>
    <w:rsid w:val="00AF05BA"/>
    <w:rsid w:val="00AF62AE"/>
    <w:rsid w:val="00B01E5F"/>
    <w:rsid w:val="00B03A24"/>
    <w:rsid w:val="00B05646"/>
    <w:rsid w:val="00B06D7F"/>
    <w:rsid w:val="00B07952"/>
    <w:rsid w:val="00B16ECB"/>
    <w:rsid w:val="00B27BDA"/>
    <w:rsid w:val="00B27D9F"/>
    <w:rsid w:val="00B3497C"/>
    <w:rsid w:val="00B45E3E"/>
    <w:rsid w:val="00B50DC9"/>
    <w:rsid w:val="00B5755A"/>
    <w:rsid w:val="00B708A9"/>
    <w:rsid w:val="00B80F9E"/>
    <w:rsid w:val="00B817E3"/>
    <w:rsid w:val="00B924D1"/>
    <w:rsid w:val="00B9743E"/>
    <w:rsid w:val="00BB3C79"/>
    <w:rsid w:val="00BB4595"/>
    <w:rsid w:val="00BD1A2C"/>
    <w:rsid w:val="00BD28FF"/>
    <w:rsid w:val="00BE4992"/>
    <w:rsid w:val="00BE5158"/>
    <w:rsid w:val="00BE5527"/>
    <w:rsid w:val="00BF363B"/>
    <w:rsid w:val="00C024EA"/>
    <w:rsid w:val="00C04C14"/>
    <w:rsid w:val="00C056BD"/>
    <w:rsid w:val="00C206D1"/>
    <w:rsid w:val="00C41D01"/>
    <w:rsid w:val="00C4245D"/>
    <w:rsid w:val="00C45FB3"/>
    <w:rsid w:val="00C50812"/>
    <w:rsid w:val="00C71452"/>
    <w:rsid w:val="00CA1B5A"/>
    <w:rsid w:val="00CA2177"/>
    <w:rsid w:val="00CB4C8F"/>
    <w:rsid w:val="00CC1D0A"/>
    <w:rsid w:val="00CC3C4F"/>
    <w:rsid w:val="00CC4DC3"/>
    <w:rsid w:val="00CC53A4"/>
    <w:rsid w:val="00CC5C71"/>
    <w:rsid w:val="00CC7D05"/>
    <w:rsid w:val="00CD4DE3"/>
    <w:rsid w:val="00CD60D3"/>
    <w:rsid w:val="00CD6966"/>
    <w:rsid w:val="00CF2CA7"/>
    <w:rsid w:val="00D009B8"/>
    <w:rsid w:val="00D03487"/>
    <w:rsid w:val="00D06318"/>
    <w:rsid w:val="00D14D6E"/>
    <w:rsid w:val="00D22A14"/>
    <w:rsid w:val="00D300E5"/>
    <w:rsid w:val="00D376F6"/>
    <w:rsid w:val="00D455C2"/>
    <w:rsid w:val="00D55667"/>
    <w:rsid w:val="00D65D5C"/>
    <w:rsid w:val="00D94679"/>
    <w:rsid w:val="00DA042D"/>
    <w:rsid w:val="00DA35C1"/>
    <w:rsid w:val="00DA4C9F"/>
    <w:rsid w:val="00DA625C"/>
    <w:rsid w:val="00DB4690"/>
    <w:rsid w:val="00DD7577"/>
    <w:rsid w:val="00DF0CD0"/>
    <w:rsid w:val="00DF48DE"/>
    <w:rsid w:val="00DF6A17"/>
    <w:rsid w:val="00E0413A"/>
    <w:rsid w:val="00E1597F"/>
    <w:rsid w:val="00E17087"/>
    <w:rsid w:val="00E24792"/>
    <w:rsid w:val="00E42B49"/>
    <w:rsid w:val="00E46605"/>
    <w:rsid w:val="00E54173"/>
    <w:rsid w:val="00E60024"/>
    <w:rsid w:val="00E73FE3"/>
    <w:rsid w:val="00E77E9E"/>
    <w:rsid w:val="00E82663"/>
    <w:rsid w:val="00E84DDE"/>
    <w:rsid w:val="00E870BE"/>
    <w:rsid w:val="00E87D44"/>
    <w:rsid w:val="00E91023"/>
    <w:rsid w:val="00E9540A"/>
    <w:rsid w:val="00E96BFB"/>
    <w:rsid w:val="00EB15F6"/>
    <w:rsid w:val="00EC045B"/>
    <w:rsid w:val="00EC4555"/>
    <w:rsid w:val="00EC602B"/>
    <w:rsid w:val="00EE2E94"/>
    <w:rsid w:val="00EE5211"/>
    <w:rsid w:val="00F0077A"/>
    <w:rsid w:val="00F05A61"/>
    <w:rsid w:val="00F07666"/>
    <w:rsid w:val="00F16F09"/>
    <w:rsid w:val="00F275B0"/>
    <w:rsid w:val="00F31CA9"/>
    <w:rsid w:val="00F37A6D"/>
    <w:rsid w:val="00F42CA9"/>
    <w:rsid w:val="00F549CA"/>
    <w:rsid w:val="00F60EEE"/>
    <w:rsid w:val="00F6188D"/>
    <w:rsid w:val="00F64A07"/>
    <w:rsid w:val="00F70FBB"/>
    <w:rsid w:val="00F756FC"/>
    <w:rsid w:val="00F946F5"/>
    <w:rsid w:val="00F96262"/>
    <w:rsid w:val="00FA2B6A"/>
    <w:rsid w:val="00FA77AD"/>
    <w:rsid w:val="00FB1730"/>
    <w:rsid w:val="00FB6290"/>
    <w:rsid w:val="00FC552D"/>
    <w:rsid w:val="00FD1780"/>
    <w:rsid w:val="00FD565E"/>
    <w:rsid w:val="00FE5AD6"/>
    <w:rsid w:val="00FE76BD"/>
    <w:rsid w:val="00FF1A5C"/>
    <w:rsid w:val="00FF59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BB97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lsdException w:name="Medium Shading 1" w:uiPriority="63"/>
    <w:lsdException w:name="Medium Shading 2" w:uiPriority="64"/>
    <w:lsdException w:name="Medium List 1" w:uiPriority="65"/>
    <w:lsdException w:name="Medium List 2" w:uiPriority="66"/>
    <w:lsdException w:name="Medium Grid 1" w:uiPriority="67"/>
    <w:lsdException w:name="Medium Grid 2"/>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8C6349"/>
    <w:pPr>
      <w:numPr>
        <w:numId w:val="8"/>
      </w:numPr>
      <w:ind w:left="1440" w:hanging="720"/>
      <w:outlineLvl w:val="0"/>
    </w:pPr>
    <w:rPr>
      <w:rFonts w:eastAsia="Yu Gothic Light"/>
      <w:b/>
      <w:sz w:val="22"/>
    </w:rPr>
  </w:style>
  <w:style w:type="paragraph" w:styleId="Heading2">
    <w:name w:val="heading 2"/>
    <w:basedOn w:val="ListParagraph"/>
    <w:next w:val="Normal"/>
    <w:link w:val="Heading2Char"/>
    <w:uiPriority w:val="9"/>
    <w:unhideWhenUsed/>
    <w:qFormat/>
    <w:rsid w:val="00B924D1"/>
    <w:pPr>
      <w:numPr>
        <w:numId w:val="0"/>
      </w:numPr>
      <w:outlineLvl w:val="1"/>
    </w:pPr>
    <w:rPr>
      <w:rFonts w:cs="Times New Roman"/>
      <w:b/>
      <w:sz w:val="22"/>
    </w:rPr>
  </w:style>
  <w:style w:type="paragraph" w:styleId="Heading3">
    <w:name w:val="heading 3"/>
    <w:basedOn w:val="Normal"/>
    <w:next w:val="Normal"/>
    <w:link w:val="Heading3Char"/>
    <w:uiPriority w:val="9"/>
    <w:unhideWhenUsed/>
    <w:qFormat/>
    <w:rsid w:val="00E82663"/>
    <w:pPr>
      <w:numPr>
        <w:numId w:val="19"/>
      </w:numPr>
      <w:spacing w:after="240" w:line="240" w:lineRule="auto"/>
      <w:ind w:left="1440" w:hanging="720"/>
      <w:jc w:val="both"/>
      <w:outlineLvl w:val="2"/>
    </w:pPr>
    <w:rPr>
      <w:rFonts w:ascii="Cambria" w:hAnsi="Cambria"/>
      <w:b/>
      <w:szCs w:val="24"/>
    </w:rPr>
  </w:style>
  <w:style w:type="paragraph" w:styleId="Heading4">
    <w:name w:val="heading 4"/>
    <w:basedOn w:val="Normal"/>
    <w:next w:val="Normal"/>
    <w:link w:val="Heading4Char"/>
    <w:uiPriority w:val="99"/>
    <w:unhideWhenUsed/>
    <w:qFormat/>
    <w:rsid w:val="00A966FA"/>
    <w:pPr>
      <w:numPr>
        <w:numId w:val="6"/>
      </w:numPr>
      <w:pBdr>
        <w:top w:val="nil"/>
        <w:left w:val="nil"/>
        <w:bottom w:val="nil"/>
        <w:right w:val="nil"/>
        <w:between w:val="nil"/>
        <w:bar w:val="nil"/>
      </w:pBdr>
      <w:spacing w:after="240" w:line="240" w:lineRule="auto"/>
      <w:ind w:left="1440" w:hanging="720"/>
      <w:jc w:val="both"/>
      <w:outlineLvl w:val="3"/>
    </w:pPr>
    <w:rPr>
      <w:rFonts w:ascii="Cambria" w:eastAsia="Yu Gothic Light" w:hAnsi="Cambria" w:cs="Times New Roman"/>
      <w:b/>
      <w:iCs/>
      <w:sz w:val="20"/>
    </w:rPr>
  </w:style>
  <w:style w:type="paragraph" w:styleId="Heading5">
    <w:name w:val="heading 5"/>
    <w:basedOn w:val="Normal"/>
    <w:next w:val="Normal"/>
    <w:link w:val="Heading5Char"/>
    <w:uiPriority w:val="99"/>
    <w:unhideWhenUsed/>
    <w:qFormat/>
    <w:rsid w:val="008906C6"/>
    <w:pPr>
      <w:numPr>
        <w:numId w:val="7"/>
      </w:numPr>
      <w:autoSpaceDE w:val="0"/>
      <w:autoSpaceDN w:val="0"/>
      <w:adjustRightInd w:val="0"/>
      <w:spacing w:after="0" w:line="240" w:lineRule="auto"/>
      <w:jc w:val="both"/>
      <w:outlineLvl w:val="4"/>
    </w:pPr>
    <w:rPr>
      <w:rFonts w:ascii="Cambria" w:eastAsia="Calibri" w:hAnsi="Cambria"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A Fu,Footnote Text Char Char Char Char Char,Footnote Text Char Char Char Char,Footnote reference,Footnote Text Char Char Char,Texto nota pie [MM],FA Fußnotentext,FA Fuﬂnotentext,ft,texto de nota al pie, Car1,Ca,fn,Car1,C,single space"/>
    <w:basedOn w:val="Normal"/>
    <w:link w:val="FootnoteTextChar"/>
    <w:unhideWhenUsed/>
    <w:qFormat/>
    <w:rsid w:val="00025891"/>
    <w:pPr>
      <w:spacing w:after="0" w:line="240" w:lineRule="auto"/>
    </w:pPr>
    <w:rPr>
      <w:sz w:val="20"/>
      <w:szCs w:val="20"/>
    </w:rPr>
  </w:style>
  <w:style w:type="character" w:customStyle="1" w:styleId="FootnoteTextChar">
    <w:name w:val="Footnote Text Char"/>
    <w:aliases w:val="FA Fu Char,Footnote Text Char Char Char Char Char Char,Footnote Text Char Char Char Char Char1,Footnote reference Char,Footnote Text Char Char Char Char1,Texto nota pie [MM] Char,FA Fußnotentext Char,FA Fuﬂnotentext Char,ft Char"/>
    <w:basedOn w:val="DefaultParagraphFont"/>
    <w:link w:val="FootnoteText"/>
    <w:qFormat/>
    <w:rsid w:val="00025891"/>
    <w:rPr>
      <w:sz w:val="20"/>
      <w:szCs w:val="20"/>
    </w:rPr>
  </w:style>
  <w:style w:type="character" w:styleId="FootnoteReference">
    <w:name w:val="footnote reference"/>
    <w:aliases w:val="4_G,Texto de nota al pie,Appel note de bas de page,Footnote number,Footnotes refss,referencia nota al pie,BVI fnr,f,Ref,de nota al pie,normal,16 Point,Superscript 6 Point,Texto nota al pie,Footnote Reference Char3,Ref. de nota al,4,Re"/>
    <w:link w:val="Refdenotaalpie"/>
    <w:uiPriority w:val="99"/>
    <w:unhideWhenUsed/>
    <w:qFormat/>
    <w:rsid w:val="00025891"/>
    <w:rPr>
      <w:vertAlign w:val="superscript"/>
    </w:rPr>
  </w:style>
  <w:style w:type="paragraph" w:customStyle="1" w:styleId="Refdenotaalpie">
    <w:name w:val="Ref. de nota al pie."/>
    <w:aliases w:val="Footnote symbol,Footnote,Ref. de nota al pi,f1"/>
    <w:basedOn w:val="Normal"/>
    <w:link w:val="FootnoteReference"/>
    <w:rsid w:val="00025891"/>
    <w:pPr>
      <w:spacing w:before="200" w:line="240" w:lineRule="exact"/>
    </w:pPr>
    <w:rPr>
      <w:vertAlign w:val="superscript"/>
    </w:rPr>
  </w:style>
  <w:style w:type="paragraph" w:styleId="ListParagraph">
    <w:name w:val="List Paragraph"/>
    <w:aliases w:val="List,Parragrap,Superíndice,Dot pt,No Spacing1,List Paragraph Char Char Char,Indicator Text,List Paragraph1,Numbered Para 1,4 Párrafo de lista,Figuras,DH1,4 Párrafo de l,Colorful List - Accent 11,Bullet 1,F5 List Paragraph,Ha,Bullet Points"/>
    <w:basedOn w:val="Normal"/>
    <w:link w:val="ListParagraphChar"/>
    <w:qFormat/>
    <w:rsid w:val="009242CD"/>
    <w:pPr>
      <w:numPr>
        <w:numId w:val="1"/>
      </w:numPr>
      <w:autoSpaceDE w:val="0"/>
      <w:autoSpaceDN w:val="0"/>
      <w:adjustRightInd w:val="0"/>
      <w:spacing w:after="240" w:line="240" w:lineRule="auto"/>
      <w:ind w:left="0" w:firstLine="720"/>
      <w:jc w:val="both"/>
    </w:pPr>
    <w:rPr>
      <w:rFonts w:ascii="Cambria" w:eastAsia="Calibri" w:hAnsi="Cambria" w:cs="Calibri"/>
      <w:sz w:val="20"/>
      <w:szCs w:val="20"/>
    </w:rPr>
  </w:style>
  <w:style w:type="character" w:customStyle="1" w:styleId="ListParagraphChar">
    <w:name w:val="List Paragraph Char"/>
    <w:aliases w:val="List Char1,Parragrap Char,Superíndice Char,Dot pt Char1,No Spacing1 Char1,List Paragraph Char Char Char Char,Indicator Text Char,List Paragraph1 Char1,Numbered Para 1 Char,4 Párrafo de lista Char,Figuras Char,DH1 Char,Bullet 1 Char"/>
    <w:link w:val="ListParagraph"/>
    <w:qFormat/>
    <w:locked/>
    <w:rsid w:val="009242CD"/>
    <w:rPr>
      <w:rFonts w:ascii="Cambria" w:eastAsia="Calibri" w:hAnsi="Cambria" w:cs="Calibri"/>
      <w:sz w:val="20"/>
      <w:szCs w:val="20"/>
    </w:rPr>
  </w:style>
  <w:style w:type="character" w:customStyle="1" w:styleId="Heading1Char">
    <w:name w:val="Heading 1 Char"/>
    <w:basedOn w:val="DefaultParagraphFont"/>
    <w:link w:val="Heading1"/>
    <w:uiPriority w:val="9"/>
    <w:rsid w:val="008C6349"/>
    <w:rPr>
      <w:rFonts w:ascii="Cambria" w:eastAsia="Yu Gothic Light" w:hAnsi="Cambria" w:cs="Calibri"/>
      <w:b/>
      <w:szCs w:val="20"/>
    </w:rPr>
  </w:style>
  <w:style w:type="character" w:customStyle="1" w:styleId="Heading2Char">
    <w:name w:val="Heading 2 Char"/>
    <w:basedOn w:val="DefaultParagraphFont"/>
    <w:link w:val="Heading2"/>
    <w:uiPriority w:val="9"/>
    <w:rsid w:val="00B924D1"/>
    <w:rPr>
      <w:rFonts w:ascii="Cambria" w:eastAsia="Calibri" w:hAnsi="Cambria" w:cs="Times New Roman"/>
      <w:b/>
      <w:szCs w:val="20"/>
      <w:lang w:val="en-US"/>
    </w:rPr>
  </w:style>
  <w:style w:type="character" w:customStyle="1" w:styleId="Heading3Char">
    <w:name w:val="Heading 3 Char"/>
    <w:basedOn w:val="DefaultParagraphFont"/>
    <w:link w:val="Heading3"/>
    <w:uiPriority w:val="9"/>
    <w:rsid w:val="00E82663"/>
    <w:rPr>
      <w:rFonts w:ascii="Cambria" w:hAnsi="Cambria"/>
      <w:b/>
      <w:szCs w:val="24"/>
    </w:rPr>
  </w:style>
  <w:style w:type="character" w:customStyle="1" w:styleId="Heading4Char">
    <w:name w:val="Heading 4 Char"/>
    <w:basedOn w:val="DefaultParagraphFont"/>
    <w:link w:val="Heading4"/>
    <w:uiPriority w:val="99"/>
    <w:rsid w:val="00A966FA"/>
    <w:rPr>
      <w:rFonts w:ascii="Cambria" w:eastAsia="Yu Gothic Light" w:hAnsi="Cambria" w:cs="Times New Roman"/>
      <w:b/>
      <w:iCs/>
      <w:sz w:val="20"/>
    </w:rPr>
  </w:style>
  <w:style w:type="character" w:customStyle="1" w:styleId="Heading5Char">
    <w:name w:val="Heading 5 Char"/>
    <w:basedOn w:val="DefaultParagraphFont"/>
    <w:link w:val="Heading5"/>
    <w:uiPriority w:val="99"/>
    <w:rsid w:val="008906C6"/>
    <w:rPr>
      <w:rFonts w:ascii="Cambria" w:eastAsia="Calibri" w:hAnsi="Cambria" w:cs="Calibri"/>
      <w:b/>
      <w:sz w:val="20"/>
      <w:szCs w:val="20"/>
    </w:rPr>
  </w:style>
  <w:style w:type="paragraph" w:styleId="Header">
    <w:name w:val="header"/>
    <w:aliases w:val="encabezado"/>
    <w:basedOn w:val="Normal"/>
    <w:link w:val="HeaderChar"/>
    <w:unhideWhenUsed/>
    <w:rsid w:val="008906C6"/>
    <w:pPr>
      <w:tabs>
        <w:tab w:val="center" w:pos="4680"/>
        <w:tab w:val="right" w:pos="9360"/>
      </w:tabs>
      <w:spacing w:after="0" w:line="240" w:lineRule="auto"/>
    </w:pPr>
    <w:rPr>
      <w:rFonts w:ascii="Calibri" w:eastAsia="Calibri" w:hAnsi="Calibri" w:cs="Times New Roman"/>
    </w:rPr>
  </w:style>
  <w:style w:type="character" w:customStyle="1" w:styleId="HeaderChar">
    <w:name w:val="Header Char"/>
    <w:aliases w:val="encabezado Char"/>
    <w:basedOn w:val="DefaultParagraphFont"/>
    <w:link w:val="Header"/>
    <w:rsid w:val="008906C6"/>
    <w:rPr>
      <w:rFonts w:ascii="Calibri" w:eastAsia="Calibri" w:hAnsi="Calibri" w:cs="Times New Roman"/>
    </w:rPr>
  </w:style>
  <w:style w:type="paragraph" w:styleId="Footer">
    <w:name w:val="footer"/>
    <w:basedOn w:val="Normal"/>
    <w:link w:val="FooterChar"/>
    <w:unhideWhenUsed/>
    <w:rsid w:val="008906C6"/>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8906C6"/>
    <w:rPr>
      <w:rFonts w:ascii="Calibri" w:eastAsia="Calibri" w:hAnsi="Calibri" w:cs="Times New Roman"/>
    </w:rPr>
  </w:style>
  <w:style w:type="paragraph" w:styleId="BalloonText">
    <w:name w:val="Balloon Text"/>
    <w:basedOn w:val="Normal"/>
    <w:link w:val="BalloonTextChar"/>
    <w:uiPriority w:val="99"/>
    <w:semiHidden/>
    <w:unhideWhenUsed/>
    <w:rsid w:val="008906C6"/>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8906C6"/>
    <w:rPr>
      <w:rFonts w:ascii="Tahoma" w:eastAsia="Calibri" w:hAnsi="Tahoma" w:cs="Tahoma"/>
      <w:sz w:val="16"/>
      <w:szCs w:val="16"/>
    </w:rPr>
  </w:style>
  <w:style w:type="paragraph" w:styleId="NoSpacing">
    <w:name w:val="No Spacing"/>
    <w:link w:val="NoSpacingChar"/>
    <w:uiPriority w:val="1"/>
    <w:qFormat/>
    <w:rsid w:val="008906C6"/>
    <w:pPr>
      <w:spacing w:after="0" w:line="240" w:lineRule="auto"/>
    </w:pPr>
    <w:rPr>
      <w:rFonts w:ascii="Calibri" w:eastAsia="MS Mincho" w:hAnsi="Calibri" w:cs="Arial"/>
      <w:lang w:eastAsia="ja-JP"/>
    </w:rPr>
  </w:style>
  <w:style w:type="character" w:customStyle="1" w:styleId="NoSpacingChar">
    <w:name w:val="No Spacing Char"/>
    <w:link w:val="NoSpacing"/>
    <w:uiPriority w:val="1"/>
    <w:rsid w:val="008906C6"/>
    <w:rPr>
      <w:rFonts w:ascii="Calibri" w:eastAsia="MS Mincho" w:hAnsi="Calibri" w:cs="Arial"/>
      <w:lang w:eastAsia="ja-JP"/>
    </w:rPr>
  </w:style>
  <w:style w:type="paragraph" w:styleId="NormalWeb">
    <w:name w:val="Normal (Web)"/>
    <w:basedOn w:val="Normal"/>
    <w:uiPriority w:val="99"/>
    <w:unhideWhenUsed/>
    <w:rsid w:val="008906C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aliases w:val="http://www.fantaproject.org/sites/default/files/resources/Guatemala-municipal-brief-English-June30.pdf"/>
    <w:unhideWhenUsed/>
    <w:rsid w:val="008906C6"/>
    <w:rPr>
      <w:color w:val="0000FF"/>
      <w:u w:val="single"/>
    </w:rPr>
  </w:style>
  <w:style w:type="character" w:styleId="FollowedHyperlink">
    <w:name w:val="FollowedHyperlink"/>
    <w:uiPriority w:val="99"/>
    <w:unhideWhenUsed/>
    <w:rsid w:val="008906C6"/>
    <w:rPr>
      <w:color w:val="954F72"/>
      <w:u w:val="single"/>
    </w:rPr>
  </w:style>
  <w:style w:type="character" w:styleId="CommentReference">
    <w:name w:val="annotation reference"/>
    <w:uiPriority w:val="99"/>
    <w:semiHidden/>
    <w:unhideWhenUsed/>
    <w:rsid w:val="008906C6"/>
    <w:rPr>
      <w:sz w:val="16"/>
      <w:szCs w:val="16"/>
    </w:rPr>
  </w:style>
  <w:style w:type="paragraph" w:styleId="CommentText">
    <w:name w:val="annotation text"/>
    <w:basedOn w:val="Normal"/>
    <w:link w:val="CommentTextChar"/>
    <w:uiPriority w:val="99"/>
    <w:unhideWhenUsed/>
    <w:rsid w:val="008906C6"/>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8906C6"/>
    <w:rPr>
      <w:rFonts w:ascii="Calibri" w:eastAsia="Calibri" w:hAnsi="Calibri" w:cs="Times New Roman"/>
      <w:sz w:val="20"/>
      <w:szCs w:val="20"/>
    </w:rPr>
  </w:style>
  <w:style w:type="character" w:customStyle="1" w:styleId="ColorfulList-Accent1Char">
    <w:name w:val="Colorful List - Accent 1 Char"/>
    <w:aliases w:val="List Char,Segundo nivel de viñetas Char,List Paragraph1 Char,titulo 3 Char,Bullets Char,Llista Nivell1 Char,Párrafo de lista1 Char,Ha Char,Párrafo de lista2 Char,Lista vistosa - Énfasis 11 Char,Dot pt Char,No Spacing1 Char"/>
    <w:link w:val="ColorfulList-Accent1"/>
    <w:uiPriority w:val="99"/>
    <w:locked/>
    <w:rsid w:val="008906C6"/>
    <w:rPr>
      <w:rFonts w:ascii="Cambria" w:eastAsia="Cambria" w:hAnsi="Cambria" w:cs="Cambria"/>
      <w:color w:val="000000"/>
      <w:sz w:val="24"/>
      <w:szCs w:val="24"/>
      <w:u w:color="000000"/>
      <w:bdr w:val="nil"/>
      <w:lang w:eastAsia="es-ES"/>
    </w:rPr>
  </w:style>
  <w:style w:type="table" w:styleId="ColorfulList-Accent1">
    <w:name w:val="Colorful List Accent 1"/>
    <w:basedOn w:val="TableNormal"/>
    <w:link w:val="ColorfulList-Accent1Char"/>
    <w:uiPriority w:val="99"/>
    <w:unhideWhenUsed/>
    <w:rsid w:val="008906C6"/>
    <w:pPr>
      <w:spacing w:after="0" w:line="240" w:lineRule="auto"/>
    </w:pPr>
    <w:rPr>
      <w:rFonts w:ascii="Cambria" w:eastAsia="Cambria" w:hAnsi="Cambria" w:cs="Cambria"/>
      <w:color w:val="000000"/>
      <w:sz w:val="24"/>
      <w:szCs w:val="24"/>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CommentSubject">
    <w:name w:val="annotation subject"/>
    <w:basedOn w:val="CommentText"/>
    <w:next w:val="CommentText"/>
    <w:link w:val="CommentSubjectChar"/>
    <w:uiPriority w:val="99"/>
    <w:semiHidden/>
    <w:unhideWhenUsed/>
    <w:rsid w:val="008906C6"/>
    <w:pPr>
      <w:spacing w:after="0"/>
      <w:jc w:val="both"/>
    </w:pPr>
    <w:rPr>
      <w:b/>
      <w:bCs/>
    </w:rPr>
  </w:style>
  <w:style w:type="character" w:customStyle="1" w:styleId="CommentSubjectChar">
    <w:name w:val="Comment Subject Char"/>
    <w:basedOn w:val="CommentTextChar"/>
    <w:link w:val="CommentSubject"/>
    <w:uiPriority w:val="99"/>
    <w:semiHidden/>
    <w:rsid w:val="008906C6"/>
    <w:rPr>
      <w:rFonts w:ascii="Calibri" w:eastAsia="Calibri" w:hAnsi="Calibri" w:cs="Times New Roman"/>
      <w:b/>
      <w:bCs/>
      <w:sz w:val="20"/>
      <w:szCs w:val="20"/>
      <w:lang w:val="en-US"/>
    </w:rPr>
  </w:style>
  <w:style w:type="paragraph" w:styleId="Revision">
    <w:name w:val="Revision"/>
    <w:hidden/>
    <w:uiPriority w:val="99"/>
    <w:semiHidden/>
    <w:rsid w:val="008906C6"/>
    <w:pPr>
      <w:spacing w:after="0" w:line="240" w:lineRule="auto"/>
    </w:pPr>
    <w:rPr>
      <w:rFonts w:ascii="Calibri" w:eastAsia="Calibri" w:hAnsi="Calibri" w:cs="Times New Roman"/>
    </w:rPr>
  </w:style>
  <w:style w:type="character" w:customStyle="1" w:styleId="Ninguno">
    <w:name w:val="Ninguno"/>
    <w:uiPriority w:val="99"/>
    <w:rsid w:val="008906C6"/>
    <w:rPr>
      <w:lang w:val="en-US"/>
    </w:rPr>
  </w:style>
  <w:style w:type="paragraph" w:styleId="TOC3">
    <w:name w:val="toc 3"/>
    <w:basedOn w:val="Normal"/>
    <w:next w:val="Normal"/>
    <w:autoRedefine/>
    <w:uiPriority w:val="99"/>
    <w:unhideWhenUsed/>
    <w:rsid w:val="008906C6"/>
    <w:pPr>
      <w:spacing w:after="100" w:line="240" w:lineRule="auto"/>
      <w:ind w:left="440"/>
      <w:jc w:val="both"/>
    </w:pPr>
    <w:rPr>
      <w:rFonts w:ascii="Calibri" w:eastAsia="MS Mincho" w:hAnsi="Calibri" w:cs="Times New Roman"/>
    </w:rPr>
  </w:style>
  <w:style w:type="character" w:styleId="Strong">
    <w:name w:val="Strong"/>
    <w:uiPriority w:val="99"/>
    <w:qFormat/>
    <w:rsid w:val="008906C6"/>
    <w:rPr>
      <w:b/>
      <w:bCs/>
    </w:rPr>
  </w:style>
  <w:style w:type="numbering" w:styleId="111111">
    <w:name w:val="Outline List 2"/>
    <w:basedOn w:val="NoList"/>
    <w:uiPriority w:val="99"/>
    <w:semiHidden/>
    <w:unhideWhenUsed/>
    <w:rsid w:val="008906C6"/>
    <w:pPr>
      <w:numPr>
        <w:numId w:val="3"/>
      </w:numPr>
    </w:pPr>
  </w:style>
  <w:style w:type="character" w:styleId="Emphasis">
    <w:name w:val="Emphasis"/>
    <w:uiPriority w:val="99"/>
    <w:qFormat/>
    <w:rsid w:val="008906C6"/>
    <w:rPr>
      <w:i/>
      <w:iCs/>
    </w:rPr>
  </w:style>
  <w:style w:type="character" w:customStyle="1" w:styleId="apple-converted-space">
    <w:name w:val="apple-converted-space"/>
    <w:uiPriority w:val="99"/>
    <w:rsid w:val="008906C6"/>
  </w:style>
  <w:style w:type="character" w:customStyle="1" w:styleId="Cuadrculamediana2Car">
    <w:name w:val="Cuadrícula mediana 2 Car"/>
    <w:aliases w:val="Informes Car"/>
    <w:link w:val="MediumGrid2"/>
    <w:uiPriority w:val="99"/>
    <w:rsid w:val="008906C6"/>
    <w:rPr>
      <w:rFonts w:ascii="Cambria" w:hAnsi="Cambria"/>
      <w:sz w:val="16"/>
      <w:lang w:bidi="ar-SA"/>
    </w:rPr>
  </w:style>
  <w:style w:type="table" w:styleId="MediumGrid2">
    <w:name w:val="Medium Grid 2"/>
    <w:basedOn w:val="TableNormal"/>
    <w:link w:val="Cuadrculamediana2Car"/>
    <w:uiPriority w:val="99"/>
    <w:rsid w:val="008906C6"/>
    <w:pPr>
      <w:spacing w:after="0" w:line="240" w:lineRule="auto"/>
    </w:pPr>
    <w:rPr>
      <w:rFonts w:ascii="Cambria" w:hAnsi="Cambria"/>
      <w:sz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SingleTxtG">
    <w:name w:val="_ Single Txt_G"/>
    <w:basedOn w:val="Normal"/>
    <w:link w:val="SingleTxtGChar"/>
    <w:uiPriority w:val="99"/>
    <w:rsid w:val="008906C6"/>
    <w:pPr>
      <w:suppressAutoHyphens/>
      <w:spacing w:after="120" w:line="240" w:lineRule="atLeast"/>
      <w:ind w:left="1134" w:right="1134"/>
      <w:jc w:val="both"/>
    </w:pPr>
    <w:rPr>
      <w:rFonts w:ascii="Times New Roman" w:eastAsia="Times New Roman" w:hAnsi="Times New Roman" w:cs="Times New Roman"/>
      <w:sz w:val="20"/>
      <w:szCs w:val="20"/>
    </w:rPr>
  </w:style>
  <w:style w:type="character" w:customStyle="1" w:styleId="SingleTxtGChar">
    <w:name w:val="_ Single Txt_G Char"/>
    <w:link w:val="SingleTxtG"/>
    <w:uiPriority w:val="99"/>
    <w:rsid w:val="008906C6"/>
    <w:rPr>
      <w:rFonts w:ascii="Times New Roman" w:eastAsia="Times New Roman" w:hAnsi="Times New Roman" w:cs="Times New Roman"/>
      <w:sz w:val="20"/>
      <w:szCs w:val="20"/>
      <w:lang w:val="en-US"/>
    </w:rPr>
  </w:style>
  <w:style w:type="character" w:customStyle="1" w:styleId="Sombreadomediano1-nfasis1Car">
    <w:name w:val="Sombreado mediano 1 - Énfasis 1 Car"/>
    <w:link w:val="MediumShading1-Accent1"/>
    <w:uiPriority w:val="99"/>
    <w:rsid w:val="008906C6"/>
    <w:rPr>
      <w:rFonts w:eastAsia="MS Mincho"/>
      <w:sz w:val="22"/>
      <w:szCs w:val="22"/>
      <w:lang w:val="en-US" w:eastAsia="en-US"/>
    </w:rPr>
  </w:style>
  <w:style w:type="character" w:customStyle="1" w:styleId="Nenhum">
    <w:name w:val="Nenhum"/>
    <w:uiPriority w:val="99"/>
    <w:rsid w:val="008906C6"/>
  </w:style>
  <w:style w:type="table" w:styleId="MediumShading1-Accent1">
    <w:name w:val="Medium Shading 1 Accent 1"/>
    <w:basedOn w:val="TableNormal"/>
    <w:link w:val="Sombreadomediano1-nfasis1Car"/>
    <w:uiPriority w:val="99"/>
    <w:rsid w:val="008906C6"/>
    <w:pPr>
      <w:spacing w:after="0" w:line="240" w:lineRule="auto"/>
    </w:pPr>
    <w:rPr>
      <w:rFonts w:eastAsia="MS Mincho"/>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Corpo">
    <w:name w:val="Corpo"/>
    <w:uiPriority w:val="99"/>
    <w:rsid w:val="008906C6"/>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s-ES"/>
    </w:rPr>
  </w:style>
  <w:style w:type="character" w:customStyle="1" w:styleId="Hyperlink1">
    <w:name w:val="Hyperlink.1"/>
    <w:rsid w:val="008906C6"/>
    <w:rPr>
      <w:rFonts w:ascii="Cambria" w:eastAsia="Cambria" w:hAnsi="Cambria" w:cs="Cambria"/>
      <w:color w:val="0000FF"/>
      <w:sz w:val="18"/>
      <w:szCs w:val="18"/>
      <w:u w:val="single" w:color="0000FF"/>
      <w:lang w:val="en-US"/>
    </w:rPr>
  </w:style>
  <w:style w:type="paragraph" w:customStyle="1" w:styleId="Char2">
    <w:name w:val="Char2"/>
    <w:basedOn w:val="Normal"/>
    <w:uiPriority w:val="99"/>
    <w:rsid w:val="008906C6"/>
    <w:pPr>
      <w:spacing w:line="240" w:lineRule="exact"/>
    </w:pPr>
    <w:rPr>
      <w:rFonts w:ascii="Calibri" w:eastAsia="Calibri" w:hAnsi="Calibri" w:cs="Times New Roman"/>
      <w:sz w:val="20"/>
      <w:szCs w:val="20"/>
      <w:vertAlign w:val="superscript"/>
    </w:rPr>
  </w:style>
  <w:style w:type="character" w:customStyle="1" w:styleId="Fuentedeprrafopredeter1">
    <w:name w:val="Fuente de párrafo predeter.1"/>
    <w:uiPriority w:val="99"/>
    <w:qFormat/>
    <w:rsid w:val="008906C6"/>
  </w:style>
  <w:style w:type="paragraph" w:customStyle="1" w:styleId="Standard">
    <w:name w:val="Standard"/>
    <w:uiPriority w:val="99"/>
    <w:qFormat/>
    <w:rsid w:val="008906C6"/>
    <w:pPr>
      <w:suppressAutoHyphens/>
      <w:spacing w:after="0" w:line="240" w:lineRule="auto"/>
      <w:textAlignment w:val="baseline"/>
    </w:pPr>
    <w:rPr>
      <w:rFonts w:ascii="Liberation Serif" w:eastAsia="Tahoma" w:hAnsi="Liberation Serif" w:cs="Lohit Devanagari"/>
      <w:color w:val="00000A"/>
      <w:sz w:val="24"/>
      <w:szCs w:val="24"/>
      <w:lang w:eastAsia="zh-CN" w:bidi="hi-IN"/>
    </w:rPr>
  </w:style>
  <w:style w:type="paragraph" w:styleId="DocumentMap">
    <w:name w:val="Document Map"/>
    <w:basedOn w:val="Normal"/>
    <w:link w:val="DocumentMapChar"/>
    <w:uiPriority w:val="99"/>
    <w:semiHidden/>
    <w:unhideWhenUsed/>
    <w:rsid w:val="008906C6"/>
    <w:pPr>
      <w:spacing w:after="0" w:line="240" w:lineRule="auto"/>
      <w:jc w:val="both"/>
    </w:pPr>
    <w:rPr>
      <w:rFonts w:ascii="Lucida Grande" w:eastAsia="Calibri" w:hAnsi="Lucida Grande" w:cs="Times New Roman"/>
      <w:sz w:val="24"/>
      <w:szCs w:val="24"/>
    </w:rPr>
  </w:style>
  <w:style w:type="character" w:customStyle="1" w:styleId="DocumentMapChar">
    <w:name w:val="Document Map Char"/>
    <w:basedOn w:val="DefaultParagraphFont"/>
    <w:link w:val="DocumentMap"/>
    <w:uiPriority w:val="99"/>
    <w:semiHidden/>
    <w:rsid w:val="008906C6"/>
    <w:rPr>
      <w:rFonts w:ascii="Lucida Grande" w:eastAsia="Calibri" w:hAnsi="Lucida Grande" w:cs="Times New Roman"/>
      <w:sz w:val="24"/>
      <w:szCs w:val="24"/>
      <w:lang w:val="en-US"/>
    </w:rPr>
  </w:style>
  <w:style w:type="character" w:customStyle="1" w:styleId="UnresolvedMention1">
    <w:name w:val="Unresolved Mention1"/>
    <w:uiPriority w:val="99"/>
    <w:semiHidden/>
    <w:unhideWhenUsed/>
    <w:rsid w:val="008906C6"/>
    <w:rPr>
      <w:color w:val="605E5C"/>
      <w:shd w:val="clear" w:color="auto" w:fill="E1DFDD"/>
    </w:rPr>
  </w:style>
  <w:style w:type="paragraph" w:styleId="BodyTextIndent">
    <w:name w:val="Body Text Indent"/>
    <w:link w:val="BodyTextIndentChar"/>
    <w:uiPriority w:val="99"/>
    <w:rsid w:val="008906C6"/>
    <w:pPr>
      <w:pBdr>
        <w:top w:val="nil"/>
        <w:left w:val="nil"/>
        <w:bottom w:val="nil"/>
        <w:right w:val="nil"/>
        <w:between w:val="nil"/>
        <w:bar w:val="nil"/>
      </w:pBdr>
      <w:spacing w:after="0" w:line="240" w:lineRule="auto"/>
      <w:ind w:left="2160" w:hanging="720"/>
    </w:pPr>
    <w:rPr>
      <w:rFonts w:ascii="Times New Roman" w:eastAsia="Times New Roman" w:hAnsi="Times New Roman" w:cs="Times New Roman"/>
      <w:color w:val="000000"/>
      <w:sz w:val="24"/>
      <w:szCs w:val="24"/>
      <w:u w:color="000000"/>
      <w:bdr w:val="nil"/>
      <w:lang w:eastAsia="es-ES"/>
    </w:rPr>
  </w:style>
  <w:style w:type="character" w:customStyle="1" w:styleId="BodyTextIndentChar">
    <w:name w:val="Body Text Indent Char"/>
    <w:basedOn w:val="DefaultParagraphFont"/>
    <w:link w:val="BodyTextIndent"/>
    <w:uiPriority w:val="99"/>
    <w:rsid w:val="008906C6"/>
    <w:rPr>
      <w:rFonts w:ascii="Times New Roman" w:eastAsia="Times New Roman" w:hAnsi="Times New Roman" w:cs="Times New Roman"/>
      <w:color w:val="000000"/>
      <w:sz w:val="24"/>
      <w:szCs w:val="24"/>
      <w:u w:color="000000"/>
      <w:bdr w:val="nil"/>
      <w:lang w:val="en-US" w:eastAsia="es-ES"/>
    </w:rPr>
  </w:style>
  <w:style w:type="table" w:styleId="TableGrid">
    <w:name w:val="Table Grid"/>
    <w:basedOn w:val="TableNormal"/>
    <w:uiPriority w:val="59"/>
    <w:rsid w:val="008906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uiPriority w:val="99"/>
    <w:qFormat/>
    <w:rsid w:val="008906C6"/>
    <w:pPr>
      <w:spacing w:line="240" w:lineRule="exact"/>
    </w:pPr>
    <w:rPr>
      <w:rFonts w:ascii="Calibri" w:eastAsia="Calibri" w:hAnsi="Calibri" w:cs="Times New Roman"/>
      <w:sz w:val="20"/>
      <w:szCs w:val="20"/>
      <w:vertAlign w:val="superscript"/>
    </w:rPr>
  </w:style>
  <w:style w:type="table" w:customStyle="1" w:styleId="TableGrid1">
    <w:name w:val="Table Grid1"/>
    <w:basedOn w:val="TableNormal"/>
    <w:next w:val="TableGrid"/>
    <w:uiPriority w:val="99"/>
    <w:rsid w:val="008906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uiPriority w:val="99"/>
    <w:rsid w:val="008906C6"/>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odyTextIndent2">
    <w:name w:val="Body Text Indent 2"/>
    <w:basedOn w:val="Normal"/>
    <w:link w:val="BodyTextIndent2Char"/>
    <w:uiPriority w:val="99"/>
    <w:unhideWhenUsed/>
    <w:rsid w:val="008906C6"/>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rsid w:val="008906C6"/>
    <w:rPr>
      <w:rFonts w:ascii="Calibri" w:eastAsia="Calibri" w:hAnsi="Calibri" w:cs="Times New Roman"/>
    </w:rPr>
  </w:style>
  <w:style w:type="paragraph" w:customStyle="1" w:styleId="Appelnotedebasde">
    <w:name w:val="Appel note de bas de..."/>
    <w:basedOn w:val="Normal"/>
    <w:uiPriority w:val="99"/>
    <w:rsid w:val="008906C6"/>
    <w:pPr>
      <w:spacing w:line="240" w:lineRule="exact"/>
    </w:pPr>
    <w:rPr>
      <w:rFonts w:ascii="Calibri" w:eastAsia="Calibri" w:hAnsi="Calibri" w:cs="Times New Roman"/>
      <w:sz w:val="20"/>
      <w:szCs w:val="20"/>
      <w:vertAlign w:val="superscript"/>
      <w:lang w:eastAsia="es-ES"/>
    </w:rPr>
  </w:style>
  <w:style w:type="table" w:customStyle="1" w:styleId="TableContemporary1">
    <w:name w:val="Table Contemporary1"/>
    <w:basedOn w:val="TableNormal"/>
    <w:next w:val="TableContemporary"/>
    <w:uiPriority w:val="99"/>
    <w:rsid w:val="008906C6"/>
    <w:pPr>
      <w:spacing w:after="0" w:line="240" w:lineRule="auto"/>
    </w:pPr>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EndnoteText">
    <w:name w:val="endnote text"/>
    <w:basedOn w:val="Normal"/>
    <w:link w:val="EndnoteTextChar"/>
    <w:uiPriority w:val="99"/>
    <w:semiHidden/>
    <w:unhideWhenUsed/>
    <w:rsid w:val="008906C6"/>
    <w:pPr>
      <w:spacing w:after="200" w:line="276"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8906C6"/>
    <w:rPr>
      <w:rFonts w:ascii="Calibri" w:eastAsia="Calibri" w:hAnsi="Calibri" w:cs="Times New Roman"/>
      <w:sz w:val="20"/>
      <w:szCs w:val="20"/>
      <w:lang w:val="en-US"/>
    </w:rPr>
  </w:style>
  <w:style w:type="character" w:styleId="EndnoteReference">
    <w:name w:val="endnote reference"/>
    <w:uiPriority w:val="99"/>
    <w:semiHidden/>
    <w:unhideWhenUsed/>
    <w:rsid w:val="008906C6"/>
    <w:rPr>
      <w:vertAlign w:val="superscript"/>
    </w:rPr>
  </w:style>
  <w:style w:type="paragraph" w:customStyle="1" w:styleId="parrafos">
    <w:name w:val="parrafos"/>
    <w:basedOn w:val="Normal"/>
    <w:link w:val="parrafosChar"/>
    <w:uiPriority w:val="99"/>
    <w:qFormat/>
    <w:rsid w:val="008906C6"/>
    <w:pPr>
      <w:spacing w:after="0" w:line="240" w:lineRule="auto"/>
      <w:jc w:val="both"/>
    </w:pPr>
    <w:rPr>
      <w:rFonts w:ascii="Cambria" w:eastAsia="Arial Unicode MS" w:hAnsi="Cambria" w:cs="Times New Roman"/>
      <w:color w:val="000000"/>
      <w:sz w:val="20"/>
      <w:szCs w:val="20"/>
      <w:bdr w:val="nil"/>
    </w:rPr>
  </w:style>
  <w:style w:type="character" w:customStyle="1" w:styleId="parrafosChar">
    <w:name w:val="parrafos Char"/>
    <w:link w:val="parrafos"/>
    <w:uiPriority w:val="99"/>
    <w:rsid w:val="008906C6"/>
    <w:rPr>
      <w:rFonts w:ascii="Cambria" w:eastAsia="Arial Unicode MS" w:hAnsi="Cambria" w:cs="Times New Roman"/>
      <w:color w:val="000000"/>
      <w:sz w:val="20"/>
      <w:szCs w:val="20"/>
      <w:bdr w:val="nil"/>
      <w:lang w:val="en-US"/>
    </w:rPr>
  </w:style>
  <w:style w:type="paragraph" w:customStyle="1" w:styleId="Default">
    <w:name w:val="Default"/>
    <w:rsid w:val="008906C6"/>
    <w:pPr>
      <w:autoSpaceDE w:val="0"/>
      <w:autoSpaceDN w:val="0"/>
      <w:adjustRightInd w:val="0"/>
      <w:spacing w:after="0" w:line="240" w:lineRule="auto"/>
    </w:pPr>
    <w:rPr>
      <w:rFonts w:ascii="Cambria" w:eastAsia="Batang" w:hAnsi="Cambria" w:cs="Cambria"/>
      <w:color w:val="000000"/>
      <w:sz w:val="24"/>
      <w:szCs w:val="24"/>
    </w:rPr>
  </w:style>
  <w:style w:type="character" w:customStyle="1" w:styleId="MediumGrid2Char">
    <w:name w:val="Medium Grid 2 Char"/>
    <w:uiPriority w:val="99"/>
    <w:rsid w:val="008906C6"/>
    <w:rPr>
      <w:rFonts w:eastAsia="MS Mincho" w:cs="Arial"/>
      <w:sz w:val="22"/>
      <w:szCs w:val="22"/>
      <w:lang w:val="en-US" w:eastAsia="ja-JP"/>
    </w:rPr>
  </w:style>
  <w:style w:type="numbering" w:customStyle="1" w:styleId="NoList1">
    <w:name w:val="No List1"/>
    <w:next w:val="NoList"/>
    <w:uiPriority w:val="99"/>
    <w:semiHidden/>
    <w:unhideWhenUsed/>
    <w:rsid w:val="008906C6"/>
  </w:style>
  <w:style w:type="table" w:customStyle="1" w:styleId="TableGrid2">
    <w:name w:val="Table Grid2"/>
    <w:basedOn w:val="TableNormal"/>
    <w:next w:val="TableGrid"/>
    <w:uiPriority w:val="99"/>
    <w:rsid w:val="008906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906C6"/>
  </w:style>
  <w:style w:type="table" w:customStyle="1" w:styleId="ColorfulList-Accent12">
    <w:name w:val="Colorful List - Accent 12"/>
    <w:basedOn w:val="TableNormal"/>
    <w:next w:val="ColorfulList-Accent1"/>
    <w:uiPriority w:val="99"/>
    <w:unhideWhenUsed/>
    <w:rsid w:val="008906C6"/>
    <w:pPr>
      <w:spacing w:after="0" w:line="240" w:lineRule="auto"/>
    </w:pPr>
    <w:rPr>
      <w:rFonts w:ascii="Cambria" w:eastAsia="Cambria" w:hAnsi="Cambria" w:cs="Cambria"/>
      <w:color w:val="000000"/>
      <w:sz w:val="24"/>
      <w:szCs w:val="24"/>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MediumGrid21">
    <w:name w:val="Medium Grid 21"/>
    <w:basedOn w:val="TableNormal"/>
    <w:next w:val="MediumGrid2"/>
    <w:uiPriority w:val="99"/>
    <w:rsid w:val="008906C6"/>
    <w:pPr>
      <w:spacing w:after="0" w:line="240" w:lineRule="auto"/>
    </w:pPr>
    <w:rPr>
      <w:rFonts w:ascii="Cambria" w:eastAsia="Calibri" w:hAnsi="Cambria" w:cs="Times New Roman"/>
      <w:sz w:val="16"/>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Shading1-Accent11">
    <w:name w:val="Medium Shading 1 - Accent 11"/>
    <w:basedOn w:val="TableNormal"/>
    <w:next w:val="MediumShading1-Accent1"/>
    <w:uiPriority w:val="99"/>
    <w:rsid w:val="008906C6"/>
    <w:pPr>
      <w:spacing w:after="0" w:line="240" w:lineRule="auto"/>
    </w:pPr>
    <w:rPr>
      <w:rFonts w:ascii="Calibri" w:eastAsia="MS Mincho"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eGrid3">
    <w:name w:val="Table Grid3"/>
    <w:basedOn w:val="TableNormal"/>
    <w:next w:val="TableGrid"/>
    <w:uiPriority w:val="99"/>
    <w:rsid w:val="008906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8906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2">
    <w:name w:val="Table Contemporary2"/>
    <w:basedOn w:val="TableNormal"/>
    <w:next w:val="TableContemporary"/>
    <w:uiPriority w:val="99"/>
    <w:locked/>
    <w:rsid w:val="008906C6"/>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1">
    <w:name w:val="Table Contemporary11"/>
    <w:basedOn w:val="TableNormal"/>
    <w:next w:val="TableContemporary"/>
    <w:uiPriority w:val="99"/>
    <w:rsid w:val="008906C6"/>
    <w:pPr>
      <w:spacing w:after="0" w:line="240" w:lineRule="auto"/>
    </w:pPr>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ightGrid">
    <w:name w:val="Light Grid"/>
    <w:basedOn w:val="TableNormal"/>
    <w:uiPriority w:val="99"/>
    <w:rsid w:val="008906C6"/>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4">
    <w:name w:val="Table Grid4"/>
    <w:basedOn w:val="TableNormal"/>
    <w:next w:val="TableGrid"/>
    <w:uiPriority w:val="99"/>
    <w:rsid w:val="008906C6"/>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3">
    <w:name w:val="Table Contemporary3"/>
    <w:basedOn w:val="TableNormal"/>
    <w:next w:val="TableContemporary"/>
    <w:uiPriority w:val="99"/>
    <w:semiHidden/>
    <w:unhideWhenUsed/>
    <w:rsid w:val="008906C6"/>
    <w:pPr>
      <w:spacing w:after="200" w:line="276" w:lineRule="auto"/>
    </w:pPr>
    <w:rPr>
      <w:rFonts w:ascii="Calibri" w:eastAsia="Calibri"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ediumGrid22">
    <w:name w:val="Medium Grid 22"/>
    <w:basedOn w:val="TableNormal"/>
    <w:next w:val="MediumGrid2"/>
    <w:uiPriority w:val="99"/>
    <w:semiHidden/>
    <w:unhideWhenUsed/>
    <w:rsid w:val="008906C6"/>
    <w:pPr>
      <w:spacing w:after="0" w:line="240" w:lineRule="auto"/>
    </w:pPr>
    <w:rPr>
      <w:rFonts w:ascii="Calibri" w:eastAsia="MS Mincho" w:hAnsi="Calibri" w:cs="Arial"/>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olorfulList-Accent13">
    <w:name w:val="Colorful List - Accent 13"/>
    <w:basedOn w:val="TableNormal"/>
    <w:next w:val="ColorfulList-Accent1"/>
    <w:uiPriority w:val="99"/>
    <w:semiHidden/>
    <w:unhideWhenUsed/>
    <w:rsid w:val="008906C6"/>
    <w:pPr>
      <w:spacing w:after="0" w:line="240" w:lineRule="auto"/>
    </w:pPr>
    <w:rPr>
      <w:rFonts w:ascii="Cambria" w:eastAsia="Cambria" w:hAnsi="Cambria" w:cs="Cambria"/>
      <w:color w:val="000000"/>
      <w:sz w:val="24"/>
      <w:szCs w:val="24"/>
      <w:u w:color="000000"/>
      <w:bdr w:val="nil"/>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font5">
    <w:name w:val="font5"/>
    <w:basedOn w:val="Normal"/>
    <w:uiPriority w:val="99"/>
    <w:rsid w:val="008906C6"/>
    <w:pPr>
      <w:spacing w:before="100" w:beforeAutospacing="1" w:after="100" w:afterAutospacing="1" w:line="240" w:lineRule="auto"/>
    </w:pPr>
    <w:rPr>
      <w:rFonts w:ascii="Calibri" w:eastAsia="Times New Roman" w:hAnsi="Calibri" w:cs="Calibri"/>
      <w:b/>
      <w:bCs/>
      <w:i/>
      <w:iCs/>
      <w:color w:val="FFFFFF"/>
    </w:rPr>
  </w:style>
  <w:style w:type="paragraph" w:customStyle="1" w:styleId="xl63">
    <w:name w:val="xl63"/>
    <w:basedOn w:val="Normal"/>
    <w:uiPriority w:val="99"/>
    <w:rsid w:val="008906C6"/>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64">
    <w:name w:val="xl64"/>
    <w:basedOn w:val="Normal"/>
    <w:uiPriority w:val="99"/>
    <w:rsid w:val="008906C6"/>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65">
    <w:name w:val="xl65"/>
    <w:basedOn w:val="Normal"/>
    <w:uiPriority w:val="99"/>
    <w:rsid w:val="008906C6"/>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66">
    <w:name w:val="xl66"/>
    <w:basedOn w:val="Normal"/>
    <w:uiPriority w:val="99"/>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uiPriority w:val="99"/>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uiPriority w:val="99"/>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uiPriority w:val="99"/>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uiPriority w:val="99"/>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uiPriority w:val="99"/>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uiPriority w:val="99"/>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Normal"/>
    <w:uiPriority w:val="99"/>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uiPriority w:val="99"/>
    <w:rsid w:val="008906C6"/>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table" w:customStyle="1" w:styleId="GridTable5Dark-Accent11">
    <w:name w:val="Grid Table 5 Dark - Accent 11"/>
    <w:basedOn w:val="TableNormal"/>
    <w:uiPriority w:val="50"/>
    <w:rsid w:val="008906C6"/>
    <w:pPr>
      <w:spacing w:after="0" w:line="240" w:lineRule="auto"/>
    </w:pPr>
    <w:rPr>
      <w:rFonts w:eastAsiaTheme="minorEastAsia"/>
      <w:sz w:val="21"/>
      <w:szCs w:val="21"/>
      <w:lang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Listainformes">
    <w:name w:val="Lista informes"/>
    <w:basedOn w:val="ListParagraph"/>
    <w:link w:val="ListainformesChar"/>
    <w:qFormat/>
    <w:rsid w:val="004F6572"/>
    <w:pPr>
      <w:numPr>
        <w:numId w:val="2"/>
      </w:numPr>
      <w:spacing w:after="0"/>
      <w:ind w:left="1440" w:hanging="720"/>
    </w:pPr>
  </w:style>
  <w:style w:type="paragraph" w:styleId="Title">
    <w:name w:val="Title"/>
    <w:basedOn w:val="Normal"/>
    <w:next w:val="Normal"/>
    <w:link w:val="TitleChar"/>
    <w:uiPriority w:val="10"/>
    <w:qFormat/>
    <w:rsid w:val="00B056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ListainformesChar">
    <w:name w:val="Lista informes Char"/>
    <w:basedOn w:val="ListParagraphChar"/>
    <w:link w:val="Listainformes"/>
    <w:rsid w:val="004F6572"/>
    <w:rPr>
      <w:rFonts w:ascii="Cambria" w:eastAsia="Calibri" w:hAnsi="Cambria" w:cs="Calibri"/>
      <w:sz w:val="20"/>
      <w:szCs w:val="20"/>
    </w:rPr>
  </w:style>
  <w:style w:type="character" w:customStyle="1" w:styleId="TitleChar">
    <w:name w:val="Title Char"/>
    <w:basedOn w:val="DefaultParagraphFont"/>
    <w:link w:val="Title"/>
    <w:uiPriority w:val="10"/>
    <w:rsid w:val="00B056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5646"/>
    <w:pPr>
      <w:numPr>
        <w:ilvl w:val="1"/>
      </w:numPr>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05646"/>
    <w:rPr>
      <w:rFonts w:eastAsiaTheme="minorEastAsia"/>
      <w:color w:val="5A5A5A" w:themeColor="text1" w:themeTint="A5"/>
      <w:spacing w:val="15"/>
    </w:rPr>
  </w:style>
  <w:style w:type="table" w:styleId="GridTable1Light">
    <w:name w:val="Grid Table 1 Light"/>
    <w:basedOn w:val="TableNormal"/>
    <w:uiPriority w:val="46"/>
    <w:rsid w:val="00B05646"/>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05646"/>
    <w:pPr>
      <w:spacing w:after="0" w:line="240" w:lineRule="auto"/>
    </w:pPr>
    <w:rPr>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05646"/>
    <w:pPr>
      <w:spacing w:after="0" w:line="240" w:lineRule="auto"/>
    </w:pPr>
    <w:rPr>
      <w:sz w:val="24"/>
      <w:szCs w:val="24"/>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B05646"/>
    <w:pPr>
      <w:spacing w:after="200" w:line="240" w:lineRule="auto"/>
    </w:pPr>
    <w:rPr>
      <w:i/>
      <w:iCs/>
      <w:color w:val="44546A" w:themeColor="text2"/>
      <w:sz w:val="18"/>
      <w:szCs w:val="18"/>
    </w:rPr>
  </w:style>
  <w:style w:type="table" w:styleId="GridTable4-Accent5">
    <w:name w:val="Grid Table 4 Accent 5"/>
    <w:basedOn w:val="TableNormal"/>
    <w:uiPriority w:val="49"/>
    <w:rsid w:val="00B05646"/>
    <w:pPr>
      <w:spacing w:after="0" w:line="240" w:lineRule="auto"/>
    </w:pPr>
    <w:rPr>
      <w:sz w:val="24"/>
      <w:szCs w:val="24"/>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ragraph">
    <w:name w:val="paragraph"/>
    <w:basedOn w:val="Normal"/>
    <w:rsid w:val="00BE4992"/>
    <w:pPr>
      <w:spacing w:after="0" w:line="240" w:lineRule="auto"/>
    </w:pPr>
    <w:rPr>
      <w:rFonts w:ascii="Times New Roman" w:eastAsia="Times New Roman" w:hAnsi="Times New Roman" w:cs="Times New Roman"/>
      <w:sz w:val="24"/>
      <w:szCs w:val="24"/>
    </w:rPr>
  </w:style>
  <w:style w:type="character" w:customStyle="1" w:styleId="normaltextrun1">
    <w:name w:val="normaltextrun1"/>
    <w:basedOn w:val="DefaultParagraphFont"/>
    <w:rsid w:val="00BE4992"/>
  </w:style>
  <w:style w:type="character" w:customStyle="1" w:styleId="eop">
    <w:name w:val="eop"/>
    <w:basedOn w:val="DefaultParagraphFont"/>
    <w:rsid w:val="00BE4992"/>
  </w:style>
  <w:style w:type="character" w:customStyle="1" w:styleId="superscript">
    <w:name w:val="superscript"/>
    <w:basedOn w:val="DefaultParagraphFont"/>
    <w:rsid w:val="00BE4992"/>
  </w:style>
  <w:style w:type="paragraph" w:customStyle="1" w:styleId="xmsolistparagraph">
    <w:name w:val="x_msolistparagraph"/>
    <w:basedOn w:val="Normal"/>
    <w:rsid w:val="001D3A5D"/>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BodyText">
    <w:name w:val="Body Text"/>
    <w:basedOn w:val="Normal"/>
    <w:link w:val="BodyTextChar"/>
    <w:uiPriority w:val="99"/>
    <w:unhideWhenUsed/>
    <w:qFormat/>
    <w:rsid w:val="001D3A5D"/>
    <w:pPr>
      <w:spacing w:after="120" w:line="276" w:lineRule="auto"/>
    </w:pPr>
    <w:rPr>
      <w:rFonts w:ascii="Calibri" w:eastAsia="Calibri" w:hAnsi="Calibri" w:cs="Times New Roman"/>
    </w:rPr>
  </w:style>
  <w:style w:type="character" w:customStyle="1" w:styleId="BodyTextChar">
    <w:name w:val="Body Text Char"/>
    <w:basedOn w:val="DefaultParagraphFont"/>
    <w:link w:val="BodyText"/>
    <w:uiPriority w:val="99"/>
    <w:rsid w:val="001D3A5D"/>
    <w:rPr>
      <w:rFonts w:ascii="Calibri" w:eastAsia="Calibri" w:hAnsi="Calibri" w:cs="Times New Roman"/>
    </w:rPr>
  </w:style>
  <w:style w:type="paragraph" w:customStyle="1" w:styleId="Style1">
    <w:name w:val="Style1"/>
    <w:basedOn w:val="Heading2"/>
    <w:link w:val="Style1Char"/>
    <w:qFormat/>
    <w:rsid w:val="002B0ECE"/>
    <w:pPr>
      <w:numPr>
        <w:numId w:val="9"/>
      </w:numPr>
      <w:adjustRightInd/>
      <w:ind w:left="720"/>
    </w:pPr>
    <w:rPr>
      <w:sz w:val="20"/>
    </w:rPr>
  </w:style>
  <w:style w:type="paragraph" w:customStyle="1" w:styleId="Style2">
    <w:name w:val="Style2"/>
    <w:basedOn w:val="ListParagraph"/>
    <w:link w:val="Style2Char"/>
    <w:qFormat/>
    <w:rsid w:val="001332F8"/>
    <w:pPr>
      <w:numPr>
        <w:numId w:val="0"/>
      </w:numPr>
      <w:ind w:left="720"/>
    </w:pPr>
    <w:rPr>
      <w:b/>
      <w:lang w:val="pt-BR"/>
    </w:rPr>
  </w:style>
  <w:style w:type="character" w:customStyle="1" w:styleId="Style1Char">
    <w:name w:val="Style1 Char"/>
    <w:basedOn w:val="Heading2Char"/>
    <w:link w:val="Style1"/>
    <w:rsid w:val="002B0ECE"/>
    <w:rPr>
      <w:rFonts w:ascii="Cambria" w:eastAsia="Calibri" w:hAnsi="Cambria" w:cs="Times New Roman"/>
      <w:b/>
      <w:sz w:val="20"/>
      <w:szCs w:val="20"/>
      <w:lang w:val="en-US"/>
    </w:rPr>
  </w:style>
  <w:style w:type="character" w:customStyle="1" w:styleId="Style2Char">
    <w:name w:val="Style2 Char"/>
    <w:basedOn w:val="ListParagraphChar"/>
    <w:link w:val="Style2"/>
    <w:rsid w:val="001332F8"/>
    <w:rPr>
      <w:rFonts w:ascii="Cambria" w:eastAsia="Calibri" w:hAnsi="Cambria" w:cs="Calibri"/>
      <w:b/>
      <w:sz w:val="20"/>
      <w:szCs w:val="20"/>
      <w:lang w:val="pt-BR"/>
    </w:rPr>
  </w:style>
  <w:style w:type="character" w:customStyle="1" w:styleId="font71">
    <w:name w:val="font71"/>
    <w:basedOn w:val="DefaultParagraphFont"/>
    <w:rsid w:val="007425A1"/>
    <w:rPr>
      <w:rFonts w:ascii="Calibri" w:hAnsi="Calibri" w:cs="Calibri" w:hint="default"/>
      <w:b/>
      <w:bCs/>
      <w:i/>
      <w:iCs/>
      <w:strike w:val="0"/>
      <w:dstrike w:val="0"/>
      <w:color w:val="FFFFFF"/>
      <w:sz w:val="22"/>
      <w:szCs w:val="22"/>
      <w:u w:val="none"/>
      <w:effect w:val="none"/>
    </w:rPr>
  </w:style>
  <w:style w:type="character" w:customStyle="1" w:styleId="font111">
    <w:name w:val="font111"/>
    <w:basedOn w:val="DefaultParagraphFont"/>
    <w:rsid w:val="007425A1"/>
    <w:rPr>
      <w:rFonts w:ascii="Calibri" w:hAnsi="Calibri" w:cs="Calibri" w:hint="default"/>
      <w:b w:val="0"/>
      <w:bCs w:val="0"/>
      <w:i/>
      <w:iCs/>
      <w:strike w:val="0"/>
      <w:dstrike w:val="0"/>
      <w:color w:val="000000"/>
      <w:sz w:val="22"/>
      <w:szCs w:val="22"/>
      <w:u w:val="none"/>
      <w:effect w:val="none"/>
    </w:rPr>
  </w:style>
  <w:style w:type="character" w:customStyle="1" w:styleId="font91">
    <w:name w:val="font91"/>
    <w:basedOn w:val="DefaultParagraphFont"/>
    <w:rsid w:val="007425A1"/>
    <w:rPr>
      <w:rFonts w:ascii="Calibri" w:hAnsi="Calibri" w:cs="Calibri" w:hint="default"/>
      <w:b w:val="0"/>
      <w:bCs w:val="0"/>
      <w:i/>
      <w:iCs/>
      <w:strike w:val="0"/>
      <w:dstrike w:val="0"/>
      <w:color w:val="000000"/>
      <w:sz w:val="22"/>
      <w:szCs w:val="22"/>
      <w:u w:val="none"/>
      <w:effect w:val="none"/>
    </w:rPr>
  </w:style>
  <w:style w:type="paragraph" w:customStyle="1" w:styleId="msonormal0">
    <w:name w:val="msonormal"/>
    <w:basedOn w:val="Normal"/>
    <w:rsid w:val="007425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0">
    <w:name w:val="font0"/>
    <w:basedOn w:val="Normal"/>
    <w:rsid w:val="007425A1"/>
    <w:pPr>
      <w:spacing w:before="100" w:beforeAutospacing="1" w:after="100" w:afterAutospacing="1" w:line="240" w:lineRule="auto"/>
    </w:pPr>
    <w:rPr>
      <w:rFonts w:ascii="Calibri" w:eastAsia="Times New Roman" w:hAnsi="Calibri" w:cs="Calibri"/>
      <w:color w:val="000000"/>
    </w:rPr>
  </w:style>
  <w:style w:type="paragraph" w:customStyle="1" w:styleId="font7">
    <w:name w:val="font7"/>
    <w:basedOn w:val="Normal"/>
    <w:rsid w:val="007425A1"/>
    <w:pPr>
      <w:spacing w:before="100" w:beforeAutospacing="1" w:after="100" w:afterAutospacing="1" w:line="240" w:lineRule="auto"/>
    </w:pPr>
    <w:rPr>
      <w:rFonts w:ascii="Calibri" w:eastAsia="Times New Roman" w:hAnsi="Calibri" w:cs="Calibri"/>
      <w:i/>
      <w:iCs/>
      <w:color w:val="000000"/>
    </w:rPr>
  </w:style>
  <w:style w:type="paragraph" w:customStyle="1" w:styleId="xl16">
    <w:name w:val="xl16"/>
    <w:basedOn w:val="Normal"/>
    <w:rsid w:val="007425A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
    <w:name w:val="xl17"/>
    <w:basedOn w:val="Normal"/>
    <w:rsid w:val="007425A1"/>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18">
    <w:name w:val="xl18"/>
    <w:basedOn w:val="Normal"/>
    <w:rsid w:val="007425A1"/>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i/>
      <w:iCs/>
      <w:color w:val="FFFFFF"/>
      <w:sz w:val="24"/>
      <w:szCs w:val="24"/>
    </w:rPr>
  </w:style>
  <w:style w:type="paragraph" w:customStyle="1" w:styleId="xl19">
    <w:name w:val="xl19"/>
    <w:basedOn w:val="Normal"/>
    <w:rsid w:val="007425A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
    <w:name w:val="xl20"/>
    <w:basedOn w:val="Normal"/>
    <w:rsid w:val="007425A1"/>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
    <w:name w:val="xl21"/>
    <w:basedOn w:val="Normal"/>
    <w:rsid w:val="007425A1"/>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
    <w:name w:val="xl27"/>
    <w:basedOn w:val="Normal"/>
    <w:rsid w:val="007425A1"/>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character" w:customStyle="1" w:styleId="font01">
    <w:name w:val="font01"/>
    <w:basedOn w:val="DefaultParagraphFont"/>
    <w:rsid w:val="007425A1"/>
    <w:rPr>
      <w:rFonts w:ascii="Calibri" w:hAnsi="Calibri" w:cs="Calibri" w:hint="default"/>
      <w:b w:val="0"/>
      <w:bCs w:val="0"/>
      <w:i w:val="0"/>
      <w:iCs w:val="0"/>
      <w:strike w:val="0"/>
      <w:dstrike w:val="0"/>
      <w:color w:val="000000"/>
      <w:sz w:val="22"/>
      <w:szCs w:val="22"/>
      <w:u w:val="none"/>
      <w:effect w:val="none"/>
    </w:rPr>
  </w:style>
  <w:style w:type="paragraph" w:customStyle="1" w:styleId="font6">
    <w:name w:val="font6"/>
    <w:basedOn w:val="Normal"/>
    <w:rsid w:val="007425A1"/>
    <w:pPr>
      <w:spacing w:before="100" w:beforeAutospacing="1" w:after="100" w:afterAutospacing="1" w:line="240" w:lineRule="auto"/>
    </w:pPr>
    <w:rPr>
      <w:rFonts w:ascii="Calibri" w:eastAsia="Times New Roman" w:hAnsi="Calibri" w:cs="Calibri"/>
      <w:b/>
      <w:bCs/>
      <w:i/>
      <w:iCs/>
      <w:color w:val="FFFFFF"/>
    </w:rPr>
  </w:style>
  <w:style w:type="paragraph" w:customStyle="1" w:styleId="font8">
    <w:name w:val="font8"/>
    <w:basedOn w:val="Normal"/>
    <w:rsid w:val="007425A1"/>
    <w:pPr>
      <w:spacing w:before="100" w:beforeAutospacing="1" w:after="100" w:afterAutospacing="1" w:line="240" w:lineRule="auto"/>
    </w:pPr>
    <w:rPr>
      <w:rFonts w:ascii="Calibri" w:eastAsia="Times New Roman" w:hAnsi="Calibri" w:cs="Calibri"/>
      <w:i/>
      <w:iCs/>
      <w:color w:val="000000"/>
    </w:rPr>
  </w:style>
  <w:style w:type="paragraph" w:customStyle="1" w:styleId="xl75">
    <w:name w:val="xl75"/>
    <w:basedOn w:val="Normal"/>
    <w:rsid w:val="007425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6">
    <w:name w:val="xl76"/>
    <w:basedOn w:val="Normal"/>
    <w:rsid w:val="007425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7">
    <w:name w:val="xl77"/>
    <w:basedOn w:val="Normal"/>
    <w:rsid w:val="007425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7425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7425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0">
    <w:name w:val="xl80"/>
    <w:basedOn w:val="Normal"/>
    <w:rsid w:val="007425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1">
    <w:name w:val="xl81"/>
    <w:basedOn w:val="Normal"/>
    <w:rsid w:val="007425A1"/>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82">
    <w:name w:val="xl82"/>
    <w:basedOn w:val="Normal"/>
    <w:rsid w:val="007425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7425A1"/>
    <w:pP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4">
    <w:name w:val="xl84"/>
    <w:basedOn w:val="Normal"/>
    <w:rsid w:val="007425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7425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6">
    <w:name w:val="xl86"/>
    <w:basedOn w:val="Normal"/>
    <w:rsid w:val="007425A1"/>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87">
    <w:name w:val="xl87"/>
    <w:basedOn w:val="Normal"/>
    <w:rsid w:val="007425A1"/>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HTMLPreformatted">
    <w:name w:val="HTML Preformatted"/>
    <w:basedOn w:val="Normal"/>
    <w:link w:val="HTMLPreformattedChar"/>
    <w:uiPriority w:val="99"/>
    <w:rsid w:val="007425A1"/>
    <w:pPr>
      <w:spacing w:after="0" w:line="240" w:lineRule="auto"/>
    </w:pPr>
    <w:rPr>
      <w:rFonts w:ascii="Consolas" w:eastAsia="Times New Roman" w:hAnsi="Consolas" w:cs="Times New Roman"/>
      <w:sz w:val="20"/>
      <w:szCs w:val="20"/>
    </w:rPr>
  </w:style>
  <w:style w:type="character" w:customStyle="1" w:styleId="HTMLPreformattedChar">
    <w:name w:val="HTML Preformatted Char"/>
    <w:basedOn w:val="DefaultParagraphFont"/>
    <w:link w:val="HTMLPreformatted"/>
    <w:uiPriority w:val="99"/>
    <w:rsid w:val="007425A1"/>
    <w:rPr>
      <w:rFonts w:ascii="Consolas" w:eastAsia="Times New Roman" w:hAnsi="Consolas" w:cs="Times New Roman"/>
      <w:sz w:val="20"/>
      <w:szCs w:val="20"/>
    </w:rPr>
  </w:style>
  <w:style w:type="table" w:customStyle="1" w:styleId="GridTable1Light1">
    <w:name w:val="Grid Table 1 Light1"/>
    <w:basedOn w:val="TableNormal"/>
    <w:uiPriority w:val="46"/>
    <w:rsid w:val="007E31E3"/>
    <w:pPr>
      <w:spacing w:after="0" w:line="240" w:lineRule="auto"/>
    </w:pPr>
    <w:rPr>
      <w:sz w:val="24"/>
      <w:szCs w:val="24"/>
      <w:lang w:bidi="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7E31E3"/>
    <w:pPr>
      <w:spacing w:after="0" w:line="240" w:lineRule="auto"/>
    </w:pPr>
    <w:rPr>
      <w:sz w:val="24"/>
      <w:szCs w:val="24"/>
      <w:lang w:bidi="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7E31E3"/>
    <w:pPr>
      <w:spacing w:after="0" w:line="240" w:lineRule="auto"/>
    </w:pPr>
    <w:rPr>
      <w:sz w:val="24"/>
      <w:szCs w:val="24"/>
      <w:lang w:bidi="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7E31E3"/>
    <w:rPr>
      <w:color w:val="605E5C"/>
      <w:shd w:val="clear" w:color="auto" w:fill="E1DFDD"/>
    </w:rPr>
  </w:style>
  <w:style w:type="paragraph" w:customStyle="1" w:styleId="Heading11">
    <w:name w:val="Heading 11"/>
    <w:basedOn w:val="Normal"/>
    <w:next w:val="Normal"/>
    <w:uiPriority w:val="9"/>
    <w:qFormat/>
    <w:rsid w:val="007E31E3"/>
    <w:pPr>
      <w:keepNext/>
      <w:keepLines/>
      <w:spacing w:before="240" w:after="0" w:line="240" w:lineRule="auto"/>
      <w:outlineLvl w:val="0"/>
    </w:pPr>
    <w:rPr>
      <w:rFonts w:ascii="Calibri Light" w:eastAsia="Times New Roman" w:hAnsi="Calibri Light" w:cs="Times New Roman"/>
      <w:color w:val="2F5496"/>
      <w:sz w:val="32"/>
      <w:szCs w:val="32"/>
      <w:lang w:bidi="en-US"/>
    </w:rPr>
  </w:style>
  <w:style w:type="paragraph" w:customStyle="1" w:styleId="Title1">
    <w:name w:val="Title1"/>
    <w:basedOn w:val="Normal"/>
    <w:next w:val="Normal"/>
    <w:uiPriority w:val="10"/>
    <w:qFormat/>
    <w:rsid w:val="007E31E3"/>
    <w:pPr>
      <w:spacing w:after="0" w:line="240" w:lineRule="auto"/>
      <w:contextualSpacing/>
    </w:pPr>
    <w:rPr>
      <w:rFonts w:ascii="Calibri Light" w:eastAsia="Times New Roman" w:hAnsi="Calibri Light" w:cs="Times New Roman"/>
      <w:spacing w:val="-10"/>
      <w:kern w:val="28"/>
      <w:sz w:val="56"/>
      <w:szCs w:val="56"/>
      <w:lang w:bidi="en-US"/>
    </w:rPr>
  </w:style>
  <w:style w:type="paragraph" w:customStyle="1" w:styleId="Subtitle1">
    <w:name w:val="Subtitle1"/>
    <w:basedOn w:val="Normal"/>
    <w:next w:val="Normal"/>
    <w:uiPriority w:val="11"/>
    <w:qFormat/>
    <w:rsid w:val="007E31E3"/>
    <w:pPr>
      <w:numPr>
        <w:ilvl w:val="1"/>
      </w:numPr>
      <w:spacing w:line="240" w:lineRule="auto"/>
    </w:pPr>
    <w:rPr>
      <w:rFonts w:eastAsia="Times New Roman"/>
      <w:color w:val="5A5A5A"/>
      <w:spacing w:val="15"/>
      <w:lang w:bidi="en-US"/>
    </w:rPr>
  </w:style>
  <w:style w:type="paragraph" w:customStyle="1" w:styleId="Caption1">
    <w:name w:val="Caption1"/>
    <w:basedOn w:val="Normal"/>
    <w:next w:val="Normal"/>
    <w:uiPriority w:val="35"/>
    <w:unhideWhenUsed/>
    <w:qFormat/>
    <w:rsid w:val="007E31E3"/>
    <w:pPr>
      <w:spacing w:after="200" w:line="240" w:lineRule="auto"/>
    </w:pPr>
    <w:rPr>
      <w:i/>
      <w:iCs/>
      <w:color w:val="44546A"/>
      <w:sz w:val="18"/>
      <w:szCs w:val="18"/>
      <w:lang w:bidi="en-US"/>
    </w:rPr>
  </w:style>
  <w:style w:type="character" w:customStyle="1" w:styleId="BalloonTextChar1">
    <w:name w:val="Balloon Text Char1"/>
    <w:basedOn w:val="DefaultParagraphFont"/>
    <w:uiPriority w:val="99"/>
    <w:semiHidden/>
    <w:rsid w:val="007E31E3"/>
    <w:rPr>
      <w:rFonts w:ascii="Segoe UI" w:hAnsi="Segoe UI" w:cs="Segoe UI"/>
      <w:sz w:val="18"/>
      <w:szCs w:val="18"/>
    </w:rPr>
  </w:style>
  <w:style w:type="character" w:customStyle="1" w:styleId="CommentTextChar1">
    <w:name w:val="Comment Text Char1"/>
    <w:basedOn w:val="DefaultParagraphFont"/>
    <w:uiPriority w:val="99"/>
    <w:semiHidden/>
    <w:rsid w:val="007E31E3"/>
    <w:rPr>
      <w:sz w:val="20"/>
      <w:szCs w:val="20"/>
    </w:rPr>
  </w:style>
  <w:style w:type="character" w:customStyle="1" w:styleId="CommentSubjectChar1">
    <w:name w:val="Comment Subject Char1"/>
    <w:basedOn w:val="CommentTextChar1"/>
    <w:uiPriority w:val="99"/>
    <w:semiHidden/>
    <w:rsid w:val="007E31E3"/>
    <w:rPr>
      <w:b/>
      <w:bCs/>
      <w:sz w:val="20"/>
      <w:szCs w:val="20"/>
    </w:rPr>
  </w:style>
  <w:style w:type="character" w:customStyle="1" w:styleId="BodyTextIndent2Char1">
    <w:name w:val="Body Text Indent 2 Char1"/>
    <w:basedOn w:val="DefaultParagraphFont"/>
    <w:uiPriority w:val="99"/>
    <w:semiHidden/>
    <w:rsid w:val="007E31E3"/>
  </w:style>
  <w:style w:type="character" w:customStyle="1" w:styleId="HTMLPreformattedChar1">
    <w:name w:val="HTML Preformatted Char1"/>
    <w:basedOn w:val="DefaultParagraphFont"/>
    <w:uiPriority w:val="99"/>
    <w:semiHidden/>
    <w:rsid w:val="007E31E3"/>
    <w:rPr>
      <w:rFonts w:ascii="Consolas" w:hAnsi="Consolas"/>
      <w:sz w:val="20"/>
      <w:szCs w:val="20"/>
    </w:rPr>
  </w:style>
  <w:style w:type="character" w:customStyle="1" w:styleId="Heading1Char1">
    <w:name w:val="Heading 1 Char1"/>
    <w:basedOn w:val="DefaultParagraphFont"/>
    <w:uiPriority w:val="9"/>
    <w:rsid w:val="007E31E3"/>
    <w:rPr>
      <w:rFonts w:asciiTheme="majorHAnsi" w:eastAsiaTheme="majorEastAsia" w:hAnsiTheme="majorHAnsi" w:cstheme="majorBidi"/>
      <w:color w:val="2E74B5" w:themeColor="accent1" w:themeShade="BF"/>
      <w:sz w:val="32"/>
      <w:szCs w:val="32"/>
    </w:rPr>
  </w:style>
  <w:style w:type="character" w:customStyle="1" w:styleId="TitleChar1">
    <w:name w:val="Title Char1"/>
    <w:basedOn w:val="DefaultParagraphFont"/>
    <w:uiPriority w:val="10"/>
    <w:rsid w:val="007E31E3"/>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7E31E3"/>
    <w:rPr>
      <w:rFonts w:eastAsiaTheme="minorEastAsia"/>
      <w:color w:val="5A5A5A" w:themeColor="text1" w:themeTint="A5"/>
      <w:spacing w:val="15"/>
    </w:rPr>
  </w:style>
  <w:style w:type="paragraph" w:customStyle="1" w:styleId="xlistparagraph">
    <w:name w:val="xlistparagraph"/>
    <w:basedOn w:val="Normal"/>
    <w:rsid w:val="007E31E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xnenhum">
    <w:name w:val="xnenhum"/>
    <w:basedOn w:val="DefaultParagraphFont"/>
    <w:rsid w:val="007E31E3"/>
  </w:style>
  <w:style w:type="paragraph" w:customStyle="1" w:styleId="xmsonormal">
    <w:name w:val="xmsonormal"/>
    <w:basedOn w:val="Normal"/>
    <w:rsid w:val="007E31E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rmaltextrun">
    <w:name w:val="normaltextrun"/>
    <w:basedOn w:val="DefaultParagraphFont"/>
    <w:rsid w:val="007E31E3"/>
  </w:style>
  <w:style w:type="character" w:customStyle="1" w:styleId="findhit">
    <w:name w:val="findhit"/>
    <w:basedOn w:val="DefaultParagraphFont"/>
    <w:rsid w:val="007E31E3"/>
  </w:style>
  <w:style w:type="table" w:styleId="GridTable4-Accent1">
    <w:name w:val="Grid Table 4 Accent 1"/>
    <w:basedOn w:val="TableNormal"/>
    <w:uiPriority w:val="49"/>
    <w:rsid w:val="003022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2">
    <w:name w:val="Unresolved Mention2"/>
    <w:basedOn w:val="DefaultParagraphFont"/>
    <w:uiPriority w:val="99"/>
    <w:semiHidden/>
    <w:unhideWhenUsed/>
    <w:rsid w:val="00302253"/>
    <w:rPr>
      <w:color w:val="605E5C"/>
      <w:shd w:val="clear" w:color="auto" w:fill="E1DFDD"/>
    </w:rPr>
  </w:style>
  <w:style w:type="table" w:styleId="GridTable6Colorful-Accent5">
    <w:name w:val="Grid Table 6 Colorful Accent 5"/>
    <w:basedOn w:val="TableNormal"/>
    <w:uiPriority w:val="51"/>
    <w:rsid w:val="00302253"/>
    <w:pPr>
      <w:spacing w:after="0" w:line="240" w:lineRule="auto"/>
    </w:pPr>
    <w:rPr>
      <w:color w:val="2F5496" w:themeColor="accent5" w:themeShade="BF"/>
      <w:sz w:val="24"/>
      <w:szCs w:val="24"/>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CurrentList1">
    <w:name w:val="Current List1"/>
    <w:uiPriority w:val="99"/>
    <w:rsid w:val="00302253"/>
    <w:pPr>
      <w:numPr>
        <w:numId w:val="31"/>
      </w:numPr>
    </w:pPr>
  </w:style>
  <w:style w:type="paragraph" w:customStyle="1" w:styleId="Body">
    <w:name w:val="Body"/>
    <w:link w:val="BodyChar"/>
    <w:rsid w:val="00842401"/>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rPr>
  </w:style>
  <w:style w:type="paragraph" w:customStyle="1" w:styleId="HeaderFooter">
    <w:name w:val="Header &amp; Footer"/>
    <w:rsid w:val="00842401"/>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bdr w:val="nil"/>
    </w:rPr>
  </w:style>
  <w:style w:type="numbering" w:customStyle="1" w:styleId="ImportedStyle1">
    <w:name w:val="Imported Style 1"/>
    <w:rsid w:val="00842401"/>
    <w:pPr>
      <w:numPr>
        <w:numId w:val="38"/>
      </w:numPr>
    </w:pPr>
  </w:style>
  <w:style w:type="character" w:customStyle="1" w:styleId="None">
    <w:name w:val="None"/>
    <w:rsid w:val="00842401"/>
  </w:style>
  <w:style w:type="character" w:customStyle="1" w:styleId="Hyperlink0">
    <w:name w:val="Hyperlink.0"/>
    <w:basedOn w:val="None"/>
    <w:rsid w:val="00842401"/>
    <w:rPr>
      <w:color w:val="0563C1"/>
      <w:u w:val="single" w:color="0563C1"/>
      <w:lang w:val="es-ES_tradnl"/>
      <w14:textOutline w14:w="0" w14:cap="rnd" w14:cmpd="sng" w14:algn="ctr">
        <w14:noFill/>
        <w14:prstDash w14:val="solid"/>
        <w14:bevel/>
      </w14:textOutline>
    </w:rPr>
  </w:style>
  <w:style w:type="character" w:customStyle="1" w:styleId="Link">
    <w:name w:val="Link"/>
    <w:rsid w:val="00842401"/>
    <w:rPr>
      <w:color w:val="0563C1"/>
      <w:u w:val="single" w:color="0563C1"/>
      <w14:textOutline w14:w="0" w14:cap="rnd" w14:cmpd="sng" w14:algn="ctr">
        <w14:noFill/>
        <w14:prstDash w14:val="solid"/>
        <w14:bevel/>
      </w14:textOutline>
    </w:rPr>
  </w:style>
  <w:style w:type="character" w:customStyle="1" w:styleId="Hyperlink2">
    <w:name w:val="Hyperlink.2"/>
    <w:basedOn w:val="None"/>
    <w:rsid w:val="00842401"/>
    <w:rPr>
      <w:color w:val="0D499C"/>
      <w:u w:val="single" w:color="0D499C"/>
      <w:shd w:val="clear" w:color="auto" w:fill="FFFFFF"/>
      <w:lang w:val="es-ES_tradnl"/>
      <w14:textOutline w14:w="0" w14:cap="rnd" w14:cmpd="sng" w14:algn="ctr">
        <w14:noFill/>
        <w14:prstDash w14:val="solid"/>
        <w14:bevel/>
      </w14:textOutline>
    </w:rPr>
  </w:style>
  <w:style w:type="character" w:customStyle="1" w:styleId="Hyperlink3">
    <w:name w:val="Hyperlink.3"/>
    <w:basedOn w:val="Link"/>
    <w:rsid w:val="00842401"/>
    <w:rPr>
      <w:color w:val="0563C1"/>
      <w:u w:val="single" w:color="0563C1"/>
      <w:shd w:val="clear" w:color="auto" w:fill="FFFFFF"/>
      <w:lang w:val="es-ES_tradnl"/>
      <w14:textOutline w14:w="0" w14:cap="rnd" w14:cmpd="sng" w14:algn="ctr">
        <w14:noFill/>
        <w14:prstDash w14:val="solid"/>
        <w14:bevel/>
      </w14:textOutline>
    </w:rPr>
  </w:style>
  <w:style w:type="numbering" w:customStyle="1" w:styleId="ImportedStyle2">
    <w:name w:val="Imported Style 2"/>
    <w:rsid w:val="00842401"/>
    <w:pPr>
      <w:numPr>
        <w:numId w:val="40"/>
      </w:numPr>
    </w:pPr>
  </w:style>
  <w:style w:type="numbering" w:customStyle="1" w:styleId="ImportedStyle3">
    <w:name w:val="Imported Style 3"/>
    <w:rsid w:val="00842401"/>
    <w:pPr>
      <w:numPr>
        <w:numId w:val="41"/>
      </w:numPr>
    </w:pPr>
  </w:style>
  <w:style w:type="character" w:customStyle="1" w:styleId="Hyperlink4">
    <w:name w:val="Hyperlink.4"/>
    <w:basedOn w:val="Link"/>
    <w:rsid w:val="00842401"/>
    <w:rPr>
      <w:color w:val="0563C1"/>
      <w:sz w:val="16"/>
      <w:szCs w:val="16"/>
      <w:u w:val="single" w:color="0563C1"/>
      <w:lang w:val="es-ES_tradnl"/>
      <w14:textOutline w14:w="0" w14:cap="rnd" w14:cmpd="sng" w14:algn="ctr">
        <w14:noFill/>
        <w14:prstDash w14:val="solid"/>
        <w14:bevel/>
      </w14:textOutline>
    </w:rPr>
  </w:style>
  <w:style w:type="paragraph" w:customStyle="1" w:styleId="paragraphs">
    <w:name w:val="paragraphs"/>
    <w:basedOn w:val="Body"/>
    <w:link w:val="paragraphsChar"/>
    <w:qFormat/>
    <w:rsid w:val="00842401"/>
    <w:pPr>
      <w:numPr>
        <w:numId w:val="39"/>
      </w:numPr>
      <w:spacing w:after="240"/>
      <w:ind w:firstLine="720"/>
      <w:jc w:val="both"/>
    </w:pPr>
    <w:rPr>
      <w:rFonts w:ascii="Cambria" w:hAnsi="Cambria"/>
    </w:rPr>
  </w:style>
  <w:style w:type="character" w:customStyle="1" w:styleId="BodyChar">
    <w:name w:val="Body Char"/>
    <w:basedOn w:val="DefaultParagraphFont"/>
    <w:link w:val="Body"/>
    <w:rsid w:val="00842401"/>
    <w:rPr>
      <w:rFonts w:ascii="Calibri" w:eastAsia="Calibri" w:hAnsi="Calibri" w:cs="Calibri"/>
      <w:color w:val="000000"/>
      <w:sz w:val="24"/>
      <w:szCs w:val="24"/>
      <w:u w:color="000000"/>
      <w:bdr w:val="nil"/>
    </w:rPr>
  </w:style>
  <w:style w:type="character" w:customStyle="1" w:styleId="paragraphsChar">
    <w:name w:val="paragraphs Char"/>
    <w:basedOn w:val="BodyChar"/>
    <w:link w:val="paragraphs"/>
    <w:rsid w:val="00842401"/>
    <w:rPr>
      <w:rFonts w:ascii="Cambria" w:eastAsia="Calibri" w:hAnsi="Cambria" w:cs="Calibri"/>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12278">
      <w:bodyDiv w:val="1"/>
      <w:marLeft w:val="0"/>
      <w:marRight w:val="0"/>
      <w:marTop w:val="0"/>
      <w:marBottom w:val="0"/>
      <w:divBdr>
        <w:top w:val="none" w:sz="0" w:space="0" w:color="auto"/>
        <w:left w:val="none" w:sz="0" w:space="0" w:color="auto"/>
        <w:bottom w:val="none" w:sz="0" w:space="0" w:color="auto"/>
        <w:right w:val="none" w:sz="0" w:space="0" w:color="auto"/>
      </w:divBdr>
      <w:divsChild>
        <w:div w:id="225645876">
          <w:marLeft w:val="0"/>
          <w:marRight w:val="0"/>
          <w:marTop w:val="0"/>
          <w:marBottom w:val="0"/>
          <w:divBdr>
            <w:top w:val="none" w:sz="0" w:space="0" w:color="auto"/>
            <w:left w:val="none" w:sz="0" w:space="0" w:color="auto"/>
            <w:bottom w:val="none" w:sz="0" w:space="0" w:color="auto"/>
            <w:right w:val="none" w:sz="0" w:space="0" w:color="auto"/>
          </w:divBdr>
          <w:divsChild>
            <w:div w:id="1886480241">
              <w:marLeft w:val="0"/>
              <w:marRight w:val="0"/>
              <w:marTop w:val="0"/>
              <w:marBottom w:val="0"/>
              <w:divBdr>
                <w:top w:val="none" w:sz="0" w:space="0" w:color="auto"/>
                <w:left w:val="none" w:sz="0" w:space="0" w:color="auto"/>
                <w:bottom w:val="none" w:sz="0" w:space="0" w:color="auto"/>
                <w:right w:val="none" w:sz="0" w:space="0" w:color="auto"/>
              </w:divBdr>
              <w:divsChild>
                <w:div w:id="89863371">
                  <w:marLeft w:val="0"/>
                  <w:marRight w:val="0"/>
                  <w:marTop w:val="0"/>
                  <w:marBottom w:val="0"/>
                  <w:divBdr>
                    <w:top w:val="none" w:sz="0" w:space="0" w:color="auto"/>
                    <w:left w:val="none" w:sz="0" w:space="0" w:color="auto"/>
                    <w:bottom w:val="none" w:sz="0" w:space="0" w:color="auto"/>
                    <w:right w:val="none" w:sz="0" w:space="0" w:color="auto"/>
                  </w:divBdr>
                  <w:divsChild>
                    <w:div w:id="345013897">
                      <w:marLeft w:val="0"/>
                      <w:marRight w:val="0"/>
                      <w:marTop w:val="0"/>
                      <w:marBottom w:val="0"/>
                      <w:divBdr>
                        <w:top w:val="none" w:sz="0" w:space="0" w:color="auto"/>
                        <w:left w:val="none" w:sz="0" w:space="0" w:color="auto"/>
                        <w:bottom w:val="none" w:sz="0" w:space="0" w:color="auto"/>
                        <w:right w:val="none" w:sz="0" w:space="0" w:color="auto"/>
                      </w:divBdr>
                      <w:divsChild>
                        <w:div w:id="1311668920">
                          <w:marLeft w:val="0"/>
                          <w:marRight w:val="0"/>
                          <w:marTop w:val="0"/>
                          <w:marBottom w:val="0"/>
                          <w:divBdr>
                            <w:top w:val="none" w:sz="0" w:space="0" w:color="auto"/>
                            <w:left w:val="none" w:sz="0" w:space="0" w:color="auto"/>
                            <w:bottom w:val="none" w:sz="0" w:space="0" w:color="auto"/>
                            <w:right w:val="none" w:sz="0" w:space="0" w:color="auto"/>
                          </w:divBdr>
                          <w:divsChild>
                            <w:div w:id="1451824475">
                              <w:marLeft w:val="0"/>
                              <w:marRight w:val="0"/>
                              <w:marTop w:val="0"/>
                              <w:marBottom w:val="0"/>
                              <w:divBdr>
                                <w:top w:val="none" w:sz="0" w:space="0" w:color="auto"/>
                                <w:left w:val="none" w:sz="0" w:space="0" w:color="auto"/>
                                <w:bottom w:val="none" w:sz="0" w:space="0" w:color="auto"/>
                                <w:right w:val="none" w:sz="0" w:space="0" w:color="auto"/>
                              </w:divBdr>
                              <w:divsChild>
                                <w:div w:id="2050714330">
                                  <w:marLeft w:val="0"/>
                                  <w:marRight w:val="0"/>
                                  <w:marTop w:val="0"/>
                                  <w:marBottom w:val="0"/>
                                  <w:divBdr>
                                    <w:top w:val="none" w:sz="0" w:space="0" w:color="auto"/>
                                    <w:left w:val="none" w:sz="0" w:space="0" w:color="auto"/>
                                    <w:bottom w:val="none" w:sz="0" w:space="0" w:color="auto"/>
                                    <w:right w:val="none" w:sz="0" w:space="0" w:color="auto"/>
                                  </w:divBdr>
                                  <w:divsChild>
                                    <w:div w:id="911424186">
                                      <w:marLeft w:val="0"/>
                                      <w:marRight w:val="0"/>
                                      <w:marTop w:val="0"/>
                                      <w:marBottom w:val="0"/>
                                      <w:divBdr>
                                        <w:top w:val="none" w:sz="0" w:space="0" w:color="auto"/>
                                        <w:left w:val="none" w:sz="0" w:space="0" w:color="auto"/>
                                        <w:bottom w:val="none" w:sz="0" w:space="0" w:color="auto"/>
                                        <w:right w:val="none" w:sz="0" w:space="0" w:color="auto"/>
                                      </w:divBdr>
                                      <w:divsChild>
                                        <w:div w:id="682829318">
                                          <w:marLeft w:val="0"/>
                                          <w:marRight w:val="0"/>
                                          <w:marTop w:val="0"/>
                                          <w:marBottom w:val="0"/>
                                          <w:divBdr>
                                            <w:top w:val="none" w:sz="0" w:space="0" w:color="auto"/>
                                            <w:left w:val="none" w:sz="0" w:space="0" w:color="auto"/>
                                            <w:bottom w:val="none" w:sz="0" w:space="0" w:color="auto"/>
                                            <w:right w:val="none" w:sz="0" w:space="0" w:color="auto"/>
                                          </w:divBdr>
                                          <w:divsChild>
                                            <w:div w:id="343868140">
                                              <w:marLeft w:val="0"/>
                                              <w:marRight w:val="0"/>
                                              <w:marTop w:val="0"/>
                                              <w:marBottom w:val="0"/>
                                              <w:divBdr>
                                                <w:top w:val="none" w:sz="0" w:space="0" w:color="auto"/>
                                                <w:left w:val="none" w:sz="0" w:space="0" w:color="auto"/>
                                                <w:bottom w:val="none" w:sz="0" w:space="0" w:color="auto"/>
                                                <w:right w:val="none" w:sz="0" w:space="0" w:color="auto"/>
                                              </w:divBdr>
                                              <w:divsChild>
                                                <w:div w:id="585379380">
                                                  <w:marLeft w:val="0"/>
                                                  <w:marRight w:val="0"/>
                                                  <w:marTop w:val="0"/>
                                                  <w:marBottom w:val="885"/>
                                                  <w:divBdr>
                                                    <w:top w:val="none" w:sz="0" w:space="0" w:color="auto"/>
                                                    <w:left w:val="none" w:sz="0" w:space="0" w:color="auto"/>
                                                    <w:bottom w:val="none" w:sz="0" w:space="0" w:color="auto"/>
                                                    <w:right w:val="none" w:sz="0" w:space="0" w:color="auto"/>
                                                  </w:divBdr>
                                                  <w:divsChild>
                                                    <w:div w:id="953288395">
                                                      <w:marLeft w:val="0"/>
                                                      <w:marRight w:val="0"/>
                                                      <w:marTop w:val="0"/>
                                                      <w:marBottom w:val="0"/>
                                                      <w:divBdr>
                                                        <w:top w:val="none" w:sz="0" w:space="0" w:color="auto"/>
                                                        <w:left w:val="none" w:sz="0" w:space="0" w:color="auto"/>
                                                        <w:bottom w:val="none" w:sz="0" w:space="0" w:color="auto"/>
                                                        <w:right w:val="none" w:sz="0" w:space="0" w:color="auto"/>
                                                      </w:divBdr>
                                                      <w:divsChild>
                                                        <w:div w:id="892619889">
                                                          <w:marLeft w:val="0"/>
                                                          <w:marRight w:val="0"/>
                                                          <w:marTop w:val="0"/>
                                                          <w:marBottom w:val="0"/>
                                                          <w:divBdr>
                                                            <w:top w:val="single" w:sz="6" w:space="0" w:color="ABABAB"/>
                                                            <w:left w:val="single" w:sz="6" w:space="0" w:color="ABABAB"/>
                                                            <w:bottom w:val="single" w:sz="6" w:space="0" w:color="ABABAB"/>
                                                            <w:right w:val="single" w:sz="6" w:space="0" w:color="ABABAB"/>
                                                          </w:divBdr>
                                                          <w:divsChild>
                                                            <w:div w:id="1423798445">
                                                              <w:marLeft w:val="0"/>
                                                              <w:marRight w:val="0"/>
                                                              <w:marTop w:val="0"/>
                                                              <w:marBottom w:val="0"/>
                                                              <w:divBdr>
                                                                <w:top w:val="none" w:sz="0" w:space="0" w:color="auto"/>
                                                                <w:left w:val="none" w:sz="0" w:space="0" w:color="auto"/>
                                                                <w:bottom w:val="none" w:sz="0" w:space="0" w:color="auto"/>
                                                                <w:right w:val="none" w:sz="0" w:space="0" w:color="auto"/>
                                                              </w:divBdr>
                                                              <w:divsChild>
                                                                <w:div w:id="1750227056">
                                                                  <w:marLeft w:val="0"/>
                                                                  <w:marRight w:val="0"/>
                                                                  <w:marTop w:val="0"/>
                                                                  <w:marBottom w:val="0"/>
                                                                  <w:divBdr>
                                                                    <w:top w:val="none" w:sz="0" w:space="0" w:color="auto"/>
                                                                    <w:left w:val="none" w:sz="0" w:space="0" w:color="auto"/>
                                                                    <w:bottom w:val="none" w:sz="0" w:space="0" w:color="auto"/>
                                                                    <w:right w:val="none" w:sz="0" w:space="0" w:color="auto"/>
                                                                  </w:divBdr>
                                                                  <w:divsChild>
                                                                    <w:div w:id="1692142565">
                                                                      <w:marLeft w:val="0"/>
                                                                      <w:marRight w:val="0"/>
                                                                      <w:marTop w:val="0"/>
                                                                      <w:marBottom w:val="0"/>
                                                                      <w:divBdr>
                                                                        <w:top w:val="none" w:sz="0" w:space="0" w:color="auto"/>
                                                                        <w:left w:val="none" w:sz="0" w:space="0" w:color="auto"/>
                                                                        <w:bottom w:val="none" w:sz="0" w:space="0" w:color="auto"/>
                                                                        <w:right w:val="none" w:sz="0" w:space="0" w:color="auto"/>
                                                                      </w:divBdr>
                                                                      <w:divsChild>
                                                                        <w:div w:id="794983846">
                                                                          <w:marLeft w:val="0"/>
                                                                          <w:marRight w:val="0"/>
                                                                          <w:marTop w:val="0"/>
                                                                          <w:marBottom w:val="0"/>
                                                                          <w:divBdr>
                                                                            <w:top w:val="none" w:sz="0" w:space="0" w:color="auto"/>
                                                                            <w:left w:val="none" w:sz="0" w:space="0" w:color="auto"/>
                                                                            <w:bottom w:val="none" w:sz="0" w:space="0" w:color="auto"/>
                                                                            <w:right w:val="none" w:sz="0" w:space="0" w:color="auto"/>
                                                                          </w:divBdr>
                                                                          <w:divsChild>
                                                                            <w:div w:id="1665207495">
                                                                              <w:marLeft w:val="0"/>
                                                                              <w:marRight w:val="0"/>
                                                                              <w:marTop w:val="0"/>
                                                                              <w:marBottom w:val="0"/>
                                                                              <w:divBdr>
                                                                                <w:top w:val="none" w:sz="0" w:space="0" w:color="auto"/>
                                                                                <w:left w:val="none" w:sz="0" w:space="0" w:color="auto"/>
                                                                                <w:bottom w:val="none" w:sz="0" w:space="0" w:color="auto"/>
                                                                                <w:right w:val="none" w:sz="0" w:space="0" w:color="auto"/>
                                                                              </w:divBdr>
                                                                              <w:divsChild>
                                                                                <w:div w:id="751046783">
                                                                                  <w:marLeft w:val="0"/>
                                                                                  <w:marRight w:val="0"/>
                                                                                  <w:marTop w:val="0"/>
                                                                                  <w:marBottom w:val="0"/>
                                                                                  <w:divBdr>
                                                                                    <w:top w:val="none" w:sz="0" w:space="0" w:color="auto"/>
                                                                                    <w:left w:val="none" w:sz="0" w:space="0" w:color="auto"/>
                                                                                    <w:bottom w:val="none" w:sz="0" w:space="0" w:color="auto"/>
                                                                                    <w:right w:val="none" w:sz="0" w:space="0" w:color="auto"/>
                                                                                  </w:divBdr>
                                                                                  <w:divsChild>
                                                                                    <w:div w:id="1168592783">
                                                                                      <w:marLeft w:val="0"/>
                                                                                      <w:marRight w:val="0"/>
                                                                                      <w:marTop w:val="0"/>
                                                                                      <w:marBottom w:val="0"/>
                                                                                      <w:divBdr>
                                                                                        <w:top w:val="none" w:sz="0" w:space="0" w:color="auto"/>
                                                                                        <w:left w:val="none" w:sz="0" w:space="0" w:color="auto"/>
                                                                                        <w:bottom w:val="none" w:sz="0" w:space="0" w:color="auto"/>
                                                                                        <w:right w:val="none" w:sz="0" w:space="0" w:color="auto"/>
                                                                                      </w:divBdr>
                                                                                      <w:divsChild>
                                                                                        <w:div w:id="853687798">
                                                                                          <w:marLeft w:val="0"/>
                                                                                          <w:marRight w:val="0"/>
                                                                                          <w:marTop w:val="0"/>
                                                                                          <w:marBottom w:val="0"/>
                                                                                          <w:divBdr>
                                                                                            <w:top w:val="none" w:sz="0" w:space="0" w:color="auto"/>
                                                                                            <w:left w:val="none" w:sz="0" w:space="0" w:color="auto"/>
                                                                                            <w:bottom w:val="none" w:sz="0" w:space="0" w:color="auto"/>
                                                                                            <w:right w:val="none" w:sz="0" w:space="0" w:color="auto"/>
                                                                                          </w:divBdr>
                                                                                        </w:div>
                                                                                        <w:div w:id="758714382">
                                                                                          <w:marLeft w:val="0"/>
                                                                                          <w:marRight w:val="0"/>
                                                                                          <w:marTop w:val="0"/>
                                                                                          <w:marBottom w:val="0"/>
                                                                                          <w:divBdr>
                                                                                            <w:top w:val="none" w:sz="0" w:space="0" w:color="auto"/>
                                                                                            <w:left w:val="none" w:sz="0" w:space="0" w:color="auto"/>
                                                                                            <w:bottom w:val="none" w:sz="0" w:space="0" w:color="auto"/>
                                                                                            <w:right w:val="none" w:sz="0" w:space="0" w:color="auto"/>
                                                                                          </w:divBdr>
                                                                                        </w:div>
                                                                                        <w:div w:id="240680667">
                                                                                          <w:marLeft w:val="0"/>
                                                                                          <w:marRight w:val="0"/>
                                                                                          <w:marTop w:val="0"/>
                                                                                          <w:marBottom w:val="0"/>
                                                                                          <w:divBdr>
                                                                                            <w:top w:val="none" w:sz="0" w:space="0" w:color="auto"/>
                                                                                            <w:left w:val="none" w:sz="0" w:space="0" w:color="auto"/>
                                                                                            <w:bottom w:val="none" w:sz="0" w:space="0" w:color="auto"/>
                                                                                            <w:right w:val="none" w:sz="0" w:space="0" w:color="auto"/>
                                                                                          </w:divBdr>
                                                                                        </w:div>
                                                                                        <w:div w:id="959457630">
                                                                                          <w:marLeft w:val="0"/>
                                                                                          <w:marRight w:val="0"/>
                                                                                          <w:marTop w:val="0"/>
                                                                                          <w:marBottom w:val="0"/>
                                                                                          <w:divBdr>
                                                                                            <w:top w:val="none" w:sz="0" w:space="0" w:color="auto"/>
                                                                                            <w:left w:val="none" w:sz="0" w:space="0" w:color="auto"/>
                                                                                            <w:bottom w:val="none" w:sz="0" w:space="0" w:color="auto"/>
                                                                                            <w:right w:val="none" w:sz="0" w:space="0" w:color="auto"/>
                                                                                          </w:divBdr>
                                                                                        </w:div>
                                                                                        <w:div w:id="511190751">
                                                                                          <w:marLeft w:val="0"/>
                                                                                          <w:marRight w:val="0"/>
                                                                                          <w:marTop w:val="0"/>
                                                                                          <w:marBottom w:val="0"/>
                                                                                          <w:divBdr>
                                                                                            <w:top w:val="none" w:sz="0" w:space="0" w:color="auto"/>
                                                                                            <w:left w:val="none" w:sz="0" w:space="0" w:color="auto"/>
                                                                                            <w:bottom w:val="none" w:sz="0" w:space="0" w:color="auto"/>
                                                                                            <w:right w:val="none" w:sz="0" w:space="0" w:color="auto"/>
                                                                                          </w:divBdr>
                                                                                        </w:div>
                                                                                      </w:divsChild>
                                                                                    </w:div>
                                                                                    <w:div w:id="572010489">
                                                                                      <w:marLeft w:val="0"/>
                                                                                      <w:marRight w:val="0"/>
                                                                                      <w:marTop w:val="0"/>
                                                                                      <w:marBottom w:val="0"/>
                                                                                      <w:divBdr>
                                                                                        <w:top w:val="none" w:sz="0" w:space="0" w:color="auto"/>
                                                                                        <w:left w:val="none" w:sz="0" w:space="0" w:color="auto"/>
                                                                                        <w:bottom w:val="none" w:sz="0" w:space="0" w:color="auto"/>
                                                                                        <w:right w:val="none" w:sz="0" w:space="0" w:color="auto"/>
                                                                                      </w:divBdr>
                                                                                      <w:divsChild>
                                                                                        <w:div w:id="773087791">
                                                                                          <w:marLeft w:val="0"/>
                                                                                          <w:marRight w:val="0"/>
                                                                                          <w:marTop w:val="0"/>
                                                                                          <w:marBottom w:val="0"/>
                                                                                          <w:divBdr>
                                                                                            <w:top w:val="none" w:sz="0" w:space="0" w:color="auto"/>
                                                                                            <w:left w:val="none" w:sz="0" w:space="0" w:color="auto"/>
                                                                                            <w:bottom w:val="none" w:sz="0" w:space="0" w:color="auto"/>
                                                                                            <w:right w:val="none" w:sz="0" w:space="0" w:color="auto"/>
                                                                                          </w:divBdr>
                                                                                        </w:div>
                                                                                        <w:div w:id="1917664373">
                                                                                          <w:marLeft w:val="0"/>
                                                                                          <w:marRight w:val="0"/>
                                                                                          <w:marTop w:val="0"/>
                                                                                          <w:marBottom w:val="0"/>
                                                                                          <w:divBdr>
                                                                                            <w:top w:val="none" w:sz="0" w:space="0" w:color="auto"/>
                                                                                            <w:left w:val="none" w:sz="0" w:space="0" w:color="auto"/>
                                                                                            <w:bottom w:val="none" w:sz="0" w:space="0" w:color="auto"/>
                                                                                            <w:right w:val="none" w:sz="0" w:space="0" w:color="auto"/>
                                                                                          </w:divBdr>
                                                                                        </w:div>
                                                                                        <w:div w:id="2135631265">
                                                                                          <w:marLeft w:val="0"/>
                                                                                          <w:marRight w:val="0"/>
                                                                                          <w:marTop w:val="0"/>
                                                                                          <w:marBottom w:val="0"/>
                                                                                          <w:divBdr>
                                                                                            <w:top w:val="none" w:sz="0" w:space="0" w:color="auto"/>
                                                                                            <w:left w:val="none" w:sz="0" w:space="0" w:color="auto"/>
                                                                                            <w:bottom w:val="none" w:sz="0" w:space="0" w:color="auto"/>
                                                                                            <w:right w:val="none" w:sz="0" w:space="0" w:color="auto"/>
                                                                                          </w:divBdr>
                                                                                        </w:div>
                                                                                        <w:div w:id="278145573">
                                                                                          <w:marLeft w:val="0"/>
                                                                                          <w:marRight w:val="0"/>
                                                                                          <w:marTop w:val="0"/>
                                                                                          <w:marBottom w:val="0"/>
                                                                                          <w:divBdr>
                                                                                            <w:top w:val="none" w:sz="0" w:space="0" w:color="auto"/>
                                                                                            <w:left w:val="none" w:sz="0" w:space="0" w:color="auto"/>
                                                                                            <w:bottom w:val="none" w:sz="0" w:space="0" w:color="auto"/>
                                                                                            <w:right w:val="none" w:sz="0" w:space="0" w:color="auto"/>
                                                                                          </w:divBdr>
                                                                                        </w:div>
                                                                                        <w:div w:id="1909458331">
                                                                                          <w:marLeft w:val="0"/>
                                                                                          <w:marRight w:val="0"/>
                                                                                          <w:marTop w:val="0"/>
                                                                                          <w:marBottom w:val="0"/>
                                                                                          <w:divBdr>
                                                                                            <w:top w:val="none" w:sz="0" w:space="0" w:color="auto"/>
                                                                                            <w:left w:val="none" w:sz="0" w:space="0" w:color="auto"/>
                                                                                            <w:bottom w:val="none" w:sz="0" w:space="0" w:color="auto"/>
                                                                                            <w:right w:val="none" w:sz="0" w:space="0" w:color="auto"/>
                                                                                          </w:divBdr>
                                                                                        </w:div>
                                                                                      </w:divsChild>
                                                                                    </w:div>
                                                                                    <w:div w:id="682317207">
                                                                                      <w:marLeft w:val="0"/>
                                                                                      <w:marRight w:val="0"/>
                                                                                      <w:marTop w:val="0"/>
                                                                                      <w:marBottom w:val="0"/>
                                                                                      <w:divBdr>
                                                                                        <w:top w:val="none" w:sz="0" w:space="0" w:color="auto"/>
                                                                                        <w:left w:val="none" w:sz="0" w:space="0" w:color="auto"/>
                                                                                        <w:bottom w:val="none" w:sz="0" w:space="0" w:color="auto"/>
                                                                                        <w:right w:val="none" w:sz="0" w:space="0" w:color="auto"/>
                                                                                      </w:divBdr>
                                                                                      <w:divsChild>
                                                                                        <w:div w:id="381489341">
                                                                                          <w:marLeft w:val="0"/>
                                                                                          <w:marRight w:val="0"/>
                                                                                          <w:marTop w:val="0"/>
                                                                                          <w:marBottom w:val="0"/>
                                                                                          <w:divBdr>
                                                                                            <w:top w:val="none" w:sz="0" w:space="0" w:color="auto"/>
                                                                                            <w:left w:val="none" w:sz="0" w:space="0" w:color="auto"/>
                                                                                            <w:bottom w:val="none" w:sz="0" w:space="0" w:color="auto"/>
                                                                                            <w:right w:val="none" w:sz="0" w:space="0" w:color="auto"/>
                                                                                          </w:divBdr>
                                                                                        </w:div>
                                                                                        <w:div w:id="596719139">
                                                                                          <w:marLeft w:val="0"/>
                                                                                          <w:marRight w:val="0"/>
                                                                                          <w:marTop w:val="0"/>
                                                                                          <w:marBottom w:val="0"/>
                                                                                          <w:divBdr>
                                                                                            <w:top w:val="none" w:sz="0" w:space="0" w:color="auto"/>
                                                                                            <w:left w:val="none" w:sz="0" w:space="0" w:color="auto"/>
                                                                                            <w:bottom w:val="none" w:sz="0" w:space="0" w:color="auto"/>
                                                                                            <w:right w:val="none" w:sz="0" w:space="0" w:color="auto"/>
                                                                                          </w:divBdr>
                                                                                        </w:div>
                                                                                        <w:div w:id="1832604096">
                                                                                          <w:marLeft w:val="0"/>
                                                                                          <w:marRight w:val="0"/>
                                                                                          <w:marTop w:val="0"/>
                                                                                          <w:marBottom w:val="0"/>
                                                                                          <w:divBdr>
                                                                                            <w:top w:val="none" w:sz="0" w:space="0" w:color="auto"/>
                                                                                            <w:left w:val="none" w:sz="0" w:space="0" w:color="auto"/>
                                                                                            <w:bottom w:val="none" w:sz="0" w:space="0" w:color="auto"/>
                                                                                            <w:right w:val="none" w:sz="0" w:space="0" w:color="auto"/>
                                                                                          </w:divBdr>
                                                                                        </w:div>
                                                                                        <w:div w:id="1679654271">
                                                                                          <w:marLeft w:val="0"/>
                                                                                          <w:marRight w:val="0"/>
                                                                                          <w:marTop w:val="0"/>
                                                                                          <w:marBottom w:val="0"/>
                                                                                          <w:divBdr>
                                                                                            <w:top w:val="none" w:sz="0" w:space="0" w:color="auto"/>
                                                                                            <w:left w:val="none" w:sz="0" w:space="0" w:color="auto"/>
                                                                                            <w:bottom w:val="none" w:sz="0" w:space="0" w:color="auto"/>
                                                                                            <w:right w:val="none" w:sz="0" w:space="0" w:color="auto"/>
                                                                                          </w:divBdr>
                                                                                        </w:div>
                                                                                        <w:div w:id="1792938133">
                                                                                          <w:marLeft w:val="0"/>
                                                                                          <w:marRight w:val="0"/>
                                                                                          <w:marTop w:val="0"/>
                                                                                          <w:marBottom w:val="0"/>
                                                                                          <w:divBdr>
                                                                                            <w:top w:val="none" w:sz="0" w:space="0" w:color="auto"/>
                                                                                            <w:left w:val="none" w:sz="0" w:space="0" w:color="auto"/>
                                                                                            <w:bottom w:val="none" w:sz="0" w:space="0" w:color="auto"/>
                                                                                            <w:right w:val="none" w:sz="0" w:space="0" w:color="auto"/>
                                                                                          </w:divBdr>
                                                                                        </w:div>
                                                                                      </w:divsChild>
                                                                                    </w:div>
                                                                                    <w:div w:id="2096319838">
                                                                                      <w:marLeft w:val="0"/>
                                                                                      <w:marRight w:val="0"/>
                                                                                      <w:marTop w:val="0"/>
                                                                                      <w:marBottom w:val="0"/>
                                                                                      <w:divBdr>
                                                                                        <w:top w:val="none" w:sz="0" w:space="0" w:color="auto"/>
                                                                                        <w:left w:val="none" w:sz="0" w:space="0" w:color="auto"/>
                                                                                        <w:bottom w:val="none" w:sz="0" w:space="0" w:color="auto"/>
                                                                                        <w:right w:val="none" w:sz="0" w:space="0" w:color="auto"/>
                                                                                      </w:divBdr>
                                                                                      <w:divsChild>
                                                                                        <w:div w:id="771439978">
                                                                                          <w:marLeft w:val="0"/>
                                                                                          <w:marRight w:val="0"/>
                                                                                          <w:marTop w:val="0"/>
                                                                                          <w:marBottom w:val="0"/>
                                                                                          <w:divBdr>
                                                                                            <w:top w:val="none" w:sz="0" w:space="0" w:color="auto"/>
                                                                                            <w:left w:val="none" w:sz="0" w:space="0" w:color="auto"/>
                                                                                            <w:bottom w:val="none" w:sz="0" w:space="0" w:color="auto"/>
                                                                                            <w:right w:val="none" w:sz="0" w:space="0" w:color="auto"/>
                                                                                          </w:divBdr>
                                                                                        </w:div>
                                                                                        <w:div w:id="453526841">
                                                                                          <w:marLeft w:val="0"/>
                                                                                          <w:marRight w:val="0"/>
                                                                                          <w:marTop w:val="0"/>
                                                                                          <w:marBottom w:val="0"/>
                                                                                          <w:divBdr>
                                                                                            <w:top w:val="none" w:sz="0" w:space="0" w:color="auto"/>
                                                                                            <w:left w:val="none" w:sz="0" w:space="0" w:color="auto"/>
                                                                                            <w:bottom w:val="none" w:sz="0" w:space="0" w:color="auto"/>
                                                                                            <w:right w:val="none" w:sz="0" w:space="0" w:color="auto"/>
                                                                                          </w:divBdr>
                                                                                        </w:div>
                                                                                        <w:div w:id="635918203">
                                                                                          <w:marLeft w:val="0"/>
                                                                                          <w:marRight w:val="0"/>
                                                                                          <w:marTop w:val="0"/>
                                                                                          <w:marBottom w:val="0"/>
                                                                                          <w:divBdr>
                                                                                            <w:top w:val="none" w:sz="0" w:space="0" w:color="auto"/>
                                                                                            <w:left w:val="none" w:sz="0" w:space="0" w:color="auto"/>
                                                                                            <w:bottom w:val="none" w:sz="0" w:space="0" w:color="auto"/>
                                                                                            <w:right w:val="none" w:sz="0" w:space="0" w:color="auto"/>
                                                                                          </w:divBdr>
                                                                                        </w:div>
                                                                                        <w:div w:id="1781955089">
                                                                                          <w:marLeft w:val="0"/>
                                                                                          <w:marRight w:val="0"/>
                                                                                          <w:marTop w:val="0"/>
                                                                                          <w:marBottom w:val="0"/>
                                                                                          <w:divBdr>
                                                                                            <w:top w:val="none" w:sz="0" w:space="0" w:color="auto"/>
                                                                                            <w:left w:val="none" w:sz="0" w:space="0" w:color="auto"/>
                                                                                            <w:bottom w:val="none" w:sz="0" w:space="0" w:color="auto"/>
                                                                                            <w:right w:val="none" w:sz="0" w:space="0" w:color="auto"/>
                                                                                          </w:divBdr>
                                                                                        </w:div>
                                                                                        <w:div w:id="121073798">
                                                                                          <w:marLeft w:val="0"/>
                                                                                          <w:marRight w:val="0"/>
                                                                                          <w:marTop w:val="0"/>
                                                                                          <w:marBottom w:val="0"/>
                                                                                          <w:divBdr>
                                                                                            <w:top w:val="none" w:sz="0" w:space="0" w:color="auto"/>
                                                                                            <w:left w:val="none" w:sz="0" w:space="0" w:color="auto"/>
                                                                                            <w:bottom w:val="none" w:sz="0" w:space="0" w:color="auto"/>
                                                                                            <w:right w:val="none" w:sz="0" w:space="0" w:color="auto"/>
                                                                                          </w:divBdr>
                                                                                        </w:div>
                                                                                      </w:divsChild>
                                                                                    </w:div>
                                                                                    <w:div w:id="1929531835">
                                                                                      <w:marLeft w:val="0"/>
                                                                                      <w:marRight w:val="0"/>
                                                                                      <w:marTop w:val="0"/>
                                                                                      <w:marBottom w:val="0"/>
                                                                                      <w:divBdr>
                                                                                        <w:top w:val="none" w:sz="0" w:space="0" w:color="auto"/>
                                                                                        <w:left w:val="none" w:sz="0" w:space="0" w:color="auto"/>
                                                                                        <w:bottom w:val="none" w:sz="0" w:space="0" w:color="auto"/>
                                                                                        <w:right w:val="none" w:sz="0" w:space="0" w:color="auto"/>
                                                                                      </w:divBdr>
                                                                                      <w:divsChild>
                                                                                        <w:div w:id="1166751351">
                                                                                          <w:marLeft w:val="0"/>
                                                                                          <w:marRight w:val="0"/>
                                                                                          <w:marTop w:val="0"/>
                                                                                          <w:marBottom w:val="0"/>
                                                                                          <w:divBdr>
                                                                                            <w:top w:val="none" w:sz="0" w:space="0" w:color="auto"/>
                                                                                            <w:left w:val="none" w:sz="0" w:space="0" w:color="auto"/>
                                                                                            <w:bottom w:val="none" w:sz="0" w:space="0" w:color="auto"/>
                                                                                            <w:right w:val="none" w:sz="0" w:space="0" w:color="auto"/>
                                                                                          </w:divBdr>
                                                                                        </w:div>
                                                                                        <w:div w:id="2036423932">
                                                                                          <w:marLeft w:val="0"/>
                                                                                          <w:marRight w:val="0"/>
                                                                                          <w:marTop w:val="0"/>
                                                                                          <w:marBottom w:val="0"/>
                                                                                          <w:divBdr>
                                                                                            <w:top w:val="none" w:sz="0" w:space="0" w:color="auto"/>
                                                                                            <w:left w:val="none" w:sz="0" w:space="0" w:color="auto"/>
                                                                                            <w:bottom w:val="none" w:sz="0" w:space="0" w:color="auto"/>
                                                                                            <w:right w:val="none" w:sz="0" w:space="0" w:color="auto"/>
                                                                                          </w:divBdr>
                                                                                        </w:div>
                                                                                        <w:div w:id="1730029354">
                                                                                          <w:marLeft w:val="0"/>
                                                                                          <w:marRight w:val="0"/>
                                                                                          <w:marTop w:val="0"/>
                                                                                          <w:marBottom w:val="0"/>
                                                                                          <w:divBdr>
                                                                                            <w:top w:val="none" w:sz="0" w:space="0" w:color="auto"/>
                                                                                            <w:left w:val="none" w:sz="0" w:space="0" w:color="auto"/>
                                                                                            <w:bottom w:val="none" w:sz="0" w:space="0" w:color="auto"/>
                                                                                            <w:right w:val="none" w:sz="0" w:space="0" w:color="auto"/>
                                                                                          </w:divBdr>
                                                                                        </w:div>
                                                                                        <w:div w:id="2032224343">
                                                                                          <w:marLeft w:val="0"/>
                                                                                          <w:marRight w:val="0"/>
                                                                                          <w:marTop w:val="0"/>
                                                                                          <w:marBottom w:val="0"/>
                                                                                          <w:divBdr>
                                                                                            <w:top w:val="none" w:sz="0" w:space="0" w:color="auto"/>
                                                                                            <w:left w:val="none" w:sz="0" w:space="0" w:color="auto"/>
                                                                                            <w:bottom w:val="none" w:sz="0" w:space="0" w:color="auto"/>
                                                                                            <w:right w:val="none" w:sz="0" w:space="0" w:color="auto"/>
                                                                                          </w:divBdr>
                                                                                        </w:div>
                                                                                        <w:div w:id="760370028">
                                                                                          <w:marLeft w:val="0"/>
                                                                                          <w:marRight w:val="0"/>
                                                                                          <w:marTop w:val="0"/>
                                                                                          <w:marBottom w:val="0"/>
                                                                                          <w:divBdr>
                                                                                            <w:top w:val="none" w:sz="0" w:space="0" w:color="auto"/>
                                                                                            <w:left w:val="none" w:sz="0" w:space="0" w:color="auto"/>
                                                                                            <w:bottom w:val="none" w:sz="0" w:space="0" w:color="auto"/>
                                                                                            <w:right w:val="none" w:sz="0" w:space="0" w:color="auto"/>
                                                                                          </w:divBdr>
                                                                                        </w:div>
                                                                                      </w:divsChild>
                                                                                    </w:div>
                                                                                    <w:div w:id="154495291">
                                                                                      <w:marLeft w:val="0"/>
                                                                                      <w:marRight w:val="0"/>
                                                                                      <w:marTop w:val="0"/>
                                                                                      <w:marBottom w:val="0"/>
                                                                                      <w:divBdr>
                                                                                        <w:top w:val="none" w:sz="0" w:space="0" w:color="auto"/>
                                                                                        <w:left w:val="none" w:sz="0" w:space="0" w:color="auto"/>
                                                                                        <w:bottom w:val="none" w:sz="0" w:space="0" w:color="auto"/>
                                                                                        <w:right w:val="none" w:sz="0" w:space="0" w:color="auto"/>
                                                                                      </w:divBdr>
                                                                                      <w:divsChild>
                                                                                        <w:div w:id="235479920">
                                                                                          <w:marLeft w:val="0"/>
                                                                                          <w:marRight w:val="0"/>
                                                                                          <w:marTop w:val="0"/>
                                                                                          <w:marBottom w:val="0"/>
                                                                                          <w:divBdr>
                                                                                            <w:top w:val="none" w:sz="0" w:space="0" w:color="auto"/>
                                                                                            <w:left w:val="none" w:sz="0" w:space="0" w:color="auto"/>
                                                                                            <w:bottom w:val="none" w:sz="0" w:space="0" w:color="auto"/>
                                                                                            <w:right w:val="none" w:sz="0" w:space="0" w:color="auto"/>
                                                                                          </w:divBdr>
                                                                                        </w:div>
                                                                                        <w:div w:id="2011977769">
                                                                                          <w:marLeft w:val="0"/>
                                                                                          <w:marRight w:val="0"/>
                                                                                          <w:marTop w:val="0"/>
                                                                                          <w:marBottom w:val="0"/>
                                                                                          <w:divBdr>
                                                                                            <w:top w:val="none" w:sz="0" w:space="0" w:color="auto"/>
                                                                                            <w:left w:val="none" w:sz="0" w:space="0" w:color="auto"/>
                                                                                            <w:bottom w:val="none" w:sz="0" w:space="0" w:color="auto"/>
                                                                                            <w:right w:val="none" w:sz="0" w:space="0" w:color="auto"/>
                                                                                          </w:divBdr>
                                                                                        </w:div>
                                                                                        <w:div w:id="1211187894">
                                                                                          <w:marLeft w:val="0"/>
                                                                                          <w:marRight w:val="0"/>
                                                                                          <w:marTop w:val="0"/>
                                                                                          <w:marBottom w:val="0"/>
                                                                                          <w:divBdr>
                                                                                            <w:top w:val="none" w:sz="0" w:space="0" w:color="auto"/>
                                                                                            <w:left w:val="none" w:sz="0" w:space="0" w:color="auto"/>
                                                                                            <w:bottom w:val="none" w:sz="0" w:space="0" w:color="auto"/>
                                                                                            <w:right w:val="none" w:sz="0" w:space="0" w:color="auto"/>
                                                                                          </w:divBdr>
                                                                                        </w:div>
                                                                                        <w:div w:id="1218972158">
                                                                                          <w:marLeft w:val="0"/>
                                                                                          <w:marRight w:val="0"/>
                                                                                          <w:marTop w:val="0"/>
                                                                                          <w:marBottom w:val="0"/>
                                                                                          <w:divBdr>
                                                                                            <w:top w:val="none" w:sz="0" w:space="0" w:color="auto"/>
                                                                                            <w:left w:val="none" w:sz="0" w:space="0" w:color="auto"/>
                                                                                            <w:bottom w:val="none" w:sz="0" w:space="0" w:color="auto"/>
                                                                                            <w:right w:val="none" w:sz="0" w:space="0" w:color="auto"/>
                                                                                          </w:divBdr>
                                                                                        </w:div>
                                                                                        <w:div w:id="142372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34751">
      <w:bodyDiv w:val="1"/>
      <w:marLeft w:val="0"/>
      <w:marRight w:val="0"/>
      <w:marTop w:val="0"/>
      <w:marBottom w:val="0"/>
      <w:divBdr>
        <w:top w:val="none" w:sz="0" w:space="0" w:color="auto"/>
        <w:left w:val="none" w:sz="0" w:space="0" w:color="auto"/>
        <w:bottom w:val="none" w:sz="0" w:space="0" w:color="auto"/>
        <w:right w:val="none" w:sz="0" w:space="0" w:color="auto"/>
      </w:divBdr>
    </w:div>
    <w:div w:id="1292902240">
      <w:bodyDiv w:val="1"/>
      <w:marLeft w:val="0"/>
      <w:marRight w:val="0"/>
      <w:marTop w:val="0"/>
      <w:marBottom w:val="0"/>
      <w:divBdr>
        <w:top w:val="none" w:sz="0" w:space="0" w:color="auto"/>
        <w:left w:val="none" w:sz="0" w:space="0" w:color="auto"/>
        <w:bottom w:val="none" w:sz="0" w:space="0" w:color="auto"/>
        <w:right w:val="none" w:sz="0" w:space="0" w:color="auto"/>
      </w:divBdr>
    </w:div>
    <w:div w:id="187892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as.org/en/iachr/docs/annual/2021/docs/IA2021cap.2.g.EC11.992-en.docx" TargetMode="External"/><Relationship Id="rId21" Type="http://schemas.openxmlformats.org/officeDocument/2006/relationships/hyperlink" Target="https://www.oas.org/en/iachr/decisions/2021/BRSA12.277EN.pdf" TargetMode="External"/><Relationship Id="rId42" Type="http://schemas.openxmlformats.org/officeDocument/2006/relationships/hyperlink" Target="https://www.oas.org/en/iachr/docs/annual/2021/docs/IA2021cap2.f.ec.en.docx" TargetMode="External"/><Relationship Id="rId63" Type="http://schemas.openxmlformats.org/officeDocument/2006/relationships/hyperlink" Target="https://www.cidh.org/annualrep/2007sp/cap3d.3sp.htm" TargetMode="External"/><Relationship Id="rId84" Type="http://schemas.openxmlformats.org/officeDocument/2006/relationships/hyperlink" Target="https://www.oas.org/en/iachr/docs/annual/2021/docs/IA2021cap2.g.BA12.231-en.docx" TargetMode="External"/><Relationship Id="rId138" Type="http://schemas.openxmlformats.org/officeDocument/2006/relationships/hyperlink" Target="https://www.oas.org/en/iachr/docs/annual/2021/docs/IA2021cap.2.g.JA12.183-en.docx" TargetMode="External"/><Relationship Id="rId159" Type="http://schemas.openxmlformats.org/officeDocument/2006/relationships/hyperlink" Target="https://www.oas.org/en/iachr/docs/annual/2021/docs/IA2021cap.2.g.us11.753-en.docx" TargetMode="External"/><Relationship Id="rId170" Type="http://schemas.openxmlformats.org/officeDocument/2006/relationships/hyperlink" Target="https://www.oas.org/en/iachr/docs/annual/2021/docs/IA2021cap.2.g.us12.644-en.docx" TargetMode="External"/><Relationship Id="rId191" Type="http://schemas.openxmlformats.org/officeDocument/2006/relationships/hyperlink" Target="https://www.oas.org/en/iachr/docs/annual/2021/docs/IA2021cap.2.g.US12.545-en.docx" TargetMode="External"/><Relationship Id="rId205" Type="http://schemas.openxmlformats.org/officeDocument/2006/relationships/image" Target="media/image6.png"/><Relationship Id="rId226" Type="http://schemas.openxmlformats.org/officeDocument/2006/relationships/image" Target="media/image27.png"/><Relationship Id="rId107" Type="http://schemas.openxmlformats.org/officeDocument/2006/relationships/hyperlink" Target="https://www.oas.org/en/iachr/docs/annual/2021/docs/IA2021cap.2.g.CO10.916-en.docx" TargetMode="External"/><Relationship Id="rId11" Type="http://schemas.openxmlformats.org/officeDocument/2006/relationships/hyperlink" Target="https://www.oas.org/en/iachr/media_center/PReleases/2019/278.asp" TargetMode="External"/><Relationship Id="rId32" Type="http://schemas.openxmlformats.org/officeDocument/2006/relationships/hyperlink" Target="https://www.oas.org/en/iachr/docs/annual/2021/docs/IA2021cap2.f.ar.en.docx" TargetMode="External"/><Relationship Id="rId53" Type="http://schemas.openxmlformats.org/officeDocument/2006/relationships/hyperlink" Target="https://www.cidh.org/annualrep/2007sp/cap3d.3sp.htm" TargetMode="External"/><Relationship Id="rId74" Type="http://schemas.openxmlformats.org/officeDocument/2006/relationships/hyperlink" Target="https://www.oas.org/en/iachr/docs/annual/2021/docs/IA2021cap2.f.py.en.docx" TargetMode="External"/><Relationship Id="rId128" Type="http://schemas.openxmlformats.org/officeDocument/2006/relationships/hyperlink" Target="https://www.oas.org/en/iachr/docs/annual/2021/docs/IA2021cap.2.g.GA9.111-en.docx" TargetMode="External"/><Relationship Id="rId149" Type="http://schemas.openxmlformats.org/officeDocument/2006/relationships/hyperlink" Target="https://www.oas.org/en/iachr/docs/annual/2021/docs/IA2021cap2.g.MX12.551-en.docx" TargetMode="External"/><Relationship Id="rId5" Type="http://schemas.openxmlformats.org/officeDocument/2006/relationships/numbering" Target="numbering.xml"/><Relationship Id="rId95" Type="http://schemas.openxmlformats.org/officeDocument/2006/relationships/hyperlink" Target="https://www.oas.org/en/iachr/docs/annual/2021/docs/IA2021cap.2.g.BR12.308-en.docx" TargetMode="External"/><Relationship Id="rId160" Type="http://schemas.openxmlformats.org/officeDocument/2006/relationships/hyperlink" Target="https://www.oas.org/en/iachr/docs/annual/2021/docs/IA2021cap.2.g.us11.140-en.docx" TargetMode="External"/><Relationship Id="rId181" Type="http://schemas.openxmlformats.org/officeDocument/2006/relationships/hyperlink" Target="https://www.oas.org/en/iachr/docs/annual/2021/docs/IA2021cap.2.g.us12.834-en.docx" TargetMode="External"/><Relationship Id="rId216" Type="http://schemas.openxmlformats.org/officeDocument/2006/relationships/image" Target="media/image17.png"/><Relationship Id="rId237" Type="http://schemas.openxmlformats.org/officeDocument/2006/relationships/image" Target="media/image38.png"/><Relationship Id="rId22" Type="http://schemas.openxmlformats.org/officeDocument/2006/relationships/hyperlink" Target="https://www.oas.org/en/iachr/decisions/2021/COSA13.642EN.pdf" TargetMode="External"/><Relationship Id="rId43" Type="http://schemas.openxmlformats.org/officeDocument/2006/relationships/hyperlink" Target="https://www.cidh.org/annualrep/2007sp/cap3d.3sp.htm" TargetMode="External"/><Relationship Id="rId64" Type="http://schemas.openxmlformats.org/officeDocument/2006/relationships/hyperlink" Target="https://www.cidh.org/annualrep/2007sp/cap3d.3sp.htm" TargetMode="External"/><Relationship Id="rId118" Type="http://schemas.openxmlformats.org/officeDocument/2006/relationships/hyperlink" Target="https://www.oas.org/en/iachr/docs/annual/2021/docs/IA2021cap.2.g.EC12.487-en.docx" TargetMode="External"/><Relationship Id="rId139" Type="http://schemas.openxmlformats.org/officeDocument/2006/relationships/hyperlink" Target="https://www.oas.org/en/iachr/docs/annual/2021/docs/IA2021cap.2.g.JA12.275-en.docx" TargetMode="External"/><Relationship Id="rId85" Type="http://schemas.openxmlformats.org/officeDocument/2006/relationships/hyperlink" Target="https://www.oas.org/en/iachr/docs/annual/2021/docs/IA2021cap.2.g.BE12.053-en.docx" TargetMode="External"/><Relationship Id="rId150" Type="http://schemas.openxmlformats.org/officeDocument/2006/relationships/hyperlink" Target="https://www.oas.org/en/iachr/docs/annual/2021/docs/IA2021cap2.g.MX11.564-en.docx" TargetMode="External"/><Relationship Id="rId171" Type="http://schemas.openxmlformats.org/officeDocument/2006/relationships/hyperlink" Target="https://www.oas.org/en/iachr/docs/annual/2021/docs/IA2021cap.2.g.us12.562-en.docx" TargetMode="External"/><Relationship Id="rId192" Type="http://schemas.openxmlformats.org/officeDocument/2006/relationships/hyperlink" Target="https://www.oas.org/en/iachr/docs/annual/2021/docs/IA2021cap.2.g.UR12.553-en.docx" TargetMode="External"/><Relationship Id="rId206" Type="http://schemas.openxmlformats.org/officeDocument/2006/relationships/image" Target="media/image7.png"/><Relationship Id="rId227" Type="http://schemas.openxmlformats.org/officeDocument/2006/relationships/image" Target="media/image28.png"/><Relationship Id="rId12" Type="http://schemas.openxmlformats.org/officeDocument/2006/relationships/hyperlink" Target="https://www.oas.org/en/iachr/decisions/pdf/Resolution-1-16-en.pdfyou" TargetMode="External"/><Relationship Id="rId33" Type="http://schemas.openxmlformats.org/officeDocument/2006/relationships/hyperlink" Target="https://www.oas.org/en/iachr/docs/annual/2021/docs/IA2021cap2.f.ar.en.docx" TargetMode="External"/><Relationship Id="rId108" Type="http://schemas.openxmlformats.org/officeDocument/2006/relationships/hyperlink" Target="https://www.oas.org/en/iachr/docs/annual/2021/docs/IA2021cap.2.g.CO12.414-en.docx" TargetMode="External"/><Relationship Id="rId129" Type="http://schemas.openxmlformats.org/officeDocument/2006/relationships/hyperlink" Target="https://www.oas.org/en/iachr/docs/annual/2021/docs/IA2021cap.2.g.GA11.382-en.docx" TargetMode="External"/><Relationship Id="rId54" Type="http://schemas.openxmlformats.org/officeDocument/2006/relationships/hyperlink" Target="https://www.cidh.org/annualrep/2007sp/cap3d.3sp.htm" TargetMode="External"/><Relationship Id="rId75" Type="http://schemas.openxmlformats.org/officeDocument/2006/relationships/hyperlink" Target="https://www.oas.org/en/iachr/docs/annual/2021/docs/IA2021cap2.f.pe.en.docx" TargetMode="External"/><Relationship Id="rId96" Type="http://schemas.openxmlformats.org/officeDocument/2006/relationships/hyperlink" Target="https://www.oas.org/en/iachr/docs/annual/2021/docs/IA2021cap.2.g.BR12.213-en.docx" TargetMode="External"/><Relationship Id="rId140" Type="http://schemas.openxmlformats.org/officeDocument/2006/relationships/hyperlink" Target="https://www.oas.org/en/iachr/docs/annual/2021/docs/IA2021cap2.g.JA12.347-en.docx" TargetMode="External"/><Relationship Id="rId161" Type="http://schemas.openxmlformats.org/officeDocument/2006/relationships/hyperlink" Target="https://www.oas.org/en/iachr/docs/annual/2021/docs/IA2021cap.2.g.us11.193-en.docx" TargetMode="External"/><Relationship Id="rId182" Type="http://schemas.openxmlformats.org/officeDocument/2006/relationships/hyperlink" Target="https://www.oas.org/en/iachr/docs/annual/2021/docs/IA2021cap.2.g.us12.254-en.docx" TargetMode="External"/><Relationship Id="rId217" Type="http://schemas.openxmlformats.org/officeDocument/2006/relationships/image" Target="media/image18.png"/><Relationship Id="rId6" Type="http://schemas.openxmlformats.org/officeDocument/2006/relationships/styles" Target="styles.xml"/><Relationship Id="rId238" Type="http://schemas.openxmlformats.org/officeDocument/2006/relationships/header" Target="header1.xml"/><Relationship Id="rId23" Type="http://schemas.openxmlformats.org/officeDocument/2006/relationships/hyperlink" Target="https://www.oas.org/en/iachr/decisions/2021/COSA13.171EN.pdf" TargetMode="External"/><Relationship Id="rId119" Type="http://schemas.openxmlformats.org/officeDocument/2006/relationships/hyperlink" Target="https://www.oas.org/en/iachr/docs/annual/2021/docs/IA2021cap.2.g.EC12.525-en.docx" TargetMode="External"/><Relationship Id="rId44" Type="http://schemas.openxmlformats.org/officeDocument/2006/relationships/hyperlink" Target="https://www.cidh.org/annualrep/2007sp/cap3d.3sp.htm" TargetMode="External"/><Relationship Id="rId65" Type="http://schemas.openxmlformats.org/officeDocument/2006/relationships/hyperlink" Target="https://www.cidh.org/annualrep/2007sp/cap3d.3sp.htm" TargetMode="External"/><Relationship Id="rId86" Type="http://schemas.openxmlformats.org/officeDocument/2006/relationships/hyperlink" Target="https://www.oas.org/en/iachr/docs/annual/2021/docs/IA2021cap.2.g.BR12.051-en.docx" TargetMode="External"/><Relationship Id="rId130" Type="http://schemas.openxmlformats.org/officeDocument/2006/relationships/hyperlink" Target="https://www.oas.org/en/iachr/docs/annual/2021/docs/IA2021cap.2.g.GA10.855-en.docx" TargetMode="External"/><Relationship Id="rId151" Type="http://schemas.openxmlformats.org/officeDocument/2006/relationships/hyperlink" Target="https://www.oas.org/en/iachr/docs/annual/2021/docs/IA2021cap.2.g.NI11.381-en.docx" TargetMode="External"/><Relationship Id="rId172" Type="http://schemas.openxmlformats.org/officeDocument/2006/relationships/hyperlink" Target="https://www.oas.org/en/iachr/docs/annual/2021/docs/IA2021cap.2.g.us12.626-en.docx" TargetMode="External"/><Relationship Id="rId193" Type="http://schemas.openxmlformats.org/officeDocument/2006/relationships/hyperlink" Target="https://www.oas.org/en/iachr/decisions/pdf/Resolution-3-18-en.pdf" TargetMode="External"/><Relationship Id="rId207" Type="http://schemas.openxmlformats.org/officeDocument/2006/relationships/image" Target="media/image8.png"/><Relationship Id="rId228" Type="http://schemas.openxmlformats.org/officeDocument/2006/relationships/image" Target="media/image29.png"/><Relationship Id="rId13" Type="http://schemas.openxmlformats.org/officeDocument/2006/relationships/hyperlink" Target="https://www.oas.org/en/iachr/decisions/2021/HOSA12961EEN.pdf" TargetMode="External"/><Relationship Id="rId109" Type="http://schemas.openxmlformats.org/officeDocument/2006/relationships/hyperlink" Target="https://www.oas.org/en/iachr/docs/annual/2021/docs/IA2021cap.2.g.CO10.455-en.docx" TargetMode="External"/><Relationship Id="rId34" Type="http://schemas.openxmlformats.org/officeDocument/2006/relationships/hyperlink" Target="https://www.oas.org/en/iachr/docs/annual/2021/docs/IA2021cap2.f.br.en.docx" TargetMode="External"/><Relationship Id="rId55" Type="http://schemas.openxmlformats.org/officeDocument/2006/relationships/hyperlink" Target="https://www.cidh.org/annualrep/2007sp/cap3d.3sp.htm" TargetMode="External"/><Relationship Id="rId76" Type="http://schemas.openxmlformats.org/officeDocument/2006/relationships/hyperlink" Target="https://www.oas.org/en/iachr/docs/annual/2021/docs/IA2021cap2.f.pe.en.docx" TargetMode="External"/><Relationship Id="rId97" Type="http://schemas.openxmlformats.org/officeDocument/2006/relationships/hyperlink" Target="https://www.oas.org/en/iachr/docs/annual/2021/docs/IA2021cap.2.g.BR12.332-en.docx" TargetMode="External"/><Relationship Id="rId120" Type="http://schemas.openxmlformats.org/officeDocument/2006/relationships/hyperlink" Target="https://www.oas.org/en/iachr/docs/annual/2021/docs/IA2021cap.2.g.EC11.624--en.docx" TargetMode="External"/><Relationship Id="rId141" Type="http://schemas.openxmlformats.org/officeDocument/2006/relationships/hyperlink" Target="https://www.oas.org/en/iachr/docs/annual/2021/docs/IA2021cap.2.g.JA12.417-en.docx" TargetMode="External"/><Relationship Id="rId7" Type="http://schemas.openxmlformats.org/officeDocument/2006/relationships/settings" Target="settings.xml"/><Relationship Id="rId162" Type="http://schemas.openxmlformats.org/officeDocument/2006/relationships/hyperlink" Target="https://www.oas.org/en/iachr/docs/annual/2021/docs/IA2021cap.2.g.us11.204-en.docx" TargetMode="External"/><Relationship Id="rId183" Type="http://schemas.openxmlformats.org/officeDocument/2006/relationships/hyperlink" Target="https://www.oas.org/en/iachr/docs/annual/2021/docs/IA2021cap.2.g.us10.573-en.docx" TargetMode="External"/><Relationship Id="rId218" Type="http://schemas.openxmlformats.org/officeDocument/2006/relationships/image" Target="media/image19.png"/><Relationship Id="rId239" Type="http://schemas.openxmlformats.org/officeDocument/2006/relationships/footer" Target="footer1.xml"/><Relationship Id="rId24" Type="http://schemas.openxmlformats.org/officeDocument/2006/relationships/hyperlink" Target="https://www.oas.org/en/iachr/decisions/2021/COSA13571EN.pdf" TargetMode="External"/><Relationship Id="rId45" Type="http://schemas.openxmlformats.org/officeDocument/2006/relationships/hyperlink" Target="https://www.cidh.org/annualrep/2007sp/cap3d.3sp.htm" TargetMode="External"/><Relationship Id="rId66" Type="http://schemas.openxmlformats.org/officeDocument/2006/relationships/hyperlink" Target="https://www.cidh.org/annualrep/2007sp/cap3d.3sp.htm" TargetMode="External"/><Relationship Id="rId87" Type="http://schemas.openxmlformats.org/officeDocument/2006/relationships/hyperlink" Target="https://www.oas.org/en/iachr/docs/annual/2021/docs/IA2021cap.2.g.BR11.286-en.docx" TargetMode="External"/><Relationship Id="rId110" Type="http://schemas.openxmlformats.org/officeDocument/2006/relationships/hyperlink" Target="https://www.oas.org/en/iachr/docs/annual/2021/docs/IA2021cap.2.g.CO12.713-en.docx" TargetMode="External"/><Relationship Id="rId131" Type="http://schemas.openxmlformats.org/officeDocument/2006/relationships/hyperlink" Target="https://www.oas.org/en/iachr/docs/annual/2021/docs/IA2021cap.2.g.GA11.171-en.docx" TargetMode="External"/><Relationship Id="rId152" Type="http://schemas.openxmlformats.org/officeDocument/2006/relationships/hyperlink" Target="https://www.oas.org/en/iachr/docs/annual/2021/docs/IA2021cap.2.g.PY11.506-en.docx" TargetMode="External"/><Relationship Id="rId173" Type="http://schemas.openxmlformats.org/officeDocument/2006/relationships/hyperlink" Target="https://www.oas.org/en/iachr/docs/annual/2021/docs/IA2021cap.2.g.us12.776-en.docx" TargetMode="External"/><Relationship Id="rId194" Type="http://schemas.openxmlformats.org/officeDocument/2006/relationships/hyperlink" Target="https://www.oas.org/en/iachr/decisions/pdf/Resolution-2-20-en.pdf" TargetMode="External"/><Relationship Id="rId208" Type="http://schemas.openxmlformats.org/officeDocument/2006/relationships/image" Target="media/image9.png"/><Relationship Id="rId229" Type="http://schemas.openxmlformats.org/officeDocument/2006/relationships/image" Target="media/image30.png"/><Relationship Id="rId240" Type="http://schemas.openxmlformats.org/officeDocument/2006/relationships/header" Target="header2.xml"/><Relationship Id="rId14" Type="http://schemas.openxmlformats.org/officeDocument/2006/relationships/hyperlink" Target="https://www.oas.org/en/iachr/decisions/2021/HOSA12.961JEN.pdf" TargetMode="External"/><Relationship Id="rId35" Type="http://schemas.openxmlformats.org/officeDocument/2006/relationships/hyperlink" Target="https://www.oas.org/en/iachr/docs/annual/2021/docs/IA2021cap2.f.br.en.docx" TargetMode="External"/><Relationship Id="rId56" Type="http://schemas.openxmlformats.org/officeDocument/2006/relationships/hyperlink" Target="https://www.cidh.org/annualrep/2007sp/cap3d.3sp.htm" TargetMode="External"/><Relationship Id="rId77" Type="http://schemas.openxmlformats.org/officeDocument/2006/relationships/hyperlink" Target="https://www.oas.org/en/iachr/docs/annual/2021/docs/IA2021cap2.f.ve.en.docx" TargetMode="External"/><Relationship Id="rId100" Type="http://schemas.openxmlformats.org/officeDocument/2006/relationships/hyperlink" Target="https://www.oas.org/en/iachr/docs/annual/2021/docs/IA2021cap.2.g.CH11.771-en.docx" TargetMode="External"/><Relationship Id="rId8" Type="http://schemas.openxmlformats.org/officeDocument/2006/relationships/webSettings" Target="webSettings.xml"/><Relationship Id="rId98" Type="http://schemas.openxmlformats.org/officeDocument/2006/relationships/hyperlink" Target="https://www.oas.org/en/iachr/docs/annual/2021/docs/IA2021cap.2.g.CA12.586-en.docx" TargetMode="External"/><Relationship Id="rId121" Type="http://schemas.openxmlformats.org/officeDocument/2006/relationships/hyperlink" Target="https://www.oas.org/en/iachr/docs/annual/2021/docs/IA2021cap.2.g.ES12.249-en.docx" TargetMode="External"/><Relationship Id="rId142" Type="http://schemas.openxmlformats.org/officeDocument/2006/relationships/hyperlink" Target="https://www.oas.org/en/iachr/docs/annual/2021/docs/IA2021cap.2.g.JA12.418-en.docx" TargetMode="External"/><Relationship Id="rId163" Type="http://schemas.openxmlformats.org/officeDocument/2006/relationships/hyperlink" Target="https://www.oas.org/en/iachr/docs/annual/2021/docs/IA2021cap.2.g.us11.331-en.docx" TargetMode="External"/><Relationship Id="rId184" Type="http://schemas.openxmlformats.org/officeDocument/2006/relationships/hyperlink" Target="https://www.oas.org/en/iachr/docs/annual/2021/docs/IA2021cap.2.g.us12.958-en.docx" TargetMode="External"/><Relationship Id="rId219" Type="http://schemas.openxmlformats.org/officeDocument/2006/relationships/image" Target="media/image20.png"/><Relationship Id="rId230" Type="http://schemas.openxmlformats.org/officeDocument/2006/relationships/image" Target="media/image31.png"/><Relationship Id="rId25" Type="http://schemas.openxmlformats.org/officeDocument/2006/relationships/hyperlink" Target="https://www.oas.org/en/iachr/decisions/2021/COSA13758EN.pdf" TargetMode="External"/><Relationship Id="rId46" Type="http://schemas.openxmlformats.org/officeDocument/2006/relationships/hyperlink" Target="https://www.cidh.org/annualrep/2007sp/cap3d.3sp.htm" TargetMode="External"/><Relationship Id="rId67" Type="http://schemas.openxmlformats.org/officeDocument/2006/relationships/hyperlink" Target="https://www.cidh.org/annualrep/2007sp/cap3d.3sp.htm" TargetMode="External"/><Relationship Id="rId88" Type="http://schemas.openxmlformats.org/officeDocument/2006/relationships/hyperlink" Target="https://www.oas.org/en/iachr/docs/annual/2021/docs/IA2021cap.2.g.BR11.517-en.docx" TargetMode="External"/><Relationship Id="rId111" Type="http://schemas.openxmlformats.org/officeDocument/2006/relationships/hyperlink" Target="https://www.oas.org/en/iachr/docs/annual/2021/docs/IA2021cap.2.g.CO11.656-en.docx" TargetMode="External"/><Relationship Id="rId132" Type="http://schemas.openxmlformats.org/officeDocument/2006/relationships/hyperlink" Target="https://www.oas.org/en/iachr/docs/annual/2021/docs/IA2021cap.2.g.GA11.658-en.docx" TargetMode="External"/><Relationship Id="rId153" Type="http://schemas.openxmlformats.org/officeDocument/2006/relationships/hyperlink" Target="https://www.oas.org/en/iachr/docs/annual/2021/docs/IA2021cap.2.g.PY11.607-en.docx" TargetMode="External"/><Relationship Id="rId174" Type="http://schemas.openxmlformats.org/officeDocument/2006/relationships/hyperlink" Target="https://www.oas.org/en/iachr/docs/annual/2021/docs/IA2021cap.2.g.us11.575-en.docx" TargetMode="External"/><Relationship Id="rId195" Type="http://schemas.openxmlformats.org/officeDocument/2006/relationships/hyperlink" Target="https://www.oas.org/en/iachr/jsForm/?File=/en/iachr/decisions/mc/supervision.asp" TargetMode="External"/><Relationship Id="rId209" Type="http://schemas.openxmlformats.org/officeDocument/2006/relationships/image" Target="media/image10.png"/><Relationship Id="rId220" Type="http://schemas.openxmlformats.org/officeDocument/2006/relationships/image" Target="media/image21.png"/><Relationship Id="rId241" Type="http://schemas.openxmlformats.org/officeDocument/2006/relationships/fontTable" Target="fontTable.xml"/><Relationship Id="rId15" Type="http://schemas.openxmlformats.org/officeDocument/2006/relationships/hyperlink" Target="https://www.oas.org/en/iachr/decisions/2021/HOSA12960EN.pdf" TargetMode="External"/><Relationship Id="rId36" Type="http://schemas.openxmlformats.org/officeDocument/2006/relationships/hyperlink" Target="https://www.oas.org/en/iachr/docs/annual/2021/docs/IA2021cap2.f.ch.en.docx" TargetMode="External"/><Relationship Id="rId57" Type="http://schemas.openxmlformats.org/officeDocument/2006/relationships/hyperlink" Target="https://www.cidh.org/annualrep/2007sp/cap3d.3sp.htm" TargetMode="External"/><Relationship Id="rId106" Type="http://schemas.openxmlformats.org/officeDocument/2006/relationships/hyperlink" Target="https://www.oas.org/en/iachr/docs/annual/2021/docs/IA2021cap.2.g.CO11.712-en.docx" TargetMode="External"/><Relationship Id="rId127" Type="http://schemas.openxmlformats.org/officeDocument/2006/relationships/hyperlink" Target="https://www.oas.org/en/iachr/docs/annual/2021/docs/IA2021cap.2.g.GA10.626-en.docx" TargetMode="External"/><Relationship Id="rId10" Type="http://schemas.openxmlformats.org/officeDocument/2006/relationships/endnotes" Target="endnotes.xml"/><Relationship Id="rId31" Type="http://schemas.openxmlformats.org/officeDocument/2006/relationships/hyperlink" Target="https://www.oas.org/en/iachr/decisions/2021/PYSA12.330EN.pdf" TargetMode="External"/><Relationship Id="rId52" Type="http://schemas.openxmlformats.org/officeDocument/2006/relationships/hyperlink" Target="https://www.cidh.org/annualrep/2007sp/cap3d.3sp.htm" TargetMode="External"/><Relationship Id="rId73" Type="http://schemas.openxmlformats.org/officeDocument/2006/relationships/hyperlink" Target="https://www.oas.org/en/iachr/docs/annual/2021/docs/IA2021cap2.f.pn.en.docx" TargetMode="External"/><Relationship Id="rId78" Type="http://schemas.openxmlformats.org/officeDocument/2006/relationships/hyperlink" Target="https://www.oas.org/en/iachr/activities/follow-up/Directrices-en.pdf" TargetMode="External"/><Relationship Id="rId94" Type="http://schemas.openxmlformats.org/officeDocument/2006/relationships/hyperlink" Target="https://www.oas.org/en/iachr/docs/annual/2021/docs/IA2021cap.2.g.BR12.440-en.docx" TargetMode="External"/><Relationship Id="rId99" Type="http://schemas.openxmlformats.org/officeDocument/2006/relationships/hyperlink" Target="https://www.oas.org/en/iachr/docs/annual/2021/docs/IA2021cap.2.g.CA11.661-en.docx" TargetMode="External"/><Relationship Id="rId101" Type="http://schemas.openxmlformats.org/officeDocument/2006/relationships/hyperlink" Target="https://www.oas.org/en/iachr/docs/annual/2021/docs/IA2021cap.2.g.CH11.725-en.docx" TargetMode="External"/><Relationship Id="rId122" Type="http://schemas.openxmlformats.org/officeDocument/2006/relationships/hyperlink" Target="https://www.oas.org/en/iachr/docs/annual/2021/docs/IA2021cap2.g.GR12.028-en.docx" TargetMode="External"/><Relationship Id="rId143" Type="http://schemas.openxmlformats.org/officeDocument/2006/relationships/hyperlink" Target="https://www.oas.org/en/iachr/docs/annual/2021/docs/IA2021cap.2.g.JA12.447-en.docx" TargetMode="External"/><Relationship Id="rId148" Type="http://schemas.openxmlformats.org/officeDocument/2006/relationships/hyperlink" Target="https://www.oas.org/en/iachr/docs/annual/2021/docs/IA2021cap2.g.MX12.228-en.docx" TargetMode="External"/><Relationship Id="rId164" Type="http://schemas.openxmlformats.org/officeDocument/2006/relationships/hyperlink" Target="https://www.oas.org/en/iachr/docs/annual/2021/docs/IA2021cap.2.g.us12.240-en.docx" TargetMode="External"/><Relationship Id="rId169" Type="http://schemas.openxmlformats.org/officeDocument/2006/relationships/hyperlink" Target="https://www.oas.org/en/iachr/docs/annual/2021/docs/IA2021cap.2.g.us12.534-en.docx" TargetMode="External"/><Relationship Id="rId185" Type="http://schemas.openxmlformats.org/officeDocument/2006/relationships/hyperlink" Target="https://www.oas.org/en/iachr/docs/annual/2021/docs/IA2021cap.2.g.US13.570-en.docx"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oas.org/en/iachr/docs/annual/2021/docs/IA2021cap.2.g.us12.994-en.docx" TargetMode="External"/><Relationship Id="rId210" Type="http://schemas.openxmlformats.org/officeDocument/2006/relationships/image" Target="media/image11.png"/><Relationship Id="rId215" Type="http://schemas.openxmlformats.org/officeDocument/2006/relationships/image" Target="media/image16.png"/><Relationship Id="rId236" Type="http://schemas.openxmlformats.org/officeDocument/2006/relationships/image" Target="media/image37.png"/><Relationship Id="rId26" Type="http://schemas.openxmlformats.org/officeDocument/2006/relationships/hyperlink" Target="https://www.oas.org/en/iachr/decisions/2021/GUSA12.737EN.pdf" TargetMode="External"/><Relationship Id="rId231" Type="http://schemas.openxmlformats.org/officeDocument/2006/relationships/image" Target="media/image32.png"/><Relationship Id="rId47" Type="http://schemas.openxmlformats.org/officeDocument/2006/relationships/hyperlink" Target="https://www.cidh.org/annualrep/2007sp/cap3d.3sp.htm" TargetMode="External"/><Relationship Id="rId68" Type="http://schemas.openxmlformats.org/officeDocument/2006/relationships/hyperlink" Target="https://www.oas.org/en/iachr/docs/annual/2021/docs/IA2021cap2.f.gu.en.docx" TargetMode="External"/><Relationship Id="rId89" Type="http://schemas.openxmlformats.org/officeDocument/2006/relationships/hyperlink" Target="https://www.oas.org/en/iachr/docs/annual/2021/docs/IA2021cap.2.g.BR10.301-en.docx" TargetMode="External"/><Relationship Id="rId112" Type="http://schemas.openxmlformats.org/officeDocument/2006/relationships/hyperlink" Target="https://www.oas.org/en/iachr/docs/annual/2021/docs/IA2021cap.2.g.CO11.726-en.docx" TargetMode="External"/><Relationship Id="rId133" Type="http://schemas.openxmlformats.org/officeDocument/2006/relationships/hyperlink" Target="https://www.oas.org/en/iachr/docs/annual/2021/docs/IA2021cap2.g.GU12.264-en.docx" TargetMode="External"/><Relationship Id="rId154" Type="http://schemas.openxmlformats.org/officeDocument/2006/relationships/hyperlink" Target="https://www.oas.org/en/iachr/docs/annual/2021/docs/IA2021cap2.g.PE11.031-en.docx" TargetMode="External"/><Relationship Id="rId175" Type="http://schemas.openxmlformats.org/officeDocument/2006/relationships/hyperlink" Target="https://www.oas.org/en/iachr/docs/annual/2021/docs/IA2021cap.2.g.us12.864-en.docx" TargetMode="External"/><Relationship Id="rId196" Type="http://schemas.openxmlformats.org/officeDocument/2006/relationships/hyperlink" Target="https://www.oas.org/en/iachr/decisions/mc/MedidasCautelares_folleto_EN.pdf" TargetMode="External"/><Relationship Id="rId200" Type="http://schemas.openxmlformats.org/officeDocument/2006/relationships/hyperlink" Target="https://www.canalcidh.org/tvcidh" TargetMode="External"/><Relationship Id="rId16" Type="http://schemas.openxmlformats.org/officeDocument/2006/relationships/hyperlink" Target="https://www.oas.org/en/iachr/decisions/2021/ARSA245-03EN.pdf" TargetMode="External"/><Relationship Id="rId221" Type="http://schemas.openxmlformats.org/officeDocument/2006/relationships/image" Target="media/image22.png"/><Relationship Id="rId242" Type="http://schemas.openxmlformats.org/officeDocument/2006/relationships/theme" Target="theme/theme1.xml"/><Relationship Id="rId37" Type="http://schemas.openxmlformats.org/officeDocument/2006/relationships/hyperlink" Target="https://www.cidh.org/annualrep/2007sp/cap3d.3sp.htm" TargetMode="External"/><Relationship Id="rId58" Type="http://schemas.openxmlformats.org/officeDocument/2006/relationships/hyperlink" Target="file://falcon1a/EMontero/AppData/Local/Documents%20and%20Settings/ghansen/Local%20Settings/Local%20Settings/Local%20Settings/Temporary%20Internet%20Files/OLK30/Ecuador11574.htm" TargetMode="External"/><Relationship Id="rId79" Type="http://schemas.openxmlformats.org/officeDocument/2006/relationships/hyperlink" Target="https://www.oas.org/en/iachr/docs/annual/2021/docs/IA2021cap.2.g.AR12.324-en.docx" TargetMode="External"/><Relationship Id="rId102" Type="http://schemas.openxmlformats.org/officeDocument/2006/relationships/hyperlink" Target="https://www.oas.org/en/iachr/docs/annual/2021/docs/IA2021cap.2.g.CH12.469-en.docx" TargetMode="External"/><Relationship Id="rId123" Type="http://schemas.openxmlformats.org/officeDocument/2006/relationships/hyperlink" Target="https://www.oas.org/en/iachr/docs/annual/2021/docs/IA2021cap2.g.GR11.765-en.docx" TargetMode="External"/><Relationship Id="rId144" Type="http://schemas.openxmlformats.org/officeDocument/2006/relationships/hyperlink" Target="https://www.oas.org/en/iachr/docs/annual/2021/docs/IA2021cap.2.g.JA13.095-en.docx" TargetMode="External"/><Relationship Id="rId90" Type="http://schemas.openxmlformats.org/officeDocument/2006/relationships/hyperlink" Target="https://www.oas.org/en/iachr/docs/annual/2021/docs/IA2021cap.2.g.BR11.556-en.docx" TargetMode="External"/><Relationship Id="rId165" Type="http://schemas.openxmlformats.org/officeDocument/2006/relationships/hyperlink" Target="https://www.oas.org/en/iachr/docs/annual/2021/docs/IA2021cap.2.g.us12.412-en.docx" TargetMode="External"/><Relationship Id="rId186" Type="http://schemas.openxmlformats.org/officeDocument/2006/relationships/hyperlink" Target="https://www.oas.org/en/iachr/docs/annual/2021/docs/IA2021cap.2.g.us13.361-en.docx" TargetMode="External"/><Relationship Id="rId211" Type="http://schemas.openxmlformats.org/officeDocument/2006/relationships/image" Target="media/image12.png"/><Relationship Id="rId232" Type="http://schemas.openxmlformats.org/officeDocument/2006/relationships/image" Target="media/image33.png"/><Relationship Id="rId27" Type="http://schemas.openxmlformats.org/officeDocument/2006/relationships/hyperlink" Target="https://www.oas.org/en/iachr/decisions/2021/HOSA11.562EN.pdf" TargetMode="External"/><Relationship Id="rId48" Type="http://schemas.openxmlformats.org/officeDocument/2006/relationships/hyperlink" Target="https://www.cidh.org/annualrep/2007sp/cap3d.3sp.htm" TargetMode="External"/><Relationship Id="rId69" Type="http://schemas.openxmlformats.org/officeDocument/2006/relationships/hyperlink" Target="https://www.oas.org/en/iachr/docs/annual/2021/docs/IA2021cap2.f.gu.en.docx" TargetMode="External"/><Relationship Id="rId113" Type="http://schemas.openxmlformats.org/officeDocument/2006/relationships/hyperlink" Target="https://www.oas.org/en/iachr/docs/annual/2021/docs/IA2021cap.2.g.CO12.780-en.docx" TargetMode="External"/><Relationship Id="rId134" Type="http://schemas.openxmlformats.org/officeDocument/2006/relationships/hyperlink" Target="https://www.oas.org/en/iachr/docs/annual/2021/docs/IA2021cap2.g.GU12.504-en.docx" TargetMode="External"/><Relationship Id="rId80" Type="http://schemas.openxmlformats.org/officeDocument/2006/relationships/hyperlink" Target="https://www.oas.org/en/iachr/docs/annual/2021/docs/IA2021cap.2.g.AR12.632-en.docx" TargetMode="External"/><Relationship Id="rId155" Type="http://schemas.openxmlformats.org/officeDocument/2006/relationships/hyperlink" Target="https://www.oas.org/en/iachr/docs/annual/2021/docs/IA2021cap2.g.PE11.099-en.docx" TargetMode="External"/><Relationship Id="rId176" Type="http://schemas.openxmlformats.org/officeDocument/2006/relationships/hyperlink" Target="https://www.oas.org/en/iachr/docs/annual/2021/docs/IA2021cap.2.g.us12.422-en.docx" TargetMode="External"/><Relationship Id="rId197" Type="http://schemas.openxmlformats.org/officeDocument/2006/relationships/hyperlink" Target="https://www.oas.org/en/iachr/decisions/mc/MedidasCautelares_anexo1_EN.pdf" TargetMode="External"/><Relationship Id="rId201" Type="http://schemas.openxmlformats.org/officeDocument/2006/relationships/image" Target="media/image2.png"/><Relationship Id="rId222" Type="http://schemas.openxmlformats.org/officeDocument/2006/relationships/image" Target="media/image23.png"/><Relationship Id="rId17" Type="http://schemas.openxmlformats.org/officeDocument/2006/relationships/image" Target="media/image1.png"/><Relationship Id="rId38" Type="http://schemas.openxmlformats.org/officeDocument/2006/relationships/hyperlink" Target="https://www.oas.org/en/iachr/docs/annual/2021/docs/IA2021cap2.f.co.en.docx" TargetMode="External"/><Relationship Id="rId59" Type="http://schemas.openxmlformats.org/officeDocument/2006/relationships/hyperlink" Target="https://www.cidh.org/annualrep/2007sp/cap3d.3sp.htm" TargetMode="External"/><Relationship Id="rId103" Type="http://schemas.openxmlformats.org/officeDocument/2006/relationships/hyperlink" Target="https://www.oas.org/en/iachr/docs/annual/2021/docs/IA2021cap.2.g.CH12.799-en.docx" TargetMode="External"/><Relationship Id="rId124" Type="http://schemas.openxmlformats.org/officeDocument/2006/relationships/hyperlink" Target="https://www.oas.org/en/iachr/docs/annual/2021/docs/IA2021cap2.g.GR12.158-en.docx" TargetMode="External"/><Relationship Id="rId70" Type="http://schemas.openxmlformats.org/officeDocument/2006/relationships/hyperlink" Target="https://www.oas.org/en/iachr/docs/annual/2021/docs/IA2021cap2.f.ho.en.docx" TargetMode="External"/><Relationship Id="rId91" Type="http://schemas.openxmlformats.org/officeDocument/2006/relationships/hyperlink" Target="https://www.oas.org/en/iachr/docs/annual/2021/docs/IA2021cap.2.g.BR12.001-en.docx" TargetMode="External"/><Relationship Id="rId145" Type="http://schemas.openxmlformats.org/officeDocument/2006/relationships/hyperlink" Target="https://www.oas.org/en/iachr/docs/annual/2021/docs/IA2021cap.2.g.JA13.367-en.docx" TargetMode="External"/><Relationship Id="rId166" Type="http://schemas.openxmlformats.org/officeDocument/2006/relationships/hyperlink" Target="https://www.oas.org/en/iachr/docs/annual/2021/docs/IA2021cap.2.g.us12.430-en.docx" TargetMode="External"/><Relationship Id="rId187" Type="http://schemas.openxmlformats.org/officeDocument/2006/relationships/hyperlink" Target="https://www.oas.org/en/iachr/docs/annual/2021/docs/IA2021cap.2.g.US13.356-en.docx" TargetMode="External"/><Relationship Id="rId1" Type="http://schemas.openxmlformats.org/officeDocument/2006/relationships/customXml" Target="../customXml/item1.xml"/><Relationship Id="rId212" Type="http://schemas.openxmlformats.org/officeDocument/2006/relationships/image" Target="media/image13.png"/><Relationship Id="rId233" Type="http://schemas.openxmlformats.org/officeDocument/2006/relationships/image" Target="media/image34.png"/><Relationship Id="rId28" Type="http://schemas.openxmlformats.org/officeDocument/2006/relationships/hyperlink" Target="https://www.oas.org/en/iachr/decisions/2021/HOSA11.545EN.pdf" TargetMode="External"/><Relationship Id="rId49" Type="http://schemas.openxmlformats.org/officeDocument/2006/relationships/hyperlink" Target="https://www.cidh.org/annualrep/2007sp/cap3d.3sp.htm" TargetMode="External"/><Relationship Id="rId114" Type="http://schemas.openxmlformats.org/officeDocument/2006/relationships/hyperlink" Target="https://www.oas.org/en/iachr/docs/annual/2021/docs/IA2021cap.2.g.CU12.476-en.docx" TargetMode="External"/><Relationship Id="rId60" Type="http://schemas.openxmlformats.org/officeDocument/2006/relationships/hyperlink" Target="https://www.cidh.org/annualrep/2007sp/cap3d.3sp.htm" TargetMode="External"/><Relationship Id="rId81" Type="http://schemas.openxmlformats.org/officeDocument/2006/relationships/hyperlink" Target="https://www.oas.org/en/iachr/docs/annual/2021/docs/IA2021cap2.g.BA12.067-en.docx" TargetMode="External"/><Relationship Id="rId135" Type="http://schemas.openxmlformats.org/officeDocument/2006/relationships/hyperlink" Target="https://www.oas.org/en/iachr/docs/annual/2021/docs/IA2021cap2.g.HA11.335-en.docx" TargetMode="External"/><Relationship Id="rId156" Type="http://schemas.openxmlformats.org/officeDocument/2006/relationships/hyperlink" Target="https://www.oas.org/en/iachr/docs/annual/2021/docs/IA2021cap2.g.TT12.269-en.docx" TargetMode="External"/><Relationship Id="rId177" Type="http://schemas.openxmlformats.org/officeDocument/2006/relationships/hyperlink" Target="https://www.oas.org/en/iachr/docs/annual/2021/docs/IA2021cap.2.g.us12.873-en.docx" TargetMode="External"/><Relationship Id="rId198" Type="http://schemas.openxmlformats.org/officeDocument/2006/relationships/hyperlink" Target="https://www.oas.org/en/iachr/jsForm/?File=/en/iachr/decisions/mc/about-precautionary.asp" TargetMode="External"/><Relationship Id="rId202" Type="http://schemas.openxmlformats.org/officeDocument/2006/relationships/image" Target="media/image3.png"/><Relationship Id="rId223" Type="http://schemas.openxmlformats.org/officeDocument/2006/relationships/image" Target="media/image24.png"/><Relationship Id="rId18" Type="http://schemas.openxmlformats.org/officeDocument/2006/relationships/chart" Target="charts/chart1.xml"/><Relationship Id="rId39" Type="http://schemas.openxmlformats.org/officeDocument/2006/relationships/hyperlink" Target="https://www.oas.org/en/iachr/docs/annual/2021/docs/IA2021cap2.f.co.en.docx" TargetMode="External"/><Relationship Id="rId50" Type="http://schemas.openxmlformats.org/officeDocument/2006/relationships/hyperlink" Target="https://www.cidh.org/annualrep/2007sp/cap3d.3sp.htm" TargetMode="External"/><Relationship Id="rId104" Type="http://schemas.openxmlformats.org/officeDocument/2006/relationships/hyperlink" Target="https://www.oas.org/en/iachr/docs/annual/2021/docs/IA2021cap.2.g.CO11.654-en.docx" TargetMode="External"/><Relationship Id="rId125" Type="http://schemas.openxmlformats.org/officeDocument/2006/relationships/hyperlink" Target="https://www.oas.org/en/iachr/docs/annual/2021/docs/IA2021cap.2.g.GA11.625-en.docx" TargetMode="External"/><Relationship Id="rId146" Type="http://schemas.openxmlformats.org/officeDocument/2006/relationships/hyperlink" Target="https://www.oas.org/en/iachr/docs/annual/2021/docs/IA2021cap2.g.MX11.565-en.docx" TargetMode="External"/><Relationship Id="rId167" Type="http://schemas.openxmlformats.org/officeDocument/2006/relationships/hyperlink" Target="https://www.oas.org/en/iachr/docs/annual/2021/docs/IA2021cap.2.g.us12.439-en.docx" TargetMode="External"/><Relationship Id="rId188" Type="http://schemas.openxmlformats.org/officeDocument/2006/relationships/hyperlink" Target="https://www.oas.org/en/iachr/docs/annual/2021/docs/IA2021cap.2.g.US12.865-en.docx" TargetMode="External"/><Relationship Id="rId71" Type="http://schemas.openxmlformats.org/officeDocument/2006/relationships/hyperlink" Target="https://www.oas.org/en/iachr/docs/annual/2021/docs/IA2021cap2.f.mx.en.docx" TargetMode="External"/><Relationship Id="rId92" Type="http://schemas.openxmlformats.org/officeDocument/2006/relationships/hyperlink" Target="https://www.oas.org/en/iachr/docs/annual/2021/docs/IA2021cap.2.g.BR12.019-en.docx" TargetMode="External"/><Relationship Id="rId213" Type="http://schemas.openxmlformats.org/officeDocument/2006/relationships/image" Target="media/image14.png"/><Relationship Id="rId234"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hyperlink" Target="https://www.oas.org/en/iachr/decisions/2021/HOSA12960EN.pdf" TargetMode="External"/><Relationship Id="rId40" Type="http://schemas.openxmlformats.org/officeDocument/2006/relationships/hyperlink" Target="https://www.cidh.org/annualrep/2007sp/cap3d.3sp.htm" TargetMode="External"/><Relationship Id="rId115" Type="http://schemas.openxmlformats.org/officeDocument/2006/relationships/hyperlink" Target="https://www.oas.org/en/iachr/docs/annual/2021/docs/IA2021cap.2.g.CU12.477-en.docx" TargetMode="External"/><Relationship Id="rId136" Type="http://schemas.openxmlformats.org/officeDocument/2006/relationships/hyperlink" Target="https://www.oas.org/en/iachr/docs/annual/2021/docs/IA2021cap.2.g.JA11.826-en.docx" TargetMode="External"/><Relationship Id="rId157" Type="http://schemas.openxmlformats.org/officeDocument/2006/relationships/hyperlink" Target="https://www.oas.org/en/iachr/docs/annual/2021/docs/IA2021cap.2.g.US9.903-en.docx" TargetMode="External"/><Relationship Id="rId178" Type="http://schemas.openxmlformats.org/officeDocument/2006/relationships/hyperlink" Target="https://www.oas.org/en/iachr/docs/annual/2021/docs/IA2021cap.2.g.us12.831-en.docx" TargetMode="External"/><Relationship Id="rId61" Type="http://schemas.openxmlformats.org/officeDocument/2006/relationships/hyperlink" Target="https://www.cidh.org/annualrep/2007sp/cap3d.3sp.htm" TargetMode="External"/><Relationship Id="rId82" Type="http://schemas.openxmlformats.org/officeDocument/2006/relationships/hyperlink" Target="https://www.oas.org/en/iachr/docs/annual/2021/docs/IA2021cap2.g.BA12.265-en.docx" TargetMode="External"/><Relationship Id="rId199" Type="http://schemas.openxmlformats.org/officeDocument/2006/relationships/hyperlink" Target="https://www.canalcidh.org/mapa-medidas-cautelares" TargetMode="External"/><Relationship Id="rId203" Type="http://schemas.openxmlformats.org/officeDocument/2006/relationships/image" Target="media/image4.png"/><Relationship Id="rId19" Type="http://schemas.openxmlformats.org/officeDocument/2006/relationships/chart" Target="charts/chart2.xml"/><Relationship Id="rId224" Type="http://schemas.openxmlformats.org/officeDocument/2006/relationships/image" Target="media/image25.png"/><Relationship Id="rId30" Type="http://schemas.openxmlformats.org/officeDocument/2006/relationships/hyperlink" Target="https://www.oas.org/en/iachr/decisions/2021/MXSA12.610EN.pdf" TargetMode="External"/><Relationship Id="rId105" Type="http://schemas.openxmlformats.org/officeDocument/2006/relationships/hyperlink" Target="https://www.oas.org/en/iachr/docs/annual/2021/docs/IA2021cap.2.g.CO11.710-en.docx" TargetMode="External"/><Relationship Id="rId126" Type="http://schemas.openxmlformats.org/officeDocument/2006/relationships/hyperlink" Target="https://www.oas.org/en/iachr/docs/annual/2021/docs/IA2021cap.2.g.GA9.207-en.docx" TargetMode="External"/><Relationship Id="rId147" Type="http://schemas.openxmlformats.org/officeDocument/2006/relationships/hyperlink" Target="https://www.oas.org/en/iachr/docs/annual/2021/docs/IA2021cap2.g.MX12.130-en.docx" TargetMode="External"/><Relationship Id="rId168" Type="http://schemas.openxmlformats.org/officeDocument/2006/relationships/hyperlink" Target="https://www.oas.org/en/iachr/docs/annual/2021/docs/IA2021cap.2.g.us12.421-en.docx" TargetMode="External"/><Relationship Id="rId51" Type="http://schemas.openxmlformats.org/officeDocument/2006/relationships/hyperlink" Target="https://www.cidh.org/annualrep/2007sp/cap3d.3sp.htm" TargetMode="External"/><Relationship Id="rId72" Type="http://schemas.openxmlformats.org/officeDocument/2006/relationships/hyperlink" Target="https://www.oas.org/en/iachr/docs/annual/2021/docs/IA2021cap2.f.pn.en.docx" TargetMode="External"/><Relationship Id="rId93" Type="http://schemas.openxmlformats.org/officeDocument/2006/relationships/hyperlink" Target="https://www.oas.org/en/iachr/docs/annual/2021/docs/IA2021cap.2.g.BR12.310-en.docx" TargetMode="External"/><Relationship Id="rId189" Type="http://schemas.openxmlformats.org/officeDocument/2006/relationships/hyperlink" Target="https://www.oas.org/en/iachr/docs/annual/2021/docs/IA2021cap.2.g.US12.719-en&#8203;.docx" TargetMode="External"/><Relationship Id="rId3" Type="http://schemas.openxmlformats.org/officeDocument/2006/relationships/customXml" Target="../customXml/item3.xml"/><Relationship Id="rId214" Type="http://schemas.openxmlformats.org/officeDocument/2006/relationships/image" Target="media/image15.png"/><Relationship Id="rId235" Type="http://schemas.openxmlformats.org/officeDocument/2006/relationships/image" Target="media/image36.png"/><Relationship Id="rId116" Type="http://schemas.openxmlformats.org/officeDocument/2006/relationships/hyperlink" Target="https://www.oas.org/en/iachr/docs/annual/2021/docs/IA2021cap.2.g.CU12.127-en.docx" TargetMode="External"/><Relationship Id="rId137" Type="http://schemas.openxmlformats.org/officeDocument/2006/relationships/hyperlink" Target="https://www.oas.org/en/iachr/docs/annual/2021/docs/IA2021cap.2.g.JA12.069-en.docx" TargetMode="External"/><Relationship Id="rId158" Type="http://schemas.openxmlformats.org/officeDocument/2006/relationships/hyperlink" Target="https://www.oas.org/en/iachr/docs/annual/2021/docs/IA2021cap.2.g.us12.243-en.docx" TargetMode="External"/><Relationship Id="rId20" Type="http://schemas.openxmlformats.org/officeDocument/2006/relationships/hyperlink" Target="https://www.oas.org/en/iachr/decisions/2021/ARSA13.595EN.pdf" TargetMode="External"/><Relationship Id="rId41" Type="http://schemas.openxmlformats.org/officeDocument/2006/relationships/hyperlink" Target="https://www.cidh.org/annualrep/2007sp/cap3d.3sp.htm" TargetMode="External"/><Relationship Id="rId62" Type="http://schemas.openxmlformats.org/officeDocument/2006/relationships/hyperlink" Target="https://www.cidh.org/annualrep/2007sp/cap3d.3sp.htm" TargetMode="External"/><Relationship Id="rId83" Type="http://schemas.openxmlformats.org/officeDocument/2006/relationships/hyperlink" Target="https://www.oas.org/en/iachr/docs/annual/2021/docs/IA2021cap2.g.BA12.513-en.docx" TargetMode="External"/><Relationship Id="rId179" Type="http://schemas.openxmlformats.org/officeDocument/2006/relationships/hyperlink" Target="https://www.oas.org/en/iachr/docs/annual/2021/docs/IA2021cap.2.g.us12.831-en.docx" TargetMode="External"/><Relationship Id="rId190" Type="http://schemas.openxmlformats.org/officeDocument/2006/relationships/hyperlink" Target="https://www.oas.org/en/iachr/docs/annual/2021/docs/IA2021cap.2.g.US12.754-en.docx" TargetMode="External"/><Relationship Id="rId204" Type="http://schemas.openxmlformats.org/officeDocument/2006/relationships/image" Target="media/image5.png"/><Relationship Id="rId225" Type="http://schemas.openxmlformats.org/officeDocument/2006/relationships/image" Target="media/image26.png"/></Relationships>
</file>

<file path=word/_rels/footnotes.xml.rels><?xml version="1.0" encoding="UTF-8" standalone="yes"?>
<Relationships xmlns="http://schemas.openxmlformats.org/package/2006/relationships"><Relationship Id="rId13" Type="http://schemas.openxmlformats.org/officeDocument/2006/relationships/hyperlink" Target="https://www.youtube.com/watch?v=u24ONB4Mhys" TargetMode="External"/><Relationship Id="rId18" Type="http://schemas.openxmlformats.org/officeDocument/2006/relationships/hyperlink" Target="https://www.oas.org/en/iachr/docs/annual/2020/Chapters/IA2020cap2-en.pdf" TargetMode="External"/><Relationship Id="rId26" Type="http://schemas.openxmlformats.org/officeDocument/2006/relationships/hyperlink" Target="https://www.oas.org/en/iachr/docs/annual/2020/Chapters/IA2020cap2-en.pdf" TargetMode="External"/><Relationship Id="rId39" Type="http://schemas.openxmlformats.org/officeDocument/2006/relationships/hyperlink" Target="https://www.youtube.com/watch?v=yHu88E_5pSk&amp;list=PL5QlapyOGhXspIwSyEyr8vmZw4Um9S3D1&amp;index=12" TargetMode="External"/><Relationship Id="rId21" Type="http://schemas.openxmlformats.org/officeDocument/2006/relationships/hyperlink" Target="https://www.oas.org/en/iachr/docs/annual/2020/Chapters/IA2020cap2-en.pdf" TargetMode="External"/><Relationship Id="rId34" Type="http://schemas.openxmlformats.org/officeDocument/2006/relationships/hyperlink" Target="http://www.cidh.org/annualrep/2005eng/chap.3d.htm" TargetMode="External"/><Relationship Id="rId42" Type="http://schemas.openxmlformats.org/officeDocument/2006/relationships/hyperlink" Target="https://www.youtube.com/watch?v=N63VoXm-O6M&amp;list=PLUhWZuDPzeZNsxGOyCdzcGsLNe2VQzps9&amp;index=4" TargetMode="External"/><Relationship Id="rId47" Type="http://schemas.openxmlformats.org/officeDocument/2006/relationships/hyperlink" Target="https://www.oas.org/en/iachr/jsForm/?File=/en/iachr/media_center/preleases/2021/156.asp" TargetMode="External"/><Relationship Id="rId50" Type="http://schemas.openxmlformats.org/officeDocument/2006/relationships/hyperlink" Target="file:///C:/Users/LSilva/AppData/Local/Microsoft/Windows/INetCache/Content.Outlook/AXWBWHK7/corteidh.or.cr/docs/medidas/chamorro_se_02.pdf" TargetMode="External"/><Relationship Id="rId55" Type="http://schemas.openxmlformats.org/officeDocument/2006/relationships/hyperlink" Target="https://www.oas.org/en/IACHR/jsForm/?File=/en/iachr/media_center/PReleases/2021/285.asp" TargetMode="External"/><Relationship Id="rId7" Type="http://schemas.openxmlformats.org/officeDocument/2006/relationships/hyperlink" Target="https://www.youtube.com/watch?v=u24ONB4Mhys" TargetMode="External"/><Relationship Id="rId2" Type="http://schemas.openxmlformats.org/officeDocument/2006/relationships/hyperlink" Target="https://www.canalcidh.org/graciela-ramos" TargetMode="External"/><Relationship Id="rId16" Type="http://schemas.openxmlformats.org/officeDocument/2006/relationships/hyperlink" Target="https://www.oas.org/en/iachr/docs/annual/2020/Chapters/IA2020cap2-en.pdf" TargetMode="External"/><Relationship Id="rId29" Type="http://schemas.openxmlformats.org/officeDocument/2006/relationships/hyperlink" Target="http://www.oas.org/en/iachr/docs/annual/2016/docs/InformeAnual2016cap2Dseguimiento-en.pdf" TargetMode="External"/><Relationship Id="rId11" Type="http://schemas.openxmlformats.org/officeDocument/2006/relationships/hyperlink" Target="https://www.canalcidh.org/esterilizaciones-peru" TargetMode="External"/><Relationship Id="rId24" Type="http://schemas.openxmlformats.org/officeDocument/2006/relationships/hyperlink" Target="https://www.oas.org/en/iachr/docs/annual/2020/Chapters/IA2020cap2-en.pdf" TargetMode="External"/><Relationship Id="rId32" Type="http://schemas.openxmlformats.org/officeDocument/2006/relationships/hyperlink" Target="http://www.oas.org/en/iachr/docs/annual/2016/docs/InformeAnual2016cap2Dseguimiento-en.pdf" TargetMode="External"/><Relationship Id="rId37" Type="http://schemas.openxmlformats.org/officeDocument/2006/relationships/hyperlink" Target="https://www.oas.org/en/iachr/media_center/PReleases/2020/201.asp" TargetMode="External"/><Relationship Id="rId40" Type="http://schemas.openxmlformats.org/officeDocument/2006/relationships/hyperlink" Target="https://www.youtube.com/watch?v=nNa2tbx4y5I&amp;list=PLUhWZuDPzeZOb0D-VSv-FRBiKWuUvbffJ&amp;index=5" TargetMode="External"/><Relationship Id="rId45" Type="http://schemas.openxmlformats.org/officeDocument/2006/relationships/hyperlink" Target="https://www.youtube.com/watch?v=_45Gx9fSn44&amp;list=PLUhWZuDPzeZMxapjjRjPxzVE1tpS4e6U7" TargetMode="External"/><Relationship Id="rId53" Type="http://schemas.openxmlformats.org/officeDocument/2006/relationships/hyperlink" Target="https://www.oas.org/en/IACHR/jsForm/?File=/en/iachr/media_center/PReleases/2021/242.asp" TargetMode="External"/><Relationship Id="rId5" Type="http://schemas.openxmlformats.org/officeDocument/2006/relationships/hyperlink" Target="https://www.canalcidh.org/vivienda" TargetMode="External"/><Relationship Id="rId10" Type="http://schemas.openxmlformats.org/officeDocument/2006/relationships/hyperlink" Target="https://www.canalcidh.org/graciela-ramos" TargetMode="External"/><Relationship Id="rId19" Type="http://schemas.openxmlformats.org/officeDocument/2006/relationships/hyperlink" Target="https://www.oas.org/en/iachr/docs/annual/2020/Chapters/IA2020cap2-en.pdf" TargetMode="External"/><Relationship Id="rId31" Type="http://schemas.openxmlformats.org/officeDocument/2006/relationships/hyperlink" Target="http://www.oas.org/es/cidh/decisiones/2017/EC12393ES.pdf" TargetMode="External"/><Relationship Id="rId44" Type="http://schemas.openxmlformats.org/officeDocument/2006/relationships/hyperlink" Target="https://www.youtube.com/watch?v=BUigodY4K7w&amp;list=PLUhWZuDPzeZPRKGDaefufov60n5m1UGKs&amp;index=6" TargetMode="External"/><Relationship Id="rId52" Type="http://schemas.openxmlformats.org/officeDocument/2006/relationships/hyperlink" Target="https://www.corteidh.or.cr/docs/medidas/chamorro_se_03.pdf" TargetMode="External"/><Relationship Id="rId4" Type="http://schemas.openxmlformats.org/officeDocument/2006/relationships/hyperlink" Target="https://www.canalcidh.org/esterilizaciones-peru" TargetMode="External"/><Relationship Id="rId9" Type="http://schemas.openxmlformats.org/officeDocument/2006/relationships/hyperlink" Target="https://www.canalcidh.org/" TargetMode="External"/><Relationship Id="rId14" Type="http://schemas.openxmlformats.org/officeDocument/2006/relationships/hyperlink" Target="https://www.youtube.com/c/AgenciaNacionaldeDefensaJur%C3%ADdicadelEstado/videos" TargetMode="External"/><Relationship Id="rId22" Type="http://schemas.openxmlformats.org/officeDocument/2006/relationships/hyperlink" Target="https://www.oas.org/en/iachr/docs/annual/2020/Chapters/IA2020cap2-en.pdf" TargetMode="External"/><Relationship Id="rId27" Type="http://schemas.openxmlformats.org/officeDocument/2006/relationships/hyperlink" Target="https://www.google.com/url?sa=t&amp;rct=j&amp;q=&amp;esrc=s&amp;source=web&amp;cd=1&amp;cad=rja&amp;uact=8&amp;ved=2ahUKEwiCze7mvcTmAhUFjVkKHXVgCsAQFjAAegQIBBAC&amp;url=http%3A%2F%2Fwww.oas.org%2Fen%2Fiachr%2Fdocs%2Fannual%2F2018%2Fdocs%2FIA2018cap.2.g.ar11.732-en.doc&amp;usg=AOvVaw3_fBFEUJYRh2KcaU37zKAZ" TargetMode="External"/><Relationship Id="rId30" Type="http://schemas.openxmlformats.org/officeDocument/2006/relationships/hyperlink" Target="http://www.cidh.org/annualrep/2009eng/Chap.III.f.eng.htm" TargetMode="External"/><Relationship Id="rId35" Type="http://schemas.openxmlformats.org/officeDocument/2006/relationships/hyperlink" Target="http://www.cidh.org/annualrep/2005eng/chap.3d.htm" TargetMode="External"/><Relationship Id="rId43" Type="http://schemas.openxmlformats.org/officeDocument/2006/relationships/hyperlink" Target="https://www.youtube.com/watch?v=ob0F7C7BkVo&amp;list=PLUhWZuDPzeZPRKGDaefufov60n5m1UGKs&amp;index=3" TargetMode="External"/><Relationship Id="rId48" Type="http://schemas.openxmlformats.org/officeDocument/2006/relationships/hyperlink" Target="https://www.corteidh.or.cr/docs/medidas/chamorro_se_01.pdf" TargetMode="External"/><Relationship Id="rId8" Type="http://schemas.openxmlformats.org/officeDocument/2006/relationships/hyperlink" Target="https://www.youtube.com/c/AgenciaNacionaldeDefensaJur&#237;dicadelEstado/videos" TargetMode="External"/><Relationship Id="rId51" Type="http://schemas.openxmlformats.org/officeDocument/2006/relationships/hyperlink" Target="https://www.oas.org/en/IACHR/jsForm/?File=/en/iachr/media_center/PReleases/2021/220.asp" TargetMode="External"/><Relationship Id="rId3" Type="http://schemas.openxmlformats.org/officeDocument/2006/relationships/hyperlink" Target="https://www.canalcidh.org/esterilizaciones-peru" TargetMode="External"/><Relationship Id="rId12" Type="http://schemas.openxmlformats.org/officeDocument/2006/relationships/hyperlink" Target="https://www.canalcidh.org/vivienda" TargetMode="External"/><Relationship Id="rId17" Type="http://schemas.openxmlformats.org/officeDocument/2006/relationships/hyperlink" Target="https://www.oas.org/en/iachr/docs/annual/2020/Chapters/IA2020cap2-en.pdf" TargetMode="External"/><Relationship Id="rId25" Type="http://schemas.openxmlformats.org/officeDocument/2006/relationships/hyperlink" Target="https://www.oas.org/en/iachr/docs/annual/2020/Chapters/IA2020cap2-en.pdf" TargetMode="External"/><Relationship Id="rId33" Type="http://schemas.openxmlformats.org/officeDocument/2006/relationships/hyperlink" Target="http://www.oas.org/en/iachr/docs/annual/2012/Chap.3.D.doc" TargetMode="External"/><Relationship Id="rId38" Type="http://schemas.openxmlformats.org/officeDocument/2006/relationships/hyperlink" Target="https://www.youtube.com/watch?v=O2C4yAjNDSE&amp;list=PL5QlapyOGhXspIwSyEyr8vmZw4Um9S3D1&amp;index=19" TargetMode="External"/><Relationship Id="rId46" Type="http://schemas.openxmlformats.org/officeDocument/2006/relationships/hyperlink" Target="https://www.youtube.com/watch?v=YGpEL4a4vZQ&amp;list=PLUhWZuDPzeZMxapjjRjPxzVE1tpS4e6U7&amp;index=2" TargetMode="External"/><Relationship Id="rId20" Type="http://schemas.openxmlformats.org/officeDocument/2006/relationships/hyperlink" Target="https://www.oas.org/en/iachr/docs/annual/2020/Chapters/IA2020cap2-en.pdf" TargetMode="External"/><Relationship Id="rId41" Type="http://schemas.openxmlformats.org/officeDocument/2006/relationships/hyperlink" Target="https://www.youtube.com/watch?v=CGQpLrteJuk" TargetMode="External"/><Relationship Id="rId54" Type="http://schemas.openxmlformats.org/officeDocument/2006/relationships/hyperlink" Target="https://www.corteidh.or.cr/docs/medidas/miskitu_se_07.pdf" TargetMode="External"/><Relationship Id="rId1" Type="http://schemas.openxmlformats.org/officeDocument/2006/relationships/hyperlink" Target="https://www.canalcidh.org/" TargetMode="External"/><Relationship Id="rId6" Type="http://schemas.openxmlformats.org/officeDocument/2006/relationships/hyperlink" Target="https://www.canalcidh.org/vivienda" TargetMode="External"/><Relationship Id="rId15" Type="http://schemas.openxmlformats.org/officeDocument/2006/relationships/hyperlink" Target="https://www.oas.org/en/iachr/docs/annual/2020/Chapters/IA2020cap2-en.pdf" TargetMode="External"/><Relationship Id="rId23" Type="http://schemas.openxmlformats.org/officeDocument/2006/relationships/hyperlink" Target="https://www.oas.org/en/iachr/docs/annual/2020/Chapters/IA2020cap2-en.pdf" TargetMode="External"/><Relationship Id="rId28" Type="http://schemas.openxmlformats.org/officeDocument/2006/relationships/hyperlink" Target="http://www.cidh.org/annualrep/2008eng/Chap3.f.eng.htm" TargetMode="External"/><Relationship Id="rId36" Type="http://schemas.openxmlformats.org/officeDocument/2006/relationships/hyperlink" Target="http://www.cidh.org/annualrep/2010eng/Chap.III.D.doc" TargetMode="External"/><Relationship Id="rId49" Type="http://schemas.openxmlformats.org/officeDocument/2006/relationships/hyperlink" Target="http://www.oas.org/en/IACHR/jsForm/?File=/en/iachr/media_center/PReleases/2021/181.as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_rels/header2.xml.rels><?xml version="1.0" encoding="UTF-8" standalone="yes"?>
<Relationships xmlns="http://schemas.openxmlformats.org/package/2006/relationships"><Relationship Id="rId3" Type="http://schemas.openxmlformats.org/officeDocument/2006/relationships/image" Target="media/image400.png"/><Relationship Id="rId2" Type="http://schemas.openxmlformats.org/officeDocument/2006/relationships/image" Target="media/image40.png"/><Relationship Id="rId1" Type="http://schemas.openxmlformats.org/officeDocument/2006/relationships/image" Target="media/image39.png"/></Relationships>
</file>

<file path=word/charts/_rels/chart1.xml.rels><?xml version="1.0" encoding="UTF-8" standalone="yes"?>
<Relationships xmlns="http://schemas.openxmlformats.org/package/2006/relationships"><Relationship Id="rId3" Type="http://schemas.openxmlformats.org/officeDocument/2006/relationships/oleObject" Target="https://oas365-my.sharepoint.com/personal/amochon_oas_org1/Documents/IA2021/Gr&#225;ficas%20preliminares%20IA%202021%20DATA-%20AM.docx.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Number of measures with progress in implementation during 2021, by State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Sheet2!$J$3</c:f>
              <c:strCache>
                <c:ptCount val="1"/>
                <c:pt idx="0">
                  <c:v>Total compliance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Sheet2!$I$4:$I$12</c:f>
              <c:strCache>
                <c:ptCount val="9"/>
                <c:pt idx="0">
                  <c:v>Peru</c:v>
                </c:pt>
                <c:pt idx="1">
                  <c:v>Paraguay</c:v>
                </c:pt>
                <c:pt idx="2">
                  <c:v>Mexico</c:v>
                </c:pt>
                <c:pt idx="3">
                  <c:v>Honduras</c:v>
                </c:pt>
                <c:pt idx="4">
                  <c:v>Guatemala</c:v>
                </c:pt>
                <c:pt idx="5">
                  <c:v>Ecuador</c:v>
                </c:pt>
                <c:pt idx="6">
                  <c:v>Colombia</c:v>
                </c:pt>
                <c:pt idx="7">
                  <c:v>Brazil</c:v>
                </c:pt>
                <c:pt idx="8">
                  <c:v>Argentina</c:v>
                </c:pt>
              </c:strCache>
            </c:strRef>
          </c:cat>
          <c:val>
            <c:numRef>
              <c:f>Sheet2!$J$4:$J$12</c:f>
              <c:numCache>
                <c:formatCode>General</c:formatCode>
                <c:ptCount val="9"/>
                <c:pt idx="1">
                  <c:v>22</c:v>
                </c:pt>
                <c:pt idx="2">
                  <c:v>15</c:v>
                </c:pt>
                <c:pt idx="3">
                  <c:v>10</c:v>
                </c:pt>
                <c:pt idx="4">
                  <c:v>7</c:v>
                </c:pt>
                <c:pt idx="5">
                  <c:v>2</c:v>
                </c:pt>
                <c:pt idx="6">
                  <c:v>15</c:v>
                </c:pt>
                <c:pt idx="7">
                  <c:v>7</c:v>
                </c:pt>
                <c:pt idx="8">
                  <c:v>16</c:v>
                </c:pt>
              </c:numCache>
            </c:numRef>
          </c:val>
          <c:extLst>
            <c:ext xmlns:c16="http://schemas.microsoft.com/office/drawing/2014/chart" uri="{C3380CC4-5D6E-409C-BE32-E72D297353CC}">
              <c16:uniqueId val="{00000000-F73C-44D0-8F96-40268154BAAA}"/>
            </c:ext>
          </c:extLst>
        </c:ser>
        <c:ser>
          <c:idx val="1"/>
          <c:order val="1"/>
          <c:tx>
            <c:strRef>
              <c:f>Sheet2!$K$3</c:f>
              <c:strCache>
                <c:ptCount val="1"/>
                <c:pt idx="0">
                  <c:v>Substantial partial compliance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Sheet2!$I$4:$I$12</c:f>
              <c:strCache>
                <c:ptCount val="9"/>
                <c:pt idx="0">
                  <c:v>Peru</c:v>
                </c:pt>
                <c:pt idx="1">
                  <c:v>Paraguay</c:v>
                </c:pt>
                <c:pt idx="2">
                  <c:v>Mexico</c:v>
                </c:pt>
                <c:pt idx="3">
                  <c:v>Honduras</c:v>
                </c:pt>
                <c:pt idx="4">
                  <c:v>Guatemala</c:v>
                </c:pt>
                <c:pt idx="5">
                  <c:v>Ecuador</c:v>
                </c:pt>
                <c:pt idx="6">
                  <c:v>Colombia</c:v>
                </c:pt>
                <c:pt idx="7">
                  <c:v>Brazil</c:v>
                </c:pt>
                <c:pt idx="8">
                  <c:v>Argentina</c:v>
                </c:pt>
              </c:strCache>
            </c:strRef>
          </c:cat>
          <c:val>
            <c:numRef>
              <c:f>Sheet2!$K$4:$K$12</c:f>
              <c:numCache>
                <c:formatCode>General</c:formatCode>
                <c:ptCount val="9"/>
                <c:pt idx="0">
                  <c:v>1</c:v>
                </c:pt>
                <c:pt idx="2">
                  <c:v>3</c:v>
                </c:pt>
                <c:pt idx="6">
                  <c:v>3</c:v>
                </c:pt>
                <c:pt idx="7">
                  <c:v>2</c:v>
                </c:pt>
                <c:pt idx="8">
                  <c:v>3</c:v>
                </c:pt>
              </c:numCache>
            </c:numRef>
          </c:val>
          <c:extLst>
            <c:ext xmlns:c16="http://schemas.microsoft.com/office/drawing/2014/chart" uri="{C3380CC4-5D6E-409C-BE32-E72D297353CC}">
              <c16:uniqueId val="{00000001-F73C-44D0-8F96-40268154BAAA}"/>
            </c:ext>
          </c:extLst>
        </c:ser>
        <c:ser>
          <c:idx val="2"/>
          <c:order val="2"/>
          <c:tx>
            <c:strRef>
              <c:f>Sheet2!$L$3</c:f>
              <c:strCache>
                <c:ptCount val="1"/>
                <c:pt idx="0">
                  <c:v>Partial compliance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Sheet2!$I$4:$I$12</c:f>
              <c:strCache>
                <c:ptCount val="9"/>
                <c:pt idx="0">
                  <c:v>Peru</c:v>
                </c:pt>
                <c:pt idx="1">
                  <c:v>Paraguay</c:v>
                </c:pt>
                <c:pt idx="2">
                  <c:v>Mexico</c:v>
                </c:pt>
                <c:pt idx="3">
                  <c:v>Honduras</c:v>
                </c:pt>
                <c:pt idx="4">
                  <c:v>Guatemala</c:v>
                </c:pt>
                <c:pt idx="5">
                  <c:v>Ecuador</c:v>
                </c:pt>
                <c:pt idx="6">
                  <c:v>Colombia</c:v>
                </c:pt>
                <c:pt idx="7">
                  <c:v>Brazil</c:v>
                </c:pt>
                <c:pt idx="8">
                  <c:v>Argentina</c:v>
                </c:pt>
              </c:strCache>
            </c:strRef>
          </c:cat>
          <c:val>
            <c:numRef>
              <c:f>Sheet2!$L$4:$L$12</c:f>
              <c:numCache>
                <c:formatCode>General</c:formatCode>
                <c:ptCount val="9"/>
                <c:pt idx="1">
                  <c:v>2</c:v>
                </c:pt>
                <c:pt idx="2">
                  <c:v>3</c:v>
                </c:pt>
                <c:pt idx="3">
                  <c:v>4</c:v>
                </c:pt>
                <c:pt idx="4">
                  <c:v>2</c:v>
                </c:pt>
                <c:pt idx="6">
                  <c:v>9</c:v>
                </c:pt>
                <c:pt idx="7">
                  <c:v>5</c:v>
                </c:pt>
                <c:pt idx="8">
                  <c:v>1</c:v>
                </c:pt>
              </c:numCache>
            </c:numRef>
          </c:val>
          <c:extLst>
            <c:ext xmlns:c16="http://schemas.microsoft.com/office/drawing/2014/chart" uri="{C3380CC4-5D6E-409C-BE32-E72D297353CC}">
              <c16:uniqueId val="{00000002-F73C-44D0-8F96-40268154BAAA}"/>
            </c:ext>
          </c:extLst>
        </c:ser>
        <c:dLbls>
          <c:dLblPos val="ctr"/>
          <c:showLegendKey val="0"/>
          <c:showVal val="1"/>
          <c:showCatName val="0"/>
          <c:showSerName val="0"/>
          <c:showPercent val="0"/>
          <c:showBubbleSize val="0"/>
        </c:dLbls>
        <c:gapWidth val="79"/>
        <c:overlap val="100"/>
        <c:axId val="1003516272"/>
        <c:axId val="1003514608"/>
      </c:barChart>
      <c:catAx>
        <c:axId val="1003516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003514608"/>
        <c:crosses val="autoZero"/>
        <c:auto val="1"/>
        <c:lblAlgn val="ctr"/>
        <c:lblOffset val="100"/>
        <c:noMultiLvlLbl val="0"/>
      </c:catAx>
      <c:valAx>
        <c:axId val="1003514608"/>
        <c:scaling>
          <c:orientation val="minMax"/>
        </c:scaling>
        <c:delete val="1"/>
        <c:axPos val="b"/>
        <c:numFmt formatCode="General" sourceLinked="1"/>
        <c:majorTickMark val="none"/>
        <c:minorTickMark val="none"/>
        <c:tickLblPos val="nextTo"/>
        <c:crossAx val="1003516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NUMBER OF MEASURES WITH PROGRESS IN IMPLEMENTATION DURING 2020, BY TYPE OF IMPACT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Sheet3!$H$3:$I$3</c:f>
              <c:strCache>
                <c:ptCount val="2"/>
                <c:pt idx="0">
                  <c:v>Individual</c:v>
                </c:pt>
                <c:pt idx="1">
                  <c:v>Structural</c:v>
                </c:pt>
              </c:strCache>
            </c:strRef>
          </c:cat>
          <c:val>
            <c:numRef>
              <c:f>Sheet3!$H$4:$I$4</c:f>
              <c:numCache>
                <c:formatCode>General</c:formatCode>
                <c:ptCount val="2"/>
                <c:pt idx="0">
                  <c:v>90</c:v>
                </c:pt>
                <c:pt idx="1">
                  <c:v>42</c:v>
                </c:pt>
              </c:numCache>
            </c:numRef>
          </c:val>
          <c:extLst>
            <c:ext xmlns:c16="http://schemas.microsoft.com/office/drawing/2014/chart" uri="{C3380CC4-5D6E-409C-BE32-E72D297353CC}">
              <c16:uniqueId val="{00000000-3462-4C3B-B086-B533C21FB7C5}"/>
            </c:ext>
          </c:extLst>
        </c:ser>
        <c:dLbls>
          <c:dLblPos val="ctr"/>
          <c:showLegendKey val="0"/>
          <c:showVal val="1"/>
          <c:showCatName val="0"/>
          <c:showSerName val="0"/>
          <c:showPercent val="0"/>
          <c:showBubbleSize val="0"/>
        </c:dLbls>
        <c:gapWidth val="100"/>
        <c:overlap val="-24"/>
        <c:axId val="347936016"/>
        <c:axId val="347937264"/>
      </c:barChart>
      <c:catAx>
        <c:axId val="3479360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47937264"/>
        <c:crosses val="autoZero"/>
        <c:auto val="1"/>
        <c:lblAlgn val="ctr"/>
        <c:lblOffset val="100"/>
        <c:noMultiLvlLbl val="0"/>
      </c:catAx>
      <c:valAx>
        <c:axId val="34793726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4793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ff2a89a-f9c3-4229-b04b-1f4abb2786a1">
      <Terms xmlns="http://schemas.microsoft.com/office/infopath/2007/PartnerControls"/>
    </lcf76f155ced4ddcb4097134ff3c332f>
    <TaxCatchAll xmlns="730f74aa-8393-4aa5-b2f8-3c7aae566a6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589DCDDB8A16B44BDC2A7128ECAC845" ma:contentTypeVersion="16" ma:contentTypeDescription="Create a new document." ma:contentTypeScope="" ma:versionID="8320a09ae00a1f0dc305485fa1bf5fd2">
  <xsd:schema xmlns:xsd="http://www.w3.org/2001/XMLSchema" xmlns:xs="http://www.w3.org/2001/XMLSchema" xmlns:p="http://schemas.microsoft.com/office/2006/metadata/properties" xmlns:ns2="7ff2a89a-f9c3-4229-b04b-1f4abb2786a1" xmlns:ns3="730f74aa-8393-4aa5-b2f8-3c7aae566a68" targetNamespace="http://schemas.microsoft.com/office/2006/metadata/properties" ma:root="true" ma:fieldsID="d5f400581fcfbc5c2b880261c5748acb" ns2:_="" ns3:_="">
    <xsd:import namespace="7ff2a89a-f9c3-4229-b04b-1f4abb2786a1"/>
    <xsd:import namespace="730f74aa-8393-4aa5-b2f8-3c7aae566a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f2a89a-f9c3-4229-b04b-1f4abb278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0f74aa-8393-4aa5-b2f8-3c7aae566a6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61574ee-41fe-444d-9ab4-b96c47c071b6}" ma:internalName="TaxCatchAll" ma:showField="CatchAllData" ma:web="730f74aa-8393-4aa5-b2f8-3c7aae566a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F10F95-07C9-443E-B0D2-753405CC006B}">
  <ds:schemaRefs>
    <ds:schemaRef ds:uri="http://schemas.microsoft.com/sharepoint/v3/contenttype/forms"/>
  </ds:schemaRefs>
</ds:datastoreItem>
</file>

<file path=customXml/itemProps2.xml><?xml version="1.0" encoding="utf-8"?>
<ds:datastoreItem xmlns:ds="http://schemas.openxmlformats.org/officeDocument/2006/customXml" ds:itemID="{7E72BFE9-8D4F-474B-B1AA-23E7299C9EF6}">
  <ds:schemaRefs>
    <ds:schemaRef ds:uri="http://schemas.microsoft.com/office/2006/metadata/properties"/>
    <ds:schemaRef ds:uri="http://schemas.microsoft.com/office/infopath/2007/PartnerControls"/>
    <ds:schemaRef ds:uri="7ff2a89a-f9c3-4229-b04b-1f4abb2786a1"/>
    <ds:schemaRef ds:uri="730f74aa-8393-4aa5-b2f8-3c7aae566a68"/>
  </ds:schemaRefs>
</ds:datastoreItem>
</file>

<file path=customXml/itemProps3.xml><?xml version="1.0" encoding="utf-8"?>
<ds:datastoreItem xmlns:ds="http://schemas.openxmlformats.org/officeDocument/2006/customXml" ds:itemID="{33D36270-2809-4461-BD2B-014470A7A3B7}">
  <ds:schemaRefs>
    <ds:schemaRef ds:uri="http://schemas.openxmlformats.org/officeDocument/2006/bibliography"/>
  </ds:schemaRefs>
</ds:datastoreItem>
</file>

<file path=customXml/itemProps4.xml><?xml version="1.0" encoding="utf-8"?>
<ds:datastoreItem xmlns:ds="http://schemas.openxmlformats.org/officeDocument/2006/customXml" ds:itemID="{6ACF8F44-A9D3-4874-B80E-586590EF18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f2a89a-f9c3-4229-b04b-1f4abb2786a1"/>
    <ds:schemaRef ds:uri="730f74aa-8393-4aa5-b2f8-3c7aae566a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275</Pages>
  <Words>108499</Words>
  <Characters>618450</Characters>
  <Application>Microsoft Office Word</Application>
  <DocSecurity>0</DocSecurity>
  <Lines>5153</Lines>
  <Paragraphs>1450</Paragraphs>
  <ScaleCrop>false</ScaleCrop>
  <HeadingPairs>
    <vt:vector size="2" baseType="variant">
      <vt:variant>
        <vt:lpstr>Title</vt:lpstr>
      </vt:variant>
      <vt:variant>
        <vt:i4>1</vt:i4>
      </vt:variant>
    </vt:vector>
  </HeadingPairs>
  <TitlesOfParts>
    <vt:vector size="1" baseType="lpstr">
      <vt:lpstr>2021 Annual Report - Chapter II Petitions, Cases and Precautionary Measures System</vt:lpstr>
    </vt:vector>
  </TitlesOfParts>
  <Company/>
  <LinksUpToDate>false</LinksUpToDate>
  <CharactersWithSpaces>725499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Annual Report - Chapter II Petitions, Cases and Precautionary Measures System</dc:title>
  <dc:subject/>
  <dc:creator/>
  <cp:keywords/>
  <dc:description/>
  <cp:lastModifiedBy/>
  <cp:revision>1</cp:revision>
  <dcterms:created xsi:type="dcterms:W3CDTF">2022-04-12T15:22:00Z</dcterms:created>
  <dcterms:modified xsi:type="dcterms:W3CDTF">2022-07-28T22:32:00Z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0x010100D589DCDDB8A16B44BDC2A7128ECAC845</vt:lpwstr>
  </property>
</Properties>
</file>