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523E" w14:textId="77777777" w:rsidR="00A54047" w:rsidRDefault="00A54047" w:rsidP="00A67EF3">
      <w:pPr>
        <w:pStyle w:val="MediumGrid2-Accent11"/>
        <w:ind w:right="-270"/>
        <w:rPr>
          <w:rFonts w:ascii="Cambria" w:hAnsi="Cambria"/>
          <w:b/>
          <w:color w:val="000000"/>
          <w:szCs w:val="20"/>
          <w:lang w:val="en-US"/>
        </w:rPr>
      </w:pPr>
    </w:p>
    <w:p w14:paraId="6CC6ED50" w14:textId="77777777" w:rsidR="00583C84" w:rsidRPr="00450F0C" w:rsidRDefault="00583C84" w:rsidP="0045789B">
      <w:pPr>
        <w:pStyle w:val="MediumGrid2-Accent11"/>
        <w:ind w:left="720" w:right="-270"/>
        <w:jc w:val="both"/>
        <w:rPr>
          <w:rFonts w:ascii="Cambria" w:hAnsi="Cambria"/>
          <w:b/>
          <w:color w:val="000000"/>
          <w:lang w:val="en-US"/>
        </w:rPr>
      </w:pPr>
    </w:p>
    <w:p w14:paraId="268AF945" w14:textId="77777777" w:rsidR="00583C84" w:rsidRPr="00450F0C" w:rsidRDefault="00583C84" w:rsidP="0045789B">
      <w:pPr>
        <w:pStyle w:val="MediumGrid2-Accent11"/>
        <w:jc w:val="center"/>
        <w:rPr>
          <w:rFonts w:ascii="Cambria" w:hAnsi="Cambria"/>
          <w:b/>
          <w:color w:val="000000"/>
          <w:lang w:val="en-US"/>
        </w:rPr>
      </w:pPr>
      <w:r w:rsidRPr="00450F0C">
        <w:rPr>
          <w:rFonts w:ascii="Cambria" w:hAnsi="Cambria"/>
          <w:b/>
          <w:color w:val="000000"/>
          <w:lang w:val="en-US"/>
        </w:rPr>
        <w:t>TECHNICAL INFORMATION SHEET</w:t>
      </w:r>
    </w:p>
    <w:p w14:paraId="3C89926D" w14:textId="77777777" w:rsidR="00583C84" w:rsidRPr="00450F0C" w:rsidRDefault="00583C84" w:rsidP="0045789B">
      <w:pPr>
        <w:pStyle w:val="MediumGrid2-Accent11"/>
        <w:ind w:left="-270"/>
        <w:jc w:val="center"/>
        <w:rPr>
          <w:rFonts w:ascii="Cambria" w:hAnsi="Cambria"/>
          <w:b/>
          <w:color w:val="000000"/>
          <w:lang w:val="en-US"/>
        </w:rPr>
      </w:pPr>
      <w:r w:rsidRPr="00450F0C">
        <w:rPr>
          <w:rFonts w:ascii="Cambria" w:hAnsi="Cambria"/>
          <w:b/>
          <w:color w:val="000000"/>
          <w:lang w:val="en-US"/>
        </w:rPr>
        <w:t xml:space="preserve">CASE 11.542 </w:t>
      </w:r>
      <w:r w:rsidRPr="00450F0C">
        <w:rPr>
          <w:rFonts w:ascii="Cambria" w:hAnsi="Cambria" w:cs="Arial"/>
          <w:b/>
          <w:color w:val="000000"/>
          <w:lang w:val="en-US" w:eastAsia="es-ES_tradnl"/>
        </w:rPr>
        <w:t>ÁNGEL REINIERO VEGA JIMÉNEZ</w:t>
      </w:r>
      <w:r w:rsidRPr="00450F0C">
        <w:rPr>
          <w:rFonts w:ascii="Cambria" w:hAnsi="Cambria"/>
          <w:b/>
          <w:color w:val="000000"/>
          <w:lang w:val="en-US"/>
        </w:rPr>
        <w:t xml:space="preserve"> </w:t>
      </w:r>
    </w:p>
    <w:p w14:paraId="04C32895" w14:textId="77777777" w:rsidR="00583C84" w:rsidRPr="00450F0C" w:rsidRDefault="00583C84" w:rsidP="0045789B">
      <w:pPr>
        <w:pStyle w:val="MediumGrid2-Accent11"/>
        <w:ind w:left="-270"/>
        <w:jc w:val="center"/>
        <w:rPr>
          <w:rFonts w:ascii="Cambria" w:hAnsi="Cambria" w:cs="Calibri"/>
          <w:b/>
          <w:bCs/>
          <w:color w:val="000000"/>
        </w:rPr>
      </w:pPr>
      <w:r w:rsidRPr="00450F0C">
        <w:rPr>
          <w:rFonts w:ascii="Cambria" w:hAnsi="Cambria"/>
          <w:b/>
          <w:color w:val="000000"/>
        </w:rPr>
        <w:t xml:space="preserve">REPORT ON FRIENDLY SETTLEMENT AGREEMENT Nº </w:t>
      </w:r>
      <w:r w:rsidRPr="00450F0C">
        <w:rPr>
          <w:rFonts w:ascii="Cambria" w:hAnsi="Cambria" w:cs="Calibri"/>
          <w:b/>
          <w:bCs/>
          <w:color w:val="000000"/>
        </w:rPr>
        <w:t>107/01</w:t>
      </w:r>
      <w:r w:rsidRPr="00450F0C">
        <w:rPr>
          <w:rFonts w:ascii="Cambria" w:hAnsi="Cambria"/>
          <w:b/>
          <w:color w:val="000000"/>
          <w:lang w:val="en-US"/>
        </w:rPr>
        <w:t xml:space="preserve">  </w:t>
      </w:r>
    </w:p>
    <w:p w14:paraId="4DF88C75" w14:textId="77777777" w:rsidR="00583C84" w:rsidRPr="00450F0C" w:rsidRDefault="00583C84" w:rsidP="0045789B">
      <w:pPr>
        <w:pStyle w:val="MediumGrid2-Accent11"/>
        <w:ind w:left="-270"/>
        <w:jc w:val="center"/>
        <w:rPr>
          <w:rFonts w:ascii="Cambria" w:hAnsi="Cambria"/>
          <w:b/>
          <w:color w:val="000000"/>
          <w:lang w:val="es-ES"/>
        </w:rPr>
      </w:pPr>
      <w:r w:rsidRPr="00450F0C">
        <w:rPr>
          <w:rFonts w:ascii="Cambria" w:hAnsi="Cambria"/>
          <w:b/>
          <w:color w:val="000000"/>
        </w:rPr>
        <w:t>ARCHIVE</w:t>
      </w:r>
    </w:p>
    <w:p w14:paraId="53314469" w14:textId="77777777" w:rsidR="00583C84" w:rsidRPr="00450F0C" w:rsidRDefault="00963542" w:rsidP="0045789B">
      <w:pPr>
        <w:pStyle w:val="MediumGrid2-Accent11"/>
        <w:ind w:left="-270"/>
        <w:jc w:val="center"/>
        <w:rPr>
          <w:rFonts w:ascii="Cambria" w:hAnsi="Cambria"/>
          <w:b/>
          <w:color w:val="000000"/>
          <w:lang w:val="es-ES"/>
        </w:rPr>
      </w:pPr>
      <w:r w:rsidRPr="00450F0C">
        <w:rPr>
          <w:rFonts w:ascii="Cambria" w:hAnsi="Cambria"/>
          <w:b/>
          <w:color w:val="000000"/>
          <w:lang w:val="es-ES"/>
        </w:rPr>
        <w:t>(ECUADOR</w:t>
      </w:r>
      <w:r w:rsidR="00583C84" w:rsidRPr="00450F0C">
        <w:rPr>
          <w:rFonts w:ascii="Cambria" w:hAnsi="Cambria"/>
          <w:b/>
          <w:color w:val="000000"/>
          <w:lang w:val="es-ES"/>
        </w:rPr>
        <w:t>)</w:t>
      </w:r>
    </w:p>
    <w:p w14:paraId="241A5D2B" w14:textId="77777777" w:rsidR="00583C84" w:rsidRPr="00450F0C" w:rsidRDefault="00583C84" w:rsidP="0045789B">
      <w:pPr>
        <w:pStyle w:val="MediumGrid2-Accent11"/>
        <w:ind w:left="-270" w:right="-270"/>
        <w:jc w:val="center"/>
        <w:rPr>
          <w:rFonts w:ascii="Cambria" w:hAnsi="Cambria"/>
          <w:b/>
          <w:color w:val="000000"/>
          <w:lang w:val="es-ES"/>
        </w:rPr>
      </w:pPr>
    </w:p>
    <w:p w14:paraId="2274F91D" w14:textId="77777777" w:rsidR="00583C84" w:rsidRPr="00450F0C" w:rsidRDefault="00583C84" w:rsidP="0045789B">
      <w:pPr>
        <w:numPr>
          <w:ilvl w:val="0"/>
          <w:numId w:val="29"/>
        </w:numPr>
        <w:spacing w:after="0" w:line="240" w:lineRule="auto"/>
        <w:ind w:left="-142" w:firstLine="862"/>
        <w:rPr>
          <w:rFonts w:ascii="Cambria" w:hAnsi="Cambria" w:cs="Calibri Light"/>
          <w:b/>
          <w:color w:val="000000"/>
        </w:rPr>
      </w:pPr>
      <w:r w:rsidRPr="00450F0C">
        <w:rPr>
          <w:rFonts w:ascii="Cambria" w:hAnsi="Cambria" w:cs="Calibri Light"/>
          <w:b/>
          <w:color w:val="000000"/>
        </w:rPr>
        <w:t xml:space="preserve">SUMMARY OF THE CASE </w:t>
      </w:r>
    </w:p>
    <w:p w14:paraId="7C8593BD" w14:textId="77777777" w:rsidR="00583C84" w:rsidRPr="00450F0C" w:rsidRDefault="00583C84" w:rsidP="0045789B">
      <w:pPr>
        <w:spacing w:after="0" w:line="240" w:lineRule="auto"/>
        <w:ind w:left="1080"/>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450F0C" w14:paraId="5DD8F808" w14:textId="77777777" w:rsidTr="00543B28">
        <w:trPr>
          <w:jc w:val="center"/>
        </w:trPr>
        <w:tc>
          <w:tcPr>
            <w:tcW w:w="9576" w:type="dxa"/>
            <w:shd w:val="clear" w:color="auto" w:fill="F2F2F2"/>
          </w:tcPr>
          <w:p w14:paraId="2B81C16F" w14:textId="77777777" w:rsidR="00583C84" w:rsidRPr="00450F0C" w:rsidRDefault="00583C84" w:rsidP="0045789B">
            <w:pPr>
              <w:pStyle w:val="MediumGrid2-Accent11"/>
              <w:rPr>
                <w:rFonts w:ascii="Cambria" w:hAnsi="Cambria"/>
                <w:color w:val="000000"/>
                <w:lang w:val="es-ES"/>
              </w:rPr>
            </w:pPr>
            <w:r w:rsidRPr="00450F0C">
              <w:rPr>
                <w:rFonts w:ascii="Cambria" w:hAnsi="Cambria"/>
                <w:b/>
                <w:color w:val="000000"/>
                <w:lang w:val="es-ES"/>
              </w:rPr>
              <w:t>Victim(s)</w:t>
            </w:r>
            <w:r w:rsidRPr="00450F0C">
              <w:rPr>
                <w:rFonts w:ascii="Cambria" w:hAnsi="Cambria"/>
                <w:color w:val="000000"/>
                <w:lang w:val="es-ES"/>
              </w:rPr>
              <w:t>:</w:t>
            </w:r>
            <w:r w:rsidRPr="00450F0C">
              <w:rPr>
                <w:rFonts w:ascii="Cambria" w:hAnsi="Cambria"/>
                <w:b/>
                <w:color w:val="000000"/>
                <w:lang w:val="es-ES"/>
              </w:rPr>
              <w:t xml:space="preserve"> </w:t>
            </w:r>
            <w:r w:rsidRPr="00450F0C">
              <w:rPr>
                <w:rFonts w:ascii="Cambria" w:hAnsi="Cambria"/>
                <w:color w:val="000000"/>
                <w:lang w:val="es-ES"/>
              </w:rPr>
              <w:t xml:space="preserve">Angel Reiniero Vega Jiménez </w:t>
            </w:r>
          </w:p>
          <w:p w14:paraId="2BE677E6" w14:textId="77777777" w:rsidR="00583C84" w:rsidRPr="00450F0C" w:rsidRDefault="00583C84" w:rsidP="0045789B">
            <w:pPr>
              <w:pStyle w:val="MediumGrid2-Accent11"/>
              <w:rPr>
                <w:rFonts w:ascii="Cambria" w:hAnsi="Cambria"/>
                <w:b/>
                <w:color w:val="000000"/>
                <w:lang w:val="en-US"/>
              </w:rPr>
            </w:pPr>
            <w:r w:rsidRPr="00450F0C">
              <w:rPr>
                <w:rFonts w:ascii="Cambria" w:hAnsi="Cambria"/>
                <w:b/>
                <w:color w:val="000000"/>
                <w:lang w:val="en-US"/>
              </w:rPr>
              <w:t>Petitioner(s)</w:t>
            </w:r>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Ecumenical Commission for Human Rights of Ecuador</w:t>
            </w:r>
          </w:p>
          <w:p w14:paraId="43926B5A" w14:textId="77777777" w:rsidR="00583C84" w:rsidRPr="00450F0C" w:rsidRDefault="00583C84" w:rsidP="0045789B">
            <w:pPr>
              <w:pStyle w:val="MediumGrid2-Accent11"/>
              <w:rPr>
                <w:rFonts w:ascii="Cambria" w:hAnsi="Cambria"/>
                <w:color w:val="000000"/>
                <w:lang w:val="en-US"/>
              </w:rPr>
            </w:pPr>
            <w:r w:rsidRPr="00450F0C">
              <w:rPr>
                <w:rFonts w:ascii="Cambria" w:hAnsi="Cambria"/>
                <w:b/>
                <w:color w:val="000000"/>
                <w:lang w:val="en-US"/>
              </w:rPr>
              <w:t>State</w:t>
            </w:r>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Ecuador</w:t>
            </w:r>
          </w:p>
          <w:p w14:paraId="632D2965" w14:textId="77777777" w:rsidR="00583C84" w:rsidRPr="00450F0C" w:rsidRDefault="00583C84" w:rsidP="0045789B">
            <w:pPr>
              <w:pStyle w:val="MediumGrid21"/>
              <w:tabs>
                <w:tab w:val="left" w:pos="9270"/>
              </w:tabs>
              <w:jc w:val="both"/>
              <w:rPr>
                <w:rFonts w:ascii="Cambria" w:hAnsi="Cambria"/>
                <w:b/>
                <w:bCs/>
                <w:color w:val="000000"/>
                <w:lang w:val="en-US"/>
              </w:rPr>
            </w:pPr>
            <w:r w:rsidRPr="00450F0C">
              <w:rPr>
                <w:rFonts w:ascii="Cambria" w:hAnsi="Cambria"/>
                <w:b/>
                <w:bCs/>
                <w:color w:val="000000"/>
                <w:lang w:val="en-US"/>
              </w:rPr>
              <w:t>Beginning of the negotiation date:</w:t>
            </w:r>
            <w:r w:rsidRPr="00450F0C">
              <w:rPr>
                <w:rFonts w:ascii="Cambria" w:hAnsi="Cambria"/>
                <w:bCs/>
                <w:color w:val="000000"/>
                <w:lang w:val="en-US"/>
              </w:rPr>
              <w:t xml:space="preserve"> </w:t>
            </w:r>
            <w:r w:rsidRPr="00450F0C">
              <w:rPr>
                <w:rFonts w:ascii="Cambria" w:hAnsi="Cambria"/>
                <w:bCs/>
                <w:lang w:val="en-US"/>
              </w:rPr>
              <w:t>April 2, 2001</w:t>
            </w:r>
          </w:p>
          <w:p w14:paraId="5699EF64" w14:textId="77777777" w:rsidR="00583C84" w:rsidRPr="00450F0C" w:rsidRDefault="00583C84" w:rsidP="0045789B">
            <w:pPr>
              <w:spacing w:after="0" w:line="240" w:lineRule="auto"/>
              <w:rPr>
                <w:rFonts w:ascii="Cambria" w:hAnsi="Cambria"/>
                <w:b/>
                <w:bCs/>
                <w:color w:val="000000"/>
              </w:rPr>
            </w:pPr>
            <w:r w:rsidRPr="00450F0C">
              <w:rPr>
                <w:rFonts w:ascii="Cambria" w:hAnsi="Cambria"/>
                <w:b/>
                <w:bCs/>
                <w:color w:val="000000"/>
              </w:rPr>
              <w:t>FSA signature date</w:t>
            </w:r>
            <w:r w:rsidRPr="00450F0C">
              <w:rPr>
                <w:rFonts w:ascii="Cambria" w:hAnsi="Cambria"/>
                <w:bCs/>
                <w:color w:val="000000"/>
              </w:rPr>
              <w:t>: August 15, 2001</w:t>
            </w:r>
          </w:p>
          <w:p w14:paraId="6A81B827" w14:textId="77777777" w:rsidR="00583C84" w:rsidRPr="00450F0C" w:rsidRDefault="00583C84" w:rsidP="0045789B">
            <w:pPr>
              <w:pStyle w:val="MediumGrid2-Accent11"/>
              <w:rPr>
                <w:rFonts w:ascii="Cambria" w:hAnsi="Cambria"/>
                <w:color w:val="000000"/>
                <w:lang w:val="en-US"/>
              </w:rPr>
            </w:pPr>
            <w:r w:rsidRPr="00450F0C">
              <w:rPr>
                <w:rFonts w:ascii="Cambria" w:hAnsi="Cambria"/>
                <w:b/>
                <w:color w:val="000000"/>
                <w:lang w:val="en-US"/>
              </w:rPr>
              <w:t xml:space="preserve">Report on Friendly Settlement Agreement No. </w:t>
            </w:r>
            <w:hyperlink r:id="rId12" w:history="1">
              <w:r w:rsidRPr="00450F0C">
                <w:rPr>
                  <w:rStyle w:val="Hyperlink"/>
                  <w:rFonts w:ascii="Cambria" w:hAnsi="Cambria"/>
                  <w:b/>
                  <w:color w:val="000000"/>
                  <w:lang w:val="en-US"/>
                </w:rPr>
                <w:t>107/01</w:t>
              </w:r>
            </w:hyperlink>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published on October 11, 2001</w:t>
            </w:r>
          </w:p>
          <w:p w14:paraId="0D828E6E" w14:textId="77777777" w:rsidR="00583C84" w:rsidRPr="00450F0C" w:rsidRDefault="00583C84" w:rsidP="0045789B">
            <w:pPr>
              <w:spacing w:after="0" w:line="240" w:lineRule="auto"/>
              <w:rPr>
                <w:rFonts w:ascii="Cambria" w:hAnsi="Cambria"/>
                <w:b/>
                <w:bCs/>
                <w:color w:val="000000"/>
              </w:rPr>
            </w:pPr>
            <w:r w:rsidRPr="00450F0C">
              <w:rPr>
                <w:rFonts w:ascii="Cambria" w:hAnsi="Cambria"/>
                <w:b/>
                <w:bCs/>
                <w:color w:val="000000"/>
              </w:rPr>
              <w:t xml:space="preserve">Estimated length of the negotiation phase: </w:t>
            </w:r>
            <w:r w:rsidRPr="00450F0C">
              <w:rPr>
                <w:rFonts w:ascii="Cambria" w:hAnsi="Cambria"/>
                <w:bCs/>
                <w:color w:val="000000"/>
              </w:rPr>
              <w:t>6 months</w:t>
            </w:r>
          </w:p>
          <w:p w14:paraId="649ED8C4" w14:textId="77777777" w:rsidR="00583C84" w:rsidRPr="00450F0C" w:rsidRDefault="00583C84" w:rsidP="0045789B">
            <w:pPr>
              <w:pStyle w:val="MediumGrid2-Accent11"/>
              <w:rPr>
                <w:rFonts w:ascii="Cambria" w:hAnsi="Cambria"/>
                <w:b/>
                <w:color w:val="000000"/>
                <w:lang w:val="en-US"/>
              </w:rPr>
            </w:pPr>
            <w:r w:rsidRPr="00450F0C">
              <w:rPr>
                <w:rFonts w:ascii="Cambria" w:hAnsi="Cambria"/>
                <w:b/>
                <w:color w:val="000000"/>
                <w:lang w:val="en-US"/>
              </w:rPr>
              <w:t>Rapporteurship involved</w:t>
            </w:r>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N/A</w:t>
            </w:r>
          </w:p>
          <w:p w14:paraId="3CEEC9FE" w14:textId="77777777" w:rsidR="00583C84" w:rsidRPr="00450F0C" w:rsidRDefault="00583C84" w:rsidP="0045789B">
            <w:pPr>
              <w:pStyle w:val="MediumGrid2-Accent11"/>
              <w:rPr>
                <w:rFonts w:ascii="Cambria" w:hAnsi="Cambria"/>
                <w:b/>
                <w:color w:val="000000"/>
                <w:lang w:val="en-US"/>
              </w:rPr>
            </w:pPr>
            <w:r w:rsidRPr="00450F0C">
              <w:rPr>
                <w:rFonts w:ascii="Cambria" w:hAnsi="Cambria"/>
                <w:b/>
                <w:color w:val="000000"/>
                <w:lang w:val="en-US"/>
              </w:rPr>
              <w:t>Topics</w:t>
            </w:r>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Use of force/investigation</w:t>
            </w:r>
            <w:r w:rsidRPr="00450F0C">
              <w:rPr>
                <w:rFonts w:ascii="Cambria" w:hAnsi="Cambria"/>
                <w:b/>
                <w:color w:val="000000"/>
                <w:lang w:val="en-US"/>
              </w:rPr>
              <w:t xml:space="preserve"> </w:t>
            </w:r>
          </w:p>
          <w:p w14:paraId="2FC7F99B" w14:textId="77777777" w:rsidR="00583C84" w:rsidRPr="00450F0C" w:rsidRDefault="00583C84" w:rsidP="0045789B">
            <w:pPr>
              <w:pStyle w:val="MediumGrid2-Accent11"/>
              <w:rPr>
                <w:rFonts w:ascii="Cambria" w:hAnsi="Cambria"/>
                <w:b/>
                <w:color w:val="000000"/>
                <w:lang w:val="en-US"/>
              </w:rPr>
            </w:pPr>
          </w:p>
          <w:p w14:paraId="25BF6B1A" w14:textId="77777777" w:rsidR="00583C84" w:rsidRPr="00450F0C" w:rsidRDefault="00583C84" w:rsidP="00C37954">
            <w:pPr>
              <w:pStyle w:val="MediumGrid2-Accent11"/>
              <w:jc w:val="both"/>
              <w:rPr>
                <w:rFonts w:ascii="Cambria" w:hAnsi="Cambria"/>
                <w:color w:val="000000"/>
                <w:lang w:val="en-US"/>
              </w:rPr>
            </w:pPr>
            <w:r w:rsidRPr="00450F0C">
              <w:rPr>
                <w:rFonts w:ascii="Cambria" w:hAnsi="Cambria"/>
                <w:b/>
                <w:color w:val="000000"/>
                <w:lang w:val="en-US"/>
              </w:rPr>
              <w:t>Facts</w:t>
            </w:r>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 xml:space="preserve">On May 5, 1994, INTERPOL agents from Loja unlawfully entered the home of Angel Vega without an arrest warrant, breaking down its doors to gain access. They beat Mr. Vega as he was taken from his room to the yard, where they violently kicked him, accusing him of being a drug trafficker. According to the complaint, the INTERPOL agents, who knew Angel Vega was a drug user, asked him for money to blackmail him. They detained him and later took him to the Hospital Isidro Ayora, where he died. In keeping with the complaint, the autopsy confirmed that the probable cause of death was asphyxiation from suffocation, and intoxication as a cause of death was not ruled out. In addition, the autopsy indicates that the body presented hematomas, ecchymoses, and abrasions, as a result of the blows he received. Witnesses to the events were: César Cruz, Luis Sarango, Luis Romeo, and Marta Maita. </w:t>
            </w:r>
          </w:p>
          <w:p w14:paraId="3B7C9C56" w14:textId="77777777" w:rsidR="00583C84" w:rsidRPr="00450F0C" w:rsidRDefault="00583C84" w:rsidP="00C37954">
            <w:pPr>
              <w:pStyle w:val="MediumGrid2-Accent11"/>
              <w:jc w:val="both"/>
              <w:rPr>
                <w:rFonts w:ascii="Cambria" w:hAnsi="Cambria"/>
                <w:color w:val="000000"/>
                <w:lang w:val="en-US"/>
              </w:rPr>
            </w:pPr>
          </w:p>
          <w:p w14:paraId="36866B8E" w14:textId="77777777" w:rsidR="00583C84" w:rsidRPr="00450F0C" w:rsidRDefault="00583C84" w:rsidP="00C37954">
            <w:pPr>
              <w:spacing w:after="0" w:line="240" w:lineRule="auto"/>
              <w:contextualSpacing/>
              <w:jc w:val="both"/>
              <w:rPr>
                <w:rFonts w:ascii="Cambria" w:hAnsi="Cambria"/>
                <w:color w:val="000000"/>
              </w:rPr>
            </w:pPr>
            <w:r w:rsidRPr="00450F0C">
              <w:rPr>
                <w:rFonts w:ascii="Cambria" w:hAnsi="Cambria"/>
                <w:b/>
                <w:color w:val="000000"/>
              </w:rPr>
              <w:t>Rights alleged</w:t>
            </w:r>
            <w:r w:rsidRPr="00450F0C">
              <w:rPr>
                <w:rFonts w:ascii="Cambria" w:hAnsi="Cambria"/>
                <w:color w:val="000000"/>
              </w:rPr>
              <w:t>: The petitioners alleged violation of the rights to life (Article 4), humane treatment (Article 5), personal liberty (Article 7), a fair trial (Article 8), and judicial protection (Article 25) of the American Convention on Human Rights, all in breach of the obligations provided for under Article 1(1) thereof, to the detriment of Mr. Angel Reiniero Vega.</w:t>
            </w:r>
          </w:p>
        </w:tc>
      </w:tr>
    </w:tbl>
    <w:p w14:paraId="67B035C0" w14:textId="77777777" w:rsidR="00583C84" w:rsidRPr="00450F0C" w:rsidRDefault="00583C84" w:rsidP="0045789B">
      <w:pPr>
        <w:pStyle w:val="LightGrid-Accent31"/>
        <w:spacing w:after="0" w:line="240" w:lineRule="auto"/>
        <w:ind w:left="1080"/>
        <w:jc w:val="both"/>
        <w:rPr>
          <w:rFonts w:ascii="Cambria" w:hAnsi="Cambria" w:cs="Calibri Light"/>
          <w:b/>
          <w:color w:val="000000"/>
        </w:rPr>
      </w:pPr>
    </w:p>
    <w:p w14:paraId="6E0B07B3" w14:textId="77777777" w:rsidR="00583C84" w:rsidRPr="00450F0C" w:rsidRDefault="00583C84" w:rsidP="0045789B">
      <w:pPr>
        <w:pStyle w:val="LightGrid-Accent31"/>
        <w:numPr>
          <w:ilvl w:val="0"/>
          <w:numId w:val="30"/>
        </w:numPr>
        <w:spacing w:after="0" w:line="240" w:lineRule="auto"/>
        <w:ind w:left="-142" w:firstLine="862"/>
        <w:jc w:val="both"/>
        <w:rPr>
          <w:rFonts w:ascii="Cambria" w:hAnsi="Cambria" w:cs="Calibri Light"/>
          <w:b/>
          <w:color w:val="000000"/>
        </w:rPr>
      </w:pPr>
      <w:r w:rsidRPr="00450F0C">
        <w:rPr>
          <w:rFonts w:ascii="Cambria" w:hAnsi="Cambria"/>
          <w:b/>
          <w:color w:val="000000"/>
        </w:rPr>
        <w:t>PROCEDURAL ACTIVITY</w:t>
      </w:r>
    </w:p>
    <w:p w14:paraId="38334F05" w14:textId="77777777" w:rsidR="00583C84" w:rsidRPr="00450F0C" w:rsidRDefault="00583C84" w:rsidP="0045789B">
      <w:pPr>
        <w:pStyle w:val="LightGrid-Accent31"/>
        <w:spacing w:after="0" w:line="240" w:lineRule="auto"/>
        <w:ind w:left="-142" w:firstLine="862"/>
        <w:jc w:val="both"/>
        <w:rPr>
          <w:rFonts w:ascii="Cambria" w:hAnsi="Cambria" w:cs="Calibri Light"/>
          <w:b/>
          <w:color w:val="000000"/>
        </w:rPr>
      </w:pPr>
    </w:p>
    <w:p w14:paraId="236B495C" w14:textId="77777777" w:rsidR="00583C84" w:rsidRPr="00450F0C" w:rsidRDefault="00583C84" w:rsidP="0045789B">
      <w:pPr>
        <w:pStyle w:val="LightGrid-Accent31"/>
        <w:numPr>
          <w:ilvl w:val="0"/>
          <w:numId w:val="31"/>
        </w:numPr>
        <w:spacing w:after="0" w:line="240" w:lineRule="auto"/>
        <w:ind w:left="-142" w:firstLine="862"/>
        <w:contextualSpacing w:val="0"/>
        <w:jc w:val="both"/>
        <w:rPr>
          <w:rFonts w:ascii="Cambria" w:hAnsi="Cambria" w:cs="Calibri Light"/>
          <w:bCs/>
          <w:color w:val="000000"/>
        </w:rPr>
      </w:pPr>
      <w:r w:rsidRPr="00450F0C">
        <w:rPr>
          <w:rFonts w:ascii="Cambria" w:hAnsi="Cambria" w:cs="Calibri Light"/>
          <w:bCs/>
          <w:color w:val="000000"/>
        </w:rPr>
        <w:t>On August 15, 2001, the parties signed the friendly settlement agreement.</w:t>
      </w:r>
    </w:p>
    <w:p w14:paraId="65EA2064" w14:textId="77777777" w:rsidR="00583C84" w:rsidRPr="00450F0C" w:rsidRDefault="00583C84" w:rsidP="0045789B">
      <w:pPr>
        <w:pStyle w:val="LightGrid-Accent31"/>
        <w:spacing w:after="0" w:line="240" w:lineRule="auto"/>
        <w:ind w:left="-142" w:firstLine="862"/>
        <w:contextualSpacing w:val="0"/>
        <w:jc w:val="both"/>
        <w:rPr>
          <w:rFonts w:ascii="Cambria" w:hAnsi="Cambria" w:cs="Calibri Light"/>
          <w:bCs/>
          <w:color w:val="000000"/>
        </w:rPr>
      </w:pPr>
    </w:p>
    <w:p w14:paraId="61E99197" w14:textId="77777777" w:rsidR="00583C84" w:rsidRPr="00450F0C" w:rsidRDefault="00583C84" w:rsidP="0045789B">
      <w:pPr>
        <w:pStyle w:val="LightGrid-Accent31"/>
        <w:numPr>
          <w:ilvl w:val="0"/>
          <w:numId w:val="31"/>
        </w:numPr>
        <w:spacing w:after="0" w:line="240" w:lineRule="auto"/>
        <w:ind w:left="0" w:firstLine="720"/>
        <w:contextualSpacing w:val="0"/>
        <w:jc w:val="both"/>
        <w:rPr>
          <w:rFonts w:ascii="Cambria" w:hAnsi="Cambria" w:cs="Calibri Light"/>
          <w:bCs/>
          <w:color w:val="000000"/>
        </w:rPr>
      </w:pPr>
      <w:r w:rsidRPr="00450F0C">
        <w:rPr>
          <w:rFonts w:ascii="Cambria" w:hAnsi="Cambria" w:cs="Calibri Light"/>
          <w:bCs/>
          <w:color w:val="000000"/>
        </w:rPr>
        <w:t>On October 11, 2001, the Commission approved the friendly settlement agreement by report No. 107/01.</w:t>
      </w:r>
    </w:p>
    <w:p w14:paraId="588331F5" w14:textId="77777777" w:rsidR="00963542" w:rsidRDefault="00963542" w:rsidP="0045789B">
      <w:pPr>
        <w:pStyle w:val="ListParagraph"/>
        <w:spacing w:after="0" w:line="240" w:lineRule="auto"/>
        <w:rPr>
          <w:rFonts w:ascii="Cambria" w:hAnsi="Cambria" w:cs="Calibri Light"/>
          <w:bCs/>
          <w:color w:val="000000"/>
          <w:lang w:val="en-US"/>
        </w:rPr>
      </w:pPr>
    </w:p>
    <w:p w14:paraId="3C20779E" w14:textId="77777777" w:rsidR="001F0715" w:rsidRDefault="001F0715" w:rsidP="0045789B">
      <w:pPr>
        <w:pStyle w:val="ListParagraph"/>
        <w:spacing w:after="0" w:line="240" w:lineRule="auto"/>
        <w:rPr>
          <w:rFonts w:ascii="Cambria" w:hAnsi="Cambria" w:cs="Calibri Light"/>
          <w:bCs/>
          <w:color w:val="000000"/>
          <w:lang w:val="en-US"/>
        </w:rPr>
      </w:pPr>
    </w:p>
    <w:p w14:paraId="4499CCA7" w14:textId="77777777" w:rsidR="001F0715" w:rsidRDefault="001F0715" w:rsidP="0045789B">
      <w:pPr>
        <w:pStyle w:val="ListParagraph"/>
        <w:spacing w:after="0" w:line="240" w:lineRule="auto"/>
        <w:rPr>
          <w:rFonts w:ascii="Cambria" w:hAnsi="Cambria" w:cs="Calibri Light"/>
          <w:bCs/>
          <w:color w:val="000000"/>
          <w:lang w:val="en-US"/>
        </w:rPr>
      </w:pPr>
    </w:p>
    <w:p w14:paraId="5B4CFDDB" w14:textId="77777777" w:rsidR="001F0715" w:rsidRDefault="001F0715" w:rsidP="0045789B">
      <w:pPr>
        <w:pStyle w:val="ListParagraph"/>
        <w:spacing w:after="0" w:line="240" w:lineRule="auto"/>
        <w:rPr>
          <w:rFonts w:ascii="Cambria" w:hAnsi="Cambria" w:cs="Calibri Light"/>
          <w:bCs/>
          <w:color w:val="000000"/>
          <w:lang w:val="en-US"/>
        </w:rPr>
      </w:pPr>
    </w:p>
    <w:p w14:paraId="33B39692" w14:textId="77777777" w:rsidR="001F0715" w:rsidRPr="00450F0C" w:rsidRDefault="001F0715" w:rsidP="0045789B">
      <w:pPr>
        <w:pStyle w:val="ListParagraph"/>
        <w:spacing w:after="0" w:line="240" w:lineRule="auto"/>
        <w:rPr>
          <w:rFonts w:ascii="Cambria" w:hAnsi="Cambria" w:cs="Calibri Light"/>
          <w:bCs/>
          <w:color w:val="000000"/>
          <w:lang w:val="en-US"/>
        </w:rPr>
      </w:pPr>
    </w:p>
    <w:p w14:paraId="0BA43AFB" w14:textId="77777777" w:rsidR="00583C84" w:rsidRPr="00450F0C" w:rsidRDefault="00583C84" w:rsidP="0045789B">
      <w:pPr>
        <w:pStyle w:val="LightGrid-Accent31"/>
        <w:numPr>
          <w:ilvl w:val="0"/>
          <w:numId w:val="30"/>
        </w:numPr>
        <w:spacing w:after="0" w:line="240" w:lineRule="auto"/>
        <w:ind w:left="0" w:firstLine="720"/>
        <w:jc w:val="both"/>
        <w:rPr>
          <w:rFonts w:ascii="Cambria" w:hAnsi="Cambria" w:cs="Calibri Light"/>
          <w:b/>
          <w:color w:val="000000"/>
        </w:rPr>
      </w:pPr>
      <w:r w:rsidRPr="00450F0C">
        <w:rPr>
          <w:rFonts w:ascii="Cambria" w:hAnsi="Cambria" w:cs="Calibri Light"/>
          <w:b/>
          <w:color w:val="000000"/>
        </w:rPr>
        <w:lastRenderedPageBreak/>
        <w:t>ANALYSIS OF COMPLIANCE WITH THE CLAUSES OF THE FRIENDLY SETTLEMENT AGREEMENT</w:t>
      </w:r>
    </w:p>
    <w:p w14:paraId="36775DCA" w14:textId="77777777" w:rsidR="00583C84" w:rsidRPr="00450F0C" w:rsidRDefault="00583C84" w:rsidP="0045789B">
      <w:pPr>
        <w:spacing w:after="0" w:line="240" w:lineRule="auto"/>
        <w:jc w:val="both"/>
        <w:rPr>
          <w:rFonts w:ascii="Cambria" w:hAnsi="Cambria" w:cs="Calibri Light"/>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5"/>
        <w:gridCol w:w="2471"/>
      </w:tblGrid>
      <w:tr w:rsidR="00963542" w:rsidRPr="00450F0C" w14:paraId="1280D3B9" w14:textId="77777777" w:rsidTr="00AB1BC7">
        <w:trPr>
          <w:jc w:val="center"/>
        </w:trPr>
        <w:tc>
          <w:tcPr>
            <w:tcW w:w="7126" w:type="dxa"/>
            <w:shd w:val="clear" w:color="auto" w:fill="D9D9D9"/>
            <w:vAlign w:val="center"/>
          </w:tcPr>
          <w:p w14:paraId="1C55E77A" w14:textId="77777777" w:rsidR="00963542" w:rsidRPr="00450F0C" w:rsidRDefault="00963542" w:rsidP="0045789B">
            <w:pPr>
              <w:spacing w:after="0" w:line="240" w:lineRule="auto"/>
              <w:jc w:val="center"/>
              <w:rPr>
                <w:rFonts w:ascii="Cambria" w:hAnsi="Cambria"/>
                <w:b/>
                <w:color w:val="000000"/>
              </w:rPr>
            </w:pPr>
            <w:r w:rsidRPr="00450F0C">
              <w:rPr>
                <w:rFonts w:ascii="Cambria" w:hAnsi="Cambria"/>
                <w:b/>
                <w:color w:val="000000"/>
              </w:rPr>
              <w:t>Agreement clause</w:t>
            </w:r>
          </w:p>
        </w:tc>
        <w:tc>
          <w:tcPr>
            <w:tcW w:w="2552" w:type="dxa"/>
            <w:shd w:val="clear" w:color="auto" w:fill="D9D9D9"/>
            <w:vAlign w:val="center"/>
          </w:tcPr>
          <w:p w14:paraId="269DE5AD" w14:textId="77777777" w:rsidR="00963542" w:rsidRPr="00450F0C" w:rsidRDefault="00963542" w:rsidP="0045789B">
            <w:pPr>
              <w:spacing w:after="0" w:line="240" w:lineRule="auto"/>
              <w:jc w:val="center"/>
              <w:rPr>
                <w:rFonts w:ascii="Cambria" w:hAnsi="Cambria"/>
                <w:b/>
                <w:color w:val="000000"/>
              </w:rPr>
            </w:pPr>
            <w:r w:rsidRPr="00450F0C">
              <w:rPr>
                <w:rFonts w:ascii="Cambria" w:hAnsi="Cambria"/>
                <w:b/>
                <w:color w:val="000000"/>
              </w:rPr>
              <w:t>State of compliance</w:t>
            </w:r>
          </w:p>
        </w:tc>
      </w:tr>
      <w:tr w:rsidR="00F86C52" w:rsidRPr="00450F0C" w14:paraId="6E7E3E92" w14:textId="77777777" w:rsidTr="00AB1BC7">
        <w:trPr>
          <w:jc w:val="center"/>
        </w:trPr>
        <w:tc>
          <w:tcPr>
            <w:tcW w:w="7126" w:type="dxa"/>
            <w:shd w:val="clear" w:color="auto" w:fill="auto"/>
            <w:vAlign w:val="center"/>
          </w:tcPr>
          <w:p w14:paraId="73472AAF" w14:textId="77777777" w:rsidR="00F86C52" w:rsidRPr="00450F0C" w:rsidRDefault="00F86C52" w:rsidP="0045789B">
            <w:pPr>
              <w:spacing w:after="0" w:line="240" w:lineRule="auto"/>
              <w:jc w:val="both"/>
              <w:rPr>
                <w:rFonts w:ascii="Cambria" w:eastAsia="Times New Roman" w:hAnsi="Cambria"/>
                <w:b/>
                <w:bCs/>
                <w:color w:val="000000"/>
              </w:rPr>
            </w:pPr>
            <w:r w:rsidRPr="00450F0C">
              <w:rPr>
                <w:rFonts w:ascii="Cambria" w:eastAsia="Times New Roman" w:hAnsi="Cambria"/>
                <w:b/>
                <w:bCs/>
                <w:color w:val="000000"/>
              </w:rPr>
              <w:t>III.      STATE RESPONSIBILITY AND ACCEPTANCE</w:t>
            </w:r>
          </w:p>
          <w:p w14:paraId="0C3D6A8C" w14:textId="77777777" w:rsidR="00F86C52" w:rsidRPr="00450F0C" w:rsidRDefault="00F86C52" w:rsidP="0045789B">
            <w:pPr>
              <w:spacing w:after="0" w:line="240" w:lineRule="auto"/>
              <w:jc w:val="both"/>
              <w:rPr>
                <w:rFonts w:ascii="Cambria" w:eastAsia="Times New Roman" w:hAnsi="Cambria"/>
                <w:color w:val="000000"/>
              </w:rPr>
            </w:pPr>
            <w:r w:rsidRPr="00450F0C">
              <w:rPr>
                <w:rFonts w:ascii="Cambria" w:eastAsia="Times New Roman" w:hAnsi="Cambria"/>
                <w:color w:val="000000"/>
              </w:rPr>
              <w:t>The Ecuadorian State acknowledges its international responsibility for having violated the human rights of Mr. Angel Reiniero Vega Jiménez, recognized in Article 4 (right to life), Article 8 (right to a fait trial), Article 5 (right to humane treatment), Article 7 (right to personal liberty), and Article 25 (right to judicial protection), in relation to the general obligation contained in Article 1(1) of the American Convention on Human Rights and other international instruments, considering that the violations were committed by State agents, which could not be disproved by the State, giving rise to State responsibility.</w:t>
            </w:r>
          </w:p>
          <w:p w14:paraId="2B2D30C9" w14:textId="77777777" w:rsidR="00F86C52" w:rsidRPr="00450F0C" w:rsidRDefault="00F86C52" w:rsidP="0045789B">
            <w:pPr>
              <w:spacing w:after="0" w:line="240" w:lineRule="auto"/>
              <w:jc w:val="both"/>
              <w:rPr>
                <w:rFonts w:ascii="Cambria" w:eastAsia="Times New Roman" w:hAnsi="Cambria"/>
                <w:color w:val="000000"/>
              </w:rPr>
            </w:pPr>
          </w:p>
          <w:p w14:paraId="7FB56422" w14:textId="77777777" w:rsidR="00F86C52" w:rsidRPr="00450F0C" w:rsidRDefault="00F86C52" w:rsidP="0045789B">
            <w:pPr>
              <w:spacing w:after="0" w:line="240" w:lineRule="auto"/>
              <w:jc w:val="both"/>
              <w:rPr>
                <w:rFonts w:ascii="Cambria" w:eastAsia="Times New Roman" w:hAnsi="Cambria"/>
                <w:b/>
                <w:bCs/>
                <w:color w:val="000000"/>
              </w:rPr>
            </w:pPr>
            <w:r w:rsidRPr="00450F0C">
              <w:rPr>
                <w:rFonts w:ascii="Cambria" w:eastAsia="Times New Roman" w:hAnsi="Cambria"/>
                <w:color w:val="000000"/>
              </w:rPr>
              <w:t>Given the above, the Ecuadorian State accepts the facts in case Nº 11.542 before the Inter-American Commission on Human Rights and undertakes the necessary reparative steps to compensate the victims, or their successors, for the damages caused by those violations.</w:t>
            </w:r>
          </w:p>
        </w:tc>
        <w:tc>
          <w:tcPr>
            <w:tcW w:w="2552" w:type="dxa"/>
            <w:tcBorders>
              <w:bottom w:val="single" w:sz="4" w:space="0" w:color="auto"/>
            </w:tcBorders>
            <w:shd w:val="clear" w:color="auto" w:fill="auto"/>
            <w:vAlign w:val="center"/>
          </w:tcPr>
          <w:p w14:paraId="6CCF79BD" w14:textId="77777777" w:rsidR="00F86C52" w:rsidRPr="00450F0C" w:rsidRDefault="00F86C52" w:rsidP="0045789B">
            <w:pPr>
              <w:spacing w:after="0" w:line="240" w:lineRule="auto"/>
              <w:jc w:val="center"/>
              <w:rPr>
                <w:rFonts w:ascii="Cambria" w:hAnsi="Cambria"/>
                <w:b/>
                <w:color w:val="000000"/>
              </w:rPr>
            </w:pPr>
            <w:r w:rsidRPr="00450F0C">
              <w:rPr>
                <w:rFonts w:ascii="Cambria" w:hAnsi="Cambria"/>
                <w:b/>
                <w:color w:val="000000"/>
              </w:rPr>
              <w:t>Declarative</w:t>
            </w:r>
          </w:p>
        </w:tc>
      </w:tr>
      <w:tr w:rsidR="00583C84" w:rsidRPr="00450F0C" w14:paraId="02242D56" w14:textId="77777777" w:rsidTr="00AB1BC7">
        <w:trPr>
          <w:jc w:val="center"/>
        </w:trPr>
        <w:tc>
          <w:tcPr>
            <w:tcW w:w="7126" w:type="dxa"/>
            <w:shd w:val="clear" w:color="auto" w:fill="auto"/>
            <w:vAlign w:val="center"/>
          </w:tcPr>
          <w:p w14:paraId="7C334B11" w14:textId="77777777" w:rsidR="00583C84" w:rsidRPr="00450F0C" w:rsidRDefault="00583C84" w:rsidP="0045789B">
            <w:pPr>
              <w:spacing w:after="0" w:line="240" w:lineRule="auto"/>
              <w:jc w:val="both"/>
              <w:rPr>
                <w:rFonts w:ascii="Cambria" w:eastAsia="Times New Roman" w:hAnsi="Cambria"/>
                <w:b/>
                <w:bCs/>
                <w:color w:val="000000"/>
              </w:rPr>
            </w:pPr>
            <w:r w:rsidRPr="00450F0C">
              <w:rPr>
                <w:rFonts w:ascii="Cambria" w:eastAsia="Times New Roman" w:hAnsi="Cambria"/>
                <w:b/>
                <w:bCs/>
                <w:color w:val="000000"/>
              </w:rPr>
              <w:t>IV.    COMPENSATION</w:t>
            </w:r>
          </w:p>
          <w:p w14:paraId="56D3B7E5" w14:textId="77777777" w:rsidR="00583C84" w:rsidRPr="00450F0C" w:rsidRDefault="00583C84" w:rsidP="0045789B">
            <w:pPr>
              <w:spacing w:after="0" w:line="240" w:lineRule="auto"/>
              <w:jc w:val="both"/>
              <w:rPr>
                <w:rFonts w:ascii="Cambria" w:eastAsia="Times New Roman" w:hAnsi="Cambria"/>
                <w:color w:val="000000"/>
              </w:rPr>
            </w:pPr>
            <w:r w:rsidRPr="00450F0C">
              <w:rPr>
                <w:rFonts w:ascii="Cambria" w:eastAsia="Times New Roman" w:hAnsi="Cambria"/>
                <w:color w:val="000000"/>
              </w:rPr>
              <w:t>In view of the foregoing, the Ecuadorian State, through the Attorney General, as the sole judicial representative of the Ecuadorian State, pursuant to Article 215 of the Constitution of Ecuador, enacted in Official Register No. 1 and in force since August 11, 1998, is awarding Mrs. Rosario del Carmen Jiménez Peña, with citizen identification number 190009668-4, mother of Mr. Angel Reiniero Vega Jiménez (deceased), a one-time compensatory payment in the amount of thirty thousand US dollars (US$ 30,000), to be paid from the National Budget. […]</w:t>
            </w:r>
          </w:p>
        </w:tc>
        <w:tc>
          <w:tcPr>
            <w:tcW w:w="2552" w:type="dxa"/>
            <w:tcBorders>
              <w:bottom w:val="single" w:sz="4" w:space="0" w:color="auto"/>
            </w:tcBorders>
            <w:shd w:val="clear" w:color="auto" w:fill="auto"/>
            <w:vAlign w:val="center"/>
          </w:tcPr>
          <w:p w14:paraId="1342BB9D" w14:textId="77777777" w:rsidR="00583C84" w:rsidRPr="00450F0C" w:rsidRDefault="00583C84" w:rsidP="0045789B">
            <w:pPr>
              <w:spacing w:after="0" w:line="240" w:lineRule="auto"/>
              <w:jc w:val="center"/>
              <w:rPr>
                <w:rFonts w:ascii="Cambria" w:hAnsi="Cambria"/>
                <w:color w:val="000000"/>
              </w:rPr>
            </w:pPr>
            <w:r w:rsidRPr="00450F0C">
              <w:rPr>
                <w:rFonts w:ascii="Cambria" w:hAnsi="Cambria"/>
                <w:b/>
                <w:color w:val="000000"/>
              </w:rPr>
              <w:t>Total</w:t>
            </w:r>
            <w:r w:rsidRPr="00450F0C">
              <w:rPr>
                <w:rStyle w:val="FootnoteReference"/>
                <w:rFonts w:ascii="Cambria" w:hAnsi="Cambria"/>
                <w:b/>
                <w:color w:val="000000"/>
              </w:rPr>
              <w:footnoteReference w:id="1"/>
            </w:r>
          </w:p>
        </w:tc>
      </w:tr>
      <w:tr w:rsidR="00AB1BC7" w:rsidRPr="00450F0C" w14:paraId="31CAFC2B" w14:textId="77777777" w:rsidTr="00AB1BC7">
        <w:trPr>
          <w:trHeight w:val="350"/>
          <w:jc w:val="center"/>
        </w:trPr>
        <w:tc>
          <w:tcPr>
            <w:tcW w:w="7126" w:type="dxa"/>
            <w:shd w:val="clear" w:color="auto" w:fill="auto"/>
          </w:tcPr>
          <w:p w14:paraId="40EBF1AB" w14:textId="77777777" w:rsidR="00AB1BC7" w:rsidRPr="00450F0C" w:rsidRDefault="00AB1BC7" w:rsidP="0045789B">
            <w:pPr>
              <w:spacing w:after="0" w:line="240" w:lineRule="auto"/>
              <w:ind w:hanging="18"/>
              <w:jc w:val="both"/>
              <w:rPr>
                <w:rFonts w:ascii="Cambria" w:eastAsia="Times New Roman" w:hAnsi="Cambria"/>
                <w:b/>
                <w:color w:val="000000"/>
              </w:rPr>
            </w:pPr>
            <w:r w:rsidRPr="00450F0C">
              <w:rPr>
                <w:rFonts w:ascii="Cambria" w:eastAsia="Times New Roman" w:hAnsi="Cambria"/>
                <w:b/>
                <w:color w:val="000000"/>
              </w:rPr>
              <w:t>V. PUNISHMENT OF THE PERSONS RESPONSIBLE</w:t>
            </w:r>
          </w:p>
          <w:p w14:paraId="36A2F428" w14:textId="77777777" w:rsidR="00AB1BC7" w:rsidRPr="00450F0C" w:rsidRDefault="00AB1BC7"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14:paraId="247D7481" w14:textId="77777777" w:rsidR="00AB1BC7" w:rsidRPr="00450F0C" w:rsidRDefault="00AB1BC7"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 xml:space="preserve">  </w:t>
            </w:r>
          </w:p>
          <w:p w14:paraId="7BEB47C2" w14:textId="77777777" w:rsidR="00AB1BC7" w:rsidRPr="00450F0C" w:rsidRDefault="00AB1BC7"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 xml:space="preserve">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 </w:t>
            </w:r>
          </w:p>
        </w:tc>
        <w:tc>
          <w:tcPr>
            <w:tcW w:w="2552" w:type="dxa"/>
            <w:shd w:val="clear" w:color="auto" w:fill="auto"/>
            <w:vAlign w:val="center"/>
          </w:tcPr>
          <w:p w14:paraId="0C2CE7F3" w14:textId="77777777" w:rsidR="00AB1BC7" w:rsidRPr="00450F0C" w:rsidRDefault="00F86C52" w:rsidP="0045789B">
            <w:pPr>
              <w:pStyle w:val="LightGrid-Accent31"/>
              <w:autoSpaceDE w:val="0"/>
              <w:autoSpaceDN w:val="0"/>
              <w:adjustRightInd w:val="0"/>
              <w:spacing w:after="0" w:line="240" w:lineRule="auto"/>
              <w:ind w:left="0"/>
              <w:jc w:val="center"/>
              <w:rPr>
                <w:rFonts w:ascii="Cambria" w:eastAsia="MS Mincho" w:hAnsi="Cambria"/>
                <w:color w:val="000000"/>
              </w:rPr>
            </w:pPr>
            <w:r w:rsidRPr="00450F0C">
              <w:rPr>
                <w:rFonts w:ascii="Cambria" w:hAnsi="Cambria"/>
                <w:b/>
                <w:bCs/>
                <w:color w:val="000000"/>
              </w:rPr>
              <w:t>Noncompliance</w:t>
            </w:r>
            <w:r w:rsidR="00AB1BC7" w:rsidRPr="00450F0C">
              <w:rPr>
                <w:rStyle w:val="FootnoteReference"/>
                <w:rFonts w:ascii="Cambria" w:hAnsi="Cambria"/>
                <w:b/>
                <w:bCs/>
                <w:color w:val="000000"/>
              </w:rPr>
              <w:footnoteReference w:id="2"/>
            </w:r>
          </w:p>
        </w:tc>
      </w:tr>
    </w:tbl>
    <w:p w14:paraId="5338BB83" w14:textId="77777777" w:rsidR="00583C84" w:rsidRPr="00450F0C" w:rsidRDefault="00583C84" w:rsidP="0045789B">
      <w:pPr>
        <w:spacing w:after="0" w:line="240" w:lineRule="auto"/>
        <w:rPr>
          <w:rFonts w:ascii="Cambria" w:hAnsi="Cambria"/>
          <w:color w:val="000000"/>
        </w:rPr>
      </w:pPr>
    </w:p>
    <w:p w14:paraId="427E6BC7" w14:textId="77777777" w:rsidR="00583C84" w:rsidRPr="00450F0C" w:rsidRDefault="00583C84" w:rsidP="0045789B">
      <w:pPr>
        <w:autoSpaceDE w:val="0"/>
        <w:autoSpaceDN w:val="0"/>
        <w:adjustRightInd w:val="0"/>
        <w:spacing w:after="0" w:line="240" w:lineRule="auto"/>
        <w:ind w:firstLine="720"/>
        <w:jc w:val="both"/>
        <w:rPr>
          <w:rFonts w:ascii="Cambria" w:hAnsi="Cambria"/>
          <w:color w:val="000000"/>
        </w:rPr>
      </w:pPr>
    </w:p>
    <w:p w14:paraId="06F98D4F" w14:textId="77777777" w:rsidR="00583C84" w:rsidRPr="00450F0C" w:rsidRDefault="00583C84" w:rsidP="0045789B">
      <w:pPr>
        <w:numPr>
          <w:ilvl w:val="0"/>
          <w:numId w:val="30"/>
        </w:numPr>
        <w:autoSpaceDE w:val="0"/>
        <w:autoSpaceDN w:val="0"/>
        <w:adjustRightInd w:val="0"/>
        <w:spacing w:after="0" w:line="240" w:lineRule="auto"/>
        <w:ind w:left="0" w:firstLine="720"/>
        <w:jc w:val="both"/>
        <w:rPr>
          <w:rFonts w:ascii="Cambria" w:hAnsi="Cambria"/>
          <w:color w:val="000000"/>
        </w:rPr>
      </w:pPr>
      <w:r w:rsidRPr="00450F0C">
        <w:rPr>
          <w:rFonts w:ascii="Cambria" w:hAnsi="Cambria" w:cs="Calibri Light"/>
          <w:b/>
          <w:color w:val="000000"/>
        </w:rPr>
        <w:t>LEVEL OF COMPLIANCE OF THE CASE</w:t>
      </w:r>
    </w:p>
    <w:p w14:paraId="2EAEC546" w14:textId="77777777" w:rsidR="00583C84" w:rsidRPr="00450F0C" w:rsidRDefault="00583C84" w:rsidP="0045789B">
      <w:pPr>
        <w:autoSpaceDE w:val="0"/>
        <w:autoSpaceDN w:val="0"/>
        <w:adjustRightInd w:val="0"/>
        <w:spacing w:after="0" w:line="240" w:lineRule="auto"/>
        <w:ind w:firstLine="720"/>
        <w:jc w:val="both"/>
        <w:rPr>
          <w:rFonts w:ascii="Cambria" w:hAnsi="Cambria"/>
          <w:color w:val="000000"/>
        </w:rPr>
      </w:pPr>
    </w:p>
    <w:p w14:paraId="01D2E367" w14:textId="77777777" w:rsidR="00583C84" w:rsidRPr="00450F0C" w:rsidRDefault="00583C84" w:rsidP="0045789B">
      <w:pPr>
        <w:numPr>
          <w:ilvl w:val="0"/>
          <w:numId w:val="31"/>
        </w:numPr>
        <w:autoSpaceDE w:val="0"/>
        <w:autoSpaceDN w:val="0"/>
        <w:adjustRightInd w:val="0"/>
        <w:spacing w:after="0" w:line="240" w:lineRule="auto"/>
        <w:ind w:left="0" w:firstLine="709"/>
        <w:jc w:val="both"/>
        <w:rPr>
          <w:rFonts w:ascii="Cambria" w:hAnsi="Cambria"/>
          <w:color w:val="000000"/>
        </w:rPr>
      </w:pPr>
      <w:r w:rsidRPr="00450F0C">
        <w:rPr>
          <w:rFonts w:ascii="Cambria" w:eastAsia="Times New Roman" w:hAnsi="Cambria" w:cs="Calibri"/>
          <w:color w:val="000000"/>
          <w:lang w:eastAsia="es-ES_tradnl"/>
        </w:rPr>
        <w:t xml:space="preserve">The Commission assessed the request filed on January 17, </w:t>
      </w:r>
      <w:r w:rsidR="00317741" w:rsidRPr="00450F0C">
        <w:rPr>
          <w:rFonts w:ascii="Cambria" w:eastAsia="Times New Roman" w:hAnsi="Cambria" w:cs="Calibri"/>
          <w:color w:val="000000"/>
          <w:lang w:eastAsia="es-ES_tradnl"/>
        </w:rPr>
        <w:t>2020,</w:t>
      </w:r>
      <w:r w:rsidRPr="00450F0C">
        <w:rPr>
          <w:rFonts w:ascii="Cambria" w:eastAsia="Times New Roman" w:hAnsi="Cambria" w:cs="Calibri"/>
          <w:color w:val="000000"/>
          <w:lang w:eastAsia="es-ES_tradnl"/>
        </w:rPr>
        <w:t xml:space="preserve"> by the petitioners seeking termination of supervision of the agreement and archiving of the case, given that they </w:t>
      </w:r>
      <w:r w:rsidR="00B238D3" w:rsidRPr="00450F0C">
        <w:rPr>
          <w:rFonts w:ascii="Cambria" w:eastAsia="Times New Roman" w:hAnsi="Cambria" w:cs="Calibri"/>
          <w:color w:val="000000"/>
          <w:lang w:eastAsia="es-ES_tradnl"/>
        </w:rPr>
        <w:t>were</w:t>
      </w:r>
      <w:r w:rsidRPr="00450F0C">
        <w:rPr>
          <w:rFonts w:ascii="Cambria" w:eastAsia="Times New Roman" w:hAnsi="Cambria" w:cs="Calibri"/>
          <w:color w:val="000000"/>
          <w:lang w:eastAsia="es-ES_tradnl"/>
        </w:rPr>
        <w:t xml:space="preserve"> </w:t>
      </w:r>
      <w:r w:rsidRPr="00450F0C">
        <w:rPr>
          <w:rFonts w:ascii="Cambria" w:eastAsia="Times New Roman" w:hAnsi="Cambria" w:cs="Calibri"/>
          <w:color w:val="000000"/>
          <w:lang w:eastAsia="es-ES_tradnl"/>
        </w:rPr>
        <w:lastRenderedPageBreak/>
        <w:t xml:space="preserve">unable to contact the victims of the case. In this respect, the Commission decided to </w:t>
      </w:r>
      <w:r w:rsidR="00223987" w:rsidRPr="00450F0C">
        <w:rPr>
          <w:rFonts w:ascii="Cambria" w:eastAsia="Times New Roman" w:hAnsi="Cambria" w:cs="Calibri"/>
          <w:color w:val="000000"/>
          <w:lang w:eastAsia="es-ES_tradnl"/>
        </w:rPr>
        <w:t>cease supervision</w:t>
      </w:r>
      <w:r w:rsidRPr="00450F0C">
        <w:rPr>
          <w:rFonts w:ascii="Cambria" w:eastAsia="Times New Roman" w:hAnsi="Cambria" w:cs="Calibri"/>
          <w:color w:val="000000"/>
          <w:lang w:eastAsia="es-ES_tradnl"/>
        </w:rPr>
        <w:t xml:space="preserve"> of the friendly settlement agreement and archive the case, noting on the record in the Annual Report that the measure of justice was not complied by the Ecuadorian State and that the level of compliance of the agreement is partial. </w:t>
      </w:r>
    </w:p>
    <w:p w14:paraId="126A9926" w14:textId="77777777" w:rsidR="00583C84" w:rsidRPr="00450F0C" w:rsidRDefault="00583C84" w:rsidP="0045789B">
      <w:pPr>
        <w:autoSpaceDE w:val="0"/>
        <w:autoSpaceDN w:val="0"/>
        <w:adjustRightInd w:val="0"/>
        <w:spacing w:after="0" w:line="240" w:lineRule="auto"/>
        <w:ind w:firstLine="720"/>
        <w:jc w:val="both"/>
        <w:rPr>
          <w:rFonts w:ascii="Cambria" w:hAnsi="Cambria"/>
          <w:color w:val="000000"/>
        </w:rPr>
      </w:pPr>
    </w:p>
    <w:p w14:paraId="1E81F929" w14:textId="77777777" w:rsidR="00583C84" w:rsidRPr="00450F0C" w:rsidRDefault="00583C84" w:rsidP="0045789B">
      <w:pPr>
        <w:pStyle w:val="LightGrid-Accent31"/>
        <w:numPr>
          <w:ilvl w:val="0"/>
          <w:numId w:val="30"/>
        </w:numPr>
        <w:spacing w:after="0" w:line="240" w:lineRule="auto"/>
        <w:ind w:left="0" w:firstLine="720"/>
        <w:jc w:val="both"/>
        <w:rPr>
          <w:rFonts w:ascii="Cambria" w:hAnsi="Cambria" w:cs="Calibri Light"/>
          <w:b/>
          <w:color w:val="000000"/>
        </w:rPr>
      </w:pPr>
      <w:r w:rsidRPr="00450F0C">
        <w:rPr>
          <w:rFonts w:ascii="Cambria" w:hAnsi="Cambria" w:cs="Calibri Light"/>
          <w:b/>
          <w:color w:val="000000"/>
        </w:rPr>
        <w:t xml:space="preserve">INDIVIDUAL AND STRUCTURAL OUTCOMES OF THE CASE </w:t>
      </w:r>
    </w:p>
    <w:p w14:paraId="7B4066C5" w14:textId="77777777" w:rsidR="00583C84" w:rsidRPr="00450F0C" w:rsidRDefault="00583C84" w:rsidP="0045789B">
      <w:pPr>
        <w:pStyle w:val="LightGrid-Accent31"/>
        <w:spacing w:after="0" w:line="240" w:lineRule="auto"/>
        <w:ind w:left="0" w:firstLine="720"/>
        <w:jc w:val="both"/>
        <w:rPr>
          <w:rFonts w:ascii="Cambria" w:hAnsi="Cambria" w:cs="Calibri Light"/>
          <w:b/>
          <w:color w:val="000000"/>
        </w:rPr>
      </w:pPr>
    </w:p>
    <w:p w14:paraId="70B37B57" w14:textId="77777777" w:rsidR="00583C84" w:rsidRPr="00450F0C" w:rsidRDefault="00583C84" w:rsidP="0045789B">
      <w:pPr>
        <w:pStyle w:val="LightGrid-Accent31"/>
        <w:spacing w:after="0" w:line="240" w:lineRule="auto"/>
        <w:ind w:left="708"/>
        <w:jc w:val="both"/>
        <w:rPr>
          <w:rFonts w:ascii="Cambria" w:hAnsi="Cambria" w:cs="Calibri Light"/>
          <w:b/>
          <w:color w:val="000000"/>
        </w:rPr>
      </w:pPr>
      <w:r w:rsidRPr="00450F0C">
        <w:rPr>
          <w:rFonts w:ascii="Cambria" w:hAnsi="Cambria" w:cs="Calibri Light"/>
          <w:b/>
          <w:color w:val="000000"/>
        </w:rPr>
        <w:t>A.</w:t>
      </w:r>
      <w:r w:rsidRPr="00450F0C">
        <w:rPr>
          <w:rFonts w:ascii="Cambria" w:hAnsi="Cambria" w:cs="Calibri Light"/>
          <w:b/>
          <w:color w:val="000000"/>
        </w:rPr>
        <w:tab/>
      </w:r>
      <w:r w:rsidR="00963542" w:rsidRPr="00450F0C">
        <w:rPr>
          <w:rFonts w:ascii="Cambria" w:hAnsi="Cambria" w:cs="Calibri Light"/>
          <w:b/>
          <w:color w:val="000000"/>
        </w:rPr>
        <w:t>Individual outcomes of the case</w:t>
      </w:r>
    </w:p>
    <w:p w14:paraId="308FA87A" w14:textId="77777777" w:rsidR="00583C84" w:rsidRPr="00450F0C" w:rsidRDefault="00583C84" w:rsidP="0045789B">
      <w:pPr>
        <w:pStyle w:val="LightGrid-Accent31"/>
        <w:spacing w:after="0" w:line="240" w:lineRule="auto"/>
        <w:ind w:left="0" w:firstLine="720"/>
        <w:jc w:val="both"/>
        <w:rPr>
          <w:rFonts w:ascii="Cambria" w:hAnsi="Cambria" w:cs="Calibri Light"/>
          <w:b/>
          <w:color w:val="000000"/>
        </w:rPr>
      </w:pPr>
    </w:p>
    <w:p w14:paraId="123F0B24" w14:textId="77777777" w:rsidR="00021551" w:rsidRPr="00450F0C" w:rsidRDefault="00583C84" w:rsidP="0045789B">
      <w:pPr>
        <w:pStyle w:val="LightGrid-Accent31"/>
        <w:numPr>
          <w:ilvl w:val="0"/>
          <w:numId w:val="3"/>
        </w:numPr>
        <w:spacing w:after="0" w:line="240" w:lineRule="auto"/>
        <w:ind w:left="0" w:firstLine="720"/>
        <w:jc w:val="both"/>
        <w:rPr>
          <w:rFonts w:ascii="Cambria" w:hAnsi="Cambria"/>
          <w:color w:val="000000"/>
        </w:rPr>
      </w:pPr>
      <w:r w:rsidRPr="00450F0C">
        <w:rPr>
          <w:rFonts w:ascii="Cambria" w:hAnsi="Cambria"/>
          <w:color w:val="000000"/>
        </w:rPr>
        <w:t>The State paid financial compensation, as set forth under the agreement.</w:t>
      </w:r>
    </w:p>
    <w:p w14:paraId="179B2E1C" w14:textId="77777777" w:rsidR="00583C84" w:rsidRPr="00450F0C" w:rsidRDefault="00583C84" w:rsidP="0045789B">
      <w:pPr>
        <w:pStyle w:val="LightGrid-Accent31"/>
        <w:spacing w:after="0" w:line="240" w:lineRule="auto"/>
        <w:jc w:val="both"/>
        <w:rPr>
          <w:rFonts w:ascii="Cambria" w:hAnsi="Cambria"/>
          <w:color w:val="000000"/>
        </w:rPr>
      </w:pPr>
    </w:p>
    <w:sectPr w:rsidR="00583C84" w:rsidRPr="00450F0C"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B64E" w14:textId="77777777" w:rsidR="00B3171D" w:rsidRDefault="00B3171D" w:rsidP="00A343FF">
      <w:pPr>
        <w:spacing w:after="0" w:line="240" w:lineRule="auto"/>
      </w:pPr>
      <w:r>
        <w:separator/>
      </w:r>
    </w:p>
  </w:endnote>
  <w:endnote w:type="continuationSeparator" w:id="0">
    <w:p w14:paraId="6C5C3FE8" w14:textId="77777777" w:rsidR="00B3171D" w:rsidRDefault="00B3171D"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BF0E"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86A8"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16D9DC49"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C247" w14:textId="77777777" w:rsidR="006D7134" w:rsidRDefault="00E01930" w:rsidP="008F2248">
    <w:pPr>
      <w:pStyle w:val="Footer"/>
      <w:spacing w:line="360" w:lineRule="auto"/>
    </w:pPr>
    <w:r>
      <w:pict w14:anchorId="37DA11A5">
        <v:rect id="_x0000_i1028" style="width:0;height:1.5pt" o:hralign="center" o:hrstd="t" o:hr="t" fillcolor="#a0a0a0" stroked="f"/>
      </w:pict>
    </w:r>
  </w:p>
  <w:p w14:paraId="284EED25" w14:textId="77777777" w:rsidR="006D7134" w:rsidRDefault="00E01930" w:rsidP="006E2BD8">
    <w:pPr>
      <w:pStyle w:val="Footer"/>
      <w:jc w:val="center"/>
    </w:pPr>
    <w:r>
      <w:pict w14:anchorId="23F6F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AD55" w14:textId="77777777" w:rsidR="00B3171D" w:rsidRDefault="00B3171D" w:rsidP="00A343FF">
      <w:pPr>
        <w:spacing w:after="0" w:line="240" w:lineRule="auto"/>
      </w:pPr>
      <w:r>
        <w:separator/>
      </w:r>
    </w:p>
  </w:footnote>
  <w:footnote w:type="continuationSeparator" w:id="0">
    <w:p w14:paraId="695FEE67" w14:textId="77777777" w:rsidR="00B3171D" w:rsidRDefault="00B3171D" w:rsidP="00A343FF">
      <w:pPr>
        <w:spacing w:after="0" w:line="240" w:lineRule="auto"/>
      </w:pPr>
      <w:r>
        <w:continuationSeparator/>
      </w:r>
    </w:p>
  </w:footnote>
  <w:footnote w:id="1">
    <w:p w14:paraId="43E3C1FB" w14:textId="77777777" w:rsidR="006D7134" w:rsidRPr="00D32DD7" w:rsidRDefault="006D7134" w:rsidP="00583C84">
      <w:pPr>
        <w:pStyle w:val="FootnoteText"/>
        <w:ind w:firstLine="720"/>
        <w:jc w:val="both"/>
        <w:rPr>
          <w:rFonts w:ascii="Cambria" w:hAnsi="Cambria"/>
          <w:color w:val="000000"/>
          <w:sz w:val="16"/>
          <w:szCs w:val="16"/>
        </w:rPr>
      </w:pPr>
      <w:r w:rsidRPr="00D32DD7">
        <w:rPr>
          <w:rStyle w:val="FootnoteReference"/>
          <w:rFonts w:ascii="Cambria" w:hAnsi="Cambria"/>
          <w:color w:val="000000"/>
          <w:sz w:val="16"/>
          <w:szCs w:val="16"/>
        </w:rPr>
        <w:footnoteRef/>
      </w:r>
      <w:r w:rsidRPr="00D32DD7">
        <w:rPr>
          <w:rFonts w:ascii="Cambria" w:hAnsi="Cambria"/>
          <w:color w:val="000000"/>
          <w:sz w:val="16"/>
          <w:szCs w:val="16"/>
        </w:rPr>
        <w:t xml:space="preserve"> IACHR, Report No. 107/01, Case 11.542, Friendly Settlement, Angel Rainiero Vega Jimenez, Ecuador, October 11, 2001.</w:t>
      </w:r>
    </w:p>
  </w:footnote>
  <w:footnote w:id="2">
    <w:p w14:paraId="13958843" w14:textId="77777777" w:rsidR="00AB1BC7" w:rsidRPr="00E06054" w:rsidRDefault="00AB1BC7" w:rsidP="00583C84">
      <w:pPr>
        <w:pStyle w:val="FootnoteText"/>
        <w:ind w:firstLine="720"/>
        <w:jc w:val="both"/>
      </w:pPr>
      <w:r w:rsidRPr="00D32DD7">
        <w:rPr>
          <w:rStyle w:val="FootnoteReference"/>
          <w:rFonts w:ascii="Cambria" w:hAnsi="Cambria"/>
          <w:sz w:val="16"/>
          <w:szCs w:val="16"/>
        </w:rPr>
        <w:footnoteRef/>
      </w:r>
      <w:r w:rsidRPr="00D32DD7">
        <w:rPr>
          <w:rFonts w:ascii="Cambria" w:hAnsi="Cambria"/>
          <w:sz w:val="16"/>
          <w:szCs w:val="16"/>
        </w:rPr>
        <w:t xml:space="preserve">See IACHR, Annual Report 2020, Chapter II, Section G. Friendly Settlements. Available at: </w:t>
      </w:r>
      <w:hyperlink r:id="rId1" w:history="1">
        <w:r w:rsidRPr="00D32DD7">
          <w:rPr>
            <w:rStyle w:val="Hyperlink"/>
            <w:rFonts w:ascii="Cambria" w:hAnsi="Cambria"/>
            <w:sz w:val="16"/>
            <w:szCs w:val="16"/>
          </w:rPr>
          <w:t>http://www.oas.org/en/iachr/docs/annual/2020/Chapters/IA2020cap2-en.pdf</w:t>
        </w:r>
      </w:hyperlink>
      <w:r w:rsidRPr="00D32DD7">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901C"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C15F" w14:textId="77777777" w:rsidR="006D7134" w:rsidRDefault="00E01930" w:rsidP="00DC7C8F">
    <w:pPr>
      <w:pStyle w:val="Header"/>
      <w:jc w:val="center"/>
    </w:pPr>
    <w:r>
      <w:pict w14:anchorId="65E1D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9pt">
          <v:imagedata r:id="rId1" o:title="iachr-peq"/>
        </v:shape>
      </w:pict>
    </w:r>
  </w:p>
  <w:p w14:paraId="43E63B38" w14:textId="77777777" w:rsidR="006D7134" w:rsidRDefault="00E01930">
    <w:pPr>
      <w:pStyle w:val="Header"/>
    </w:pPr>
    <w:r>
      <w:pict w14:anchorId="5A36081B">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A552" w14:textId="77777777" w:rsidR="006D7134" w:rsidRDefault="00E01930" w:rsidP="00A61B5E">
    <w:pPr>
      <w:pStyle w:val="Header"/>
    </w:pPr>
    <w:r>
      <w:rPr>
        <w:noProof/>
      </w:rPr>
      <w:pict w14:anchorId="35F8C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23BBC02B">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1A9C3081" w14:textId="77777777" w:rsidR="006D7134" w:rsidRDefault="006D7134" w:rsidP="00A61B5E">
    <w:pPr>
      <w:pStyle w:val="Header"/>
    </w:pPr>
  </w:p>
  <w:p w14:paraId="74FD860C" w14:textId="77777777" w:rsidR="006D7134" w:rsidRDefault="006D7134" w:rsidP="00A61B5E">
    <w:pPr>
      <w:pStyle w:val="Header"/>
    </w:pPr>
  </w:p>
  <w:p w14:paraId="3D0C7B9C" w14:textId="77777777" w:rsidR="006D7134" w:rsidRDefault="00E01930" w:rsidP="00A61B5E">
    <w:pPr>
      <w:pStyle w:val="Header"/>
    </w:pPr>
    <w:r>
      <w:pict w14:anchorId="74C800F8">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4321515">
    <w:abstractNumId w:val="78"/>
  </w:num>
  <w:num w:numId="2" w16cid:durableId="1986204358">
    <w:abstractNumId w:val="59"/>
  </w:num>
  <w:num w:numId="3" w16cid:durableId="1913349375">
    <w:abstractNumId w:val="21"/>
  </w:num>
  <w:num w:numId="4" w16cid:durableId="1392460882">
    <w:abstractNumId w:val="52"/>
  </w:num>
  <w:num w:numId="5" w16cid:durableId="1359507687">
    <w:abstractNumId w:val="3"/>
  </w:num>
  <w:num w:numId="6" w16cid:durableId="252711355">
    <w:abstractNumId w:val="44"/>
  </w:num>
  <w:num w:numId="7" w16cid:durableId="1541941472">
    <w:abstractNumId w:val="104"/>
  </w:num>
  <w:num w:numId="8" w16cid:durableId="1302078517">
    <w:abstractNumId w:val="36"/>
  </w:num>
  <w:num w:numId="9" w16cid:durableId="1095204742">
    <w:abstractNumId w:val="0"/>
  </w:num>
  <w:num w:numId="10" w16cid:durableId="209729943">
    <w:abstractNumId w:val="30"/>
  </w:num>
  <w:num w:numId="11" w16cid:durableId="610086856">
    <w:abstractNumId w:val="65"/>
  </w:num>
  <w:num w:numId="12" w16cid:durableId="932008846">
    <w:abstractNumId w:val="68"/>
  </w:num>
  <w:num w:numId="13" w16cid:durableId="627324108">
    <w:abstractNumId w:val="51"/>
  </w:num>
  <w:num w:numId="14" w16cid:durableId="958879990">
    <w:abstractNumId w:val="1"/>
  </w:num>
  <w:num w:numId="15" w16cid:durableId="417404717">
    <w:abstractNumId w:val="47"/>
  </w:num>
  <w:num w:numId="16" w16cid:durableId="1085689431">
    <w:abstractNumId w:val="67"/>
  </w:num>
  <w:num w:numId="17" w16cid:durableId="629946304">
    <w:abstractNumId w:val="48"/>
  </w:num>
  <w:num w:numId="18" w16cid:durableId="1933928106">
    <w:abstractNumId w:val="100"/>
  </w:num>
  <w:num w:numId="19" w16cid:durableId="1329672789">
    <w:abstractNumId w:val="70"/>
  </w:num>
  <w:num w:numId="20" w16cid:durableId="353117486">
    <w:abstractNumId w:val="31"/>
  </w:num>
  <w:num w:numId="21" w16cid:durableId="418403036">
    <w:abstractNumId w:val="9"/>
  </w:num>
  <w:num w:numId="22" w16cid:durableId="2115175880">
    <w:abstractNumId w:val="32"/>
  </w:num>
  <w:num w:numId="23" w16cid:durableId="1925651886">
    <w:abstractNumId w:val="2"/>
  </w:num>
  <w:num w:numId="24" w16cid:durableId="1193035856">
    <w:abstractNumId w:val="81"/>
  </w:num>
  <w:num w:numId="25" w16cid:durableId="1452895464">
    <w:abstractNumId w:val="92"/>
  </w:num>
  <w:num w:numId="26" w16cid:durableId="1302730680">
    <w:abstractNumId w:val="98"/>
  </w:num>
  <w:num w:numId="27" w16cid:durableId="4558347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0875510">
    <w:abstractNumId w:val="76"/>
  </w:num>
  <w:num w:numId="29" w16cid:durableId="466700579">
    <w:abstractNumId w:val="16"/>
  </w:num>
  <w:num w:numId="30" w16cid:durableId="168832475">
    <w:abstractNumId w:val="13"/>
  </w:num>
  <w:num w:numId="31" w16cid:durableId="2011565280">
    <w:abstractNumId w:val="63"/>
  </w:num>
  <w:num w:numId="32" w16cid:durableId="255672329">
    <w:abstractNumId w:val="23"/>
  </w:num>
  <w:num w:numId="33" w16cid:durableId="1749764754">
    <w:abstractNumId w:val="11"/>
  </w:num>
  <w:num w:numId="34" w16cid:durableId="1960262146">
    <w:abstractNumId w:val="66"/>
  </w:num>
  <w:num w:numId="35" w16cid:durableId="801925959">
    <w:abstractNumId w:val="5"/>
  </w:num>
  <w:num w:numId="36" w16cid:durableId="1391147937">
    <w:abstractNumId w:val="7"/>
  </w:num>
  <w:num w:numId="37" w16cid:durableId="1589341901">
    <w:abstractNumId w:val="53"/>
  </w:num>
  <w:num w:numId="38" w16cid:durableId="1988388880">
    <w:abstractNumId w:val="54"/>
  </w:num>
  <w:num w:numId="39" w16cid:durableId="1844709007">
    <w:abstractNumId w:val="27"/>
  </w:num>
  <w:num w:numId="40" w16cid:durableId="1452868450">
    <w:abstractNumId w:val="35"/>
  </w:num>
  <w:num w:numId="41" w16cid:durableId="1833638142">
    <w:abstractNumId w:val="77"/>
  </w:num>
  <w:num w:numId="42" w16cid:durableId="233781324">
    <w:abstractNumId w:val="22"/>
  </w:num>
  <w:num w:numId="43" w16cid:durableId="2823468">
    <w:abstractNumId w:val="64"/>
  </w:num>
  <w:num w:numId="44" w16cid:durableId="2088191302">
    <w:abstractNumId w:val="24"/>
  </w:num>
  <w:num w:numId="45" w16cid:durableId="1554002403">
    <w:abstractNumId w:val="87"/>
  </w:num>
  <w:num w:numId="46" w16cid:durableId="2119524863">
    <w:abstractNumId w:val="42"/>
  </w:num>
  <w:num w:numId="47" w16cid:durableId="1234705354">
    <w:abstractNumId w:val="61"/>
  </w:num>
  <w:num w:numId="48" w16cid:durableId="950625723">
    <w:abstractNumId w:val="99"/>
  </w:num>
  <w:num w:numId="49" w16cid:durableId="2118286986">
    <w:abstractNumId w:val="90"/>
  </w:num>
  <w:num w:numId="50" w16cid:durableId="958995482">
    <w:abstractNumId w:val="40"/>
  </w:num>
  <w:num w:numId="51" w16cid:durableId="943270937">
    <w:abstractNumId w:val="93"/>
  </w:num>
  <w:num w:numId="52" w16cid:durableId="79522966">
    <w:abstractNumId w:val="49"/>
  </w:num>
  <w:num w:numId="53" w16cid:durableId="2107071721">
    <w:abstractNumId w:val="83"/>
  </w:num>
  <w:num w:numId="54" w16cid:durableId="658078549">
    <w:abstractNumId w:val="33"/>
  </w:num>
  <w:num w:numId="55" w16cid:durableId="1006596035">
    <w:abstractNumId w:val="4"/>
  </w:num>
  <w:num w:numId="56" w16cid:durableId="1681348745">
    <w:abstractNumId w:val="28"/>
  </w:num>
  <w:num w:numId="57" w16cid:durableId="1177158750">
    <w:abstractNumId w:val="10"/>
  </w:num>
  <w:num w:numId="58" w16cid:durableId="901866220">
    <w:abstractNumId w:val="75"/>
  </w:num>
  <w:num w:numId="59" w16cid:durableId="968827135">
    <w:abstractNumId w:val="55"/>
  </w:num>
  <w:num w:numId="60" w16cid:durableId="37167875">
    <w:abstractNumId w:val="73"/>
  </w:num>
  <w:num w:numId="61" w16cid:durableId="18566543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62727488">
    <w:abstractNumId w:val="102"/>
  </w:num>
  <w:num w:numId="63" w16cid:durableId="1728331994">
    <w:abstractNumId w:val="82"/>
  </w:num>
  <w:num w:numId="64" w16cid:durableId="741951097">
    <w:abstractNumId w:val="26"/>
  </w:num>
  <w:num w:numId="65" w16cid:durableId="12585616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63133770">
    <w:abstractNumId w:val="95"/>
  </w:num>
  <w:num w:numId="67" w16cid:durableId="1108505965">
    <w:abstractNumId w:val="19"/>
  </w:num>
  <w:num w:numId="68" w16cid:durableId="634674432">
    <w:abstractNumId w:val="20"/>
  </w:num>
  <w:num w:numId="69" w16cid:durableId="323096370">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54422591">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99857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422069">
    <w:abstractNumId w:val="60"/>
  </w:num>
  <w:num w:numId="73" w16cid:durableId="21597121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44389970">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43669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65307713">
    <w:abstractNumId w:val="88"/>
  </w:num>
  <w:num w:numId="77" w16cid:durableId="17816840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808715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10212343">
    <w:abstractNumId w:val="72"/>
  </w:num>
  <w:num w:numId="80" w16cid:durableId="1906061262">
    <w:abstractNumId w:val="6"/>
  </w:num>
  <w:num w:numId="81" w16cid:durableId="652682903">
    <w:abstractNumId w:val="86"/>
  </w:num>
  <w:num w:numId="82" w16cid:durableId="527451864">
    <w:abstractNumId w:val="71"/>
  </w:num>
  <w:num w:numId="83" w16cid:durableId="60520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784880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22531644">
    <w:abstractNumId w:val="79"/>
  </w:num>
  <w:num w:numId="86" w16cid:durableId="1269846536">
    <w:abstractNumId w:val="17"/>
  </w:num>
  <w:num w:numId="87" w16cid:durableId="997076216">
    <w:abstractNumId w:val="85"/>
  </w:num>
  <w:num w:numId="88" w16cid:durableId="1879048418">
    <w:abstractNumId w:val="15"/>
  </w:num>
  <w:num w:numId="89" w16cid:durableId="369108835">
    <w:abstractNumId w:val="69"/>
  </w:num>
  <w:num w:numId="90" w16cid:durableId="1108694086">
    <w:abstractNumId w:val="46"/>
  </w:num>
  <w:num w:numId="91" w16cid:durableId="1249727890">
    <w:abstractNumId w:val="91"/>
  </w:num>
  <w:num w:numId="92" w16cid:durableId="2144346265">
    <w:abstractNumId w:val="43"/>
  </w:num>
  <w:num w:numId="93" w16cid:durableId="1255479042">
    <w:abstractNumId w:val="8"/>
  </w:num>
  <w:num w:numId="94" w16cid:durableId="1878541735">
    <w:abstractNumId w:val="37"/>
  </w:num>
  <w:num w:numId="95" w16cid:durableId="1510871352">
    <w:abstractNumId w:val="38"/>
  </w:num>
  <w:num w:numId="96" w16cid:durableId="1325082699">
    <w:abstractNumId w:val="39"/>
  </w:num>
  <w:num w:numId="97" w16cid:durableId="258297258">
    <w:abstractNumId w:val="12"/>
  </w:num>
  <w:num w:numId="98" w16cid:durableId="1187983597">
    <w:abstractNumId w:val="89"/>
  </w:num>
  <w:num w:numId="99" w16cid:durableId="626816316">
    <w:abstractNumId w:val="74"/>
  </w:num>
  <w:num w:numId="100" w16cid:durableId="1189414424">
    <w:abstractNumId w:val="29"/>
  </w:num>
  <w:num w:numId="101" w16cid:durableId="1776827608">
    <w:abstractNumId w:val="103"/>
  </w:num>
  <w:num w:numId="102" w16cid:durableId="1614901180">
    <w:abstractNumId w:val="80"/>
  </w:num>
  <w:num w:numId="103" w16cid:durableId="1116565180">
    <w:abstractNumId w:val="41"/>
  </w:num>
  <w:num w:numId="104" w16cid:durableId="1996949565">
    <w:abstractNumId w:val="84"/>
  </w:num>
  <w:num w:numId="105" w16cid:durableId="1299997093">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6009D"/>
    <w:rsid w:val="0006625E"/>
    <w:rsid w:val="0006762F"/>
    <w:rsid w:val="00096079"/>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F0715"/>
    <w:rsid w:val="002032CF"/>
    <w:rsid w:val="00206C8A"/>
    <w:rsid w:val="0021669C"/>
    <w:rsid w:val="0022128F"/>
    <w:rsid w:val="00223987"/>
    <w:rsid w:val="00226F48"/>
    <w:rsid w:val="00234203"/>
    <w:rsid w:val="00235E0A"/>
    <w:rsid w:val="00240E8E"/>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93310"/>
    <w:rsid w:val="003B1772"/>
    <w:rsid w:val="003B4055"/>
    <w:rsid w:val="003B6168"/>
    <w:rsid w:val="003C2346"/>
    <w:rsid w:val="003C4836"/>
    <w:rsid w:val="003D5044"/>
    <w:rsid w:val="003E0DFA"/>
    <w:rsid w:val="003F186E"/>
    <w:rsid w:val="003F262C"/>
    <w:rsid w:val="0043011B"/>
    <w:rsid w:val="00433F4F"/>
    <w:rsid w:val="00450F0C"/>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25532"/>
    <w:rsid w:val="00841815"/>
    <w:rsid w:val="00847268"/>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3447E"/>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67EF3"/>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171D"/>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C01947"/>
    <w:rsid w:val="00C07855"/>
    <w:rsid w:val="00C11E56"/>
    <w:rsid w:val="00C17F04"/>
    <w:rsid w:val="00C21B26"/>
    <w:rsid w:val="00C359F1"/>
    <w:rsid w:val="00C37954"/>
    <w:rsid w:val="00C402CB"/>
    <w:rsid w:val="00C57947"/>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7557E"/>
    <w:rsid w:val="00D7738D"/>
    <w:rsid w:val="00DA0C80"/>
    <w:rsid w:val="00DA1E58"/>
    <w:rsid w:val="00DA4368"/>
    <w:rsid w:val="00DA5231"/>
    <w:rsid w:val="00DC5A37"/>
    <w:rsid w:val="00DC7C8F"/>
    <w:rsid w:val="00DD67A1"/>
    <w:rsid w:val="00DE65A9"/>
    <w:rsid w:val="00DE7A8B"/>
    <w:rsid w:val="00DF0687"/>
    <w:rsid w:val="00DF0FE5"/>
    <w:rsid w:val="00E01930"/>
    <w:rsid w:val="00E0254C"/>
    <w:rsid w:val="00E0542C"/>
    <w:rsid w:val="00E16827"/>
    <w:rsid w:val="00E3040C"/>
    <w:rsid w:val="00E5644B"/>
    <w:rsid w:val="00E57070"/>
    <w:rsid w:val="00E62F1F"/>
    <w:rsid w:val="00E6614F"/>
    <w:rsid w:val="00E66191"/>
    <w:rsid w:val="00E70EB9"/>
    <w:rsid w:val="00E9516C"/>
    <w:rsid w:val="00E96BAB"/>
    <w:rsid w:val="00E979A1"/>
    <w:rsid w:val="00EA4D16"/>
    <w:rsid w:val="00EA50F8"/>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062"/>
    <w:rsid w:val="00F86C52"/>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9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1eng/Ecuador11542.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20/Chapters/IA2020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EA56B345-1670-474D-8381-0CB4743D844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Links>
    <vt:vector size="12" baseType="variant">
      <vt:variant>
        <vt:i4>8126517</vt:i4>
      </vt:variant>
      <vt:variant>
        <vt:i4>0</vt:i4>
      </vt:variant>
      <vt:variant>
        <vt:i4>0</vt:i4>
      </vt:variant>
      <vt:variant>
        <vt:i4>5</vt:i4>
      </vt:variant>
      <vt:variant>
        <vt:lpwstr>http://cidh.org/annualrep/2001eng/Ecuador11542.htm</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2023-03-03T22:04:00Z</dcterms:created>
  <dcterms:modified xsi:type="dcterms:W3CDTF">2023-03-03T22:04:00Z</dcterms:modified>
</cp:coreProperties>
</file>